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tblPr>
      <w:tblGrid>
        <w:gridCol w:w="1276"/>
        <w:gridCol w:w="2268"/>
        <w:gridCol w:w="3260"/>
        <w:gridCol w:w="2835"/>
      </w:tblGrid>
      <w:tr w:rsidRPr="004C26CA" w:rsidR="00D04C8D" w14:paraId="6D1B374A" w14:textId="77777777">
        <w:trPr>
          <w:cantSplit/>
          <w:trHeight w:val="851" w:hRule="exact"/>
        </w:trPr>
        <w:tc>
          <w:tcPr>
            <w:tcW w:w="1276" w:type="dxa"/>
            <w:tcBorders>
              <w:bottom w:val="single" w:color="auto" w:sz="4" w:space="0"/>
            </w:tcBorders>
            <w:vAlign w:val="bottom"/>
          </w:tcPr>
          <w:p w:rsidRPr="001F7524" w:rsidR="000E3ADB" w:rsidRDefault="000E3ADB" w14:paraId="24B0460E" w14:textId="77777777">
            <w:pPr>
              <w:spacing w:after="80"/>
            </w:pPr>
          </w:p>
        </w:tc>
        <w:tc>
          <w:tcPr>
            <w:tcW w:w="2268" w:type="dxa"/>
            <w:tcBorders>
              <w:bottom w:val="single" w:color="auto" w:sz="4" w:space="0"/>
            </w:tcBorders>
            <w:vAlign w:val="bottom"/>
          </w:tcPr>
          <w:p w:rsidRPr="001F7524" w:rsidR="000E3ADB" w:rsidRDefault="00E55439" w14:paraId="197C4E32" w14:textId="77777777">
            <w:pPr>
              <w:spacing w:after="80" w:line="300" w:lineRule="exact"/>
              <w:rPr>
                <w:b/>
                <w:sz w:val="24"/>
                <w:szCs w:val="24"/>
              </w:rPr>
            </w:pPr>
            <w:r w:rsidRPr="001F7524">
              <w:rPr>
                <w:sz w:val="28"/>
                <w:szCs w:val="28"/>
              </w:rPr>
              <w:t xml:space="preserve">Nations Unies</w:t>
            </w:r>
          </w:p>
        </w:tc>
        <w:tc>
          <w:tcPr>
            <w:tcW w:w="6095" w:type="dxa"/>
            <w:gridSpan w:val="2"/>
            <w:tcBorders>
              <w:bottom w:val="single" w:color="auto" w:sz="4" w:space="0"/>
            </w:tcBorders>
            <w:vAlign w:val="bottom"/>
          </w:tcPr>
          <w:p w:rsidRPr="003B6EB5" w:rsidR="000E3ADB" w:rsidP="00057568" w:rsidRDefault="00E55439" w14:paraId="50D0961A" w14:textId="43331938">
            <w:pPr>
              <w:suppressAutoHyphens w:val="0"/>
              <w:spacing w:after="20"/>
              <w:jc w:val="right"/>
              <w:rPr>
                <w:lang w:val="fr-FR"/>
              </w:rPr>
            </w:pPr>
            <w:r w:rsidRPr="003B6EB5" w:rsidR="005C11C4">
              <w:rPr>
                <w:lang w:val="fr-FR"/>
              </w:rPr>
              <w:t xml:space="preserve">CRPD/C/EU/CO/2-3</w:t>
            </w:r>
          </w:p>
        </w:tc>
      </w:tr>
      <w:tr w:rsidRPr="00001F66" w:rsidR="00D04C8D" w:rsidTr="003E1E51" w14:paraId="066777B1" w14:textId="77777777">
        <w:trPr>
          <w:cantSplit/>
          <w:trHeight w:val="2835" w:hRule="exact"/>
        </w:trPr>
        <w:tc>
          <w:tcPr>
            <w:tcW w:w="1276" w:type="dxa"/>
            <w:tcBorders>
              <w:top w:val="single" w:color="auto" w:sz="4" w:space="0"/>
              <w:bottom w:val="single" w:color="auto" w:sz="12" w:space="0"/>
            </w:tcBorders>
          </w:tcPr>
          <w:p w:rsidRPr="001F7524" w:rsidR="000E3ADB" w:rsidRDefault="00E55439" w14:paraId="4824F58A" w14:textId="77777777">
            <w:pPr>
              <w:spacing w:before="120"/>
              <w:jc w:val="center"/>
            </w:pPr>
            <w:r w:rsidRPr="001F7524">
              <w:rPr>
                <w:noProof/>
                <w:lang w:val="es-ES_tradnl" w:eastAsia="es-ES_tradnl"/>
              </w:rPr>
              <w:drawing>
                <wp:inline distT="0" distB="0" distL="0" distR="0" wp14:anchorId="3383352C" wp14:editId="4B9B97C6">
                  <wp:extent cx="714375" cy="590550"/>
                  <wp:effectExtent l="0" t="0" r="9525" b="0"/>
                  <wp:docPr id="961237942"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color="auto" w:sz="4" w:space="0"/>
              <w:bottom w:val="single" w:color="auto" w:sz="12" w:space="0"/>
            </w:tcBorders>
          </w:tcPr>
          <w:p w:rsidRPr="00FD2326" w:rsidR="000E3ADB" w:rsidRDefault="00E55439" w14:paraId="4CEC7916" w14:textId="77777777">
            <w:pPr>
              <w:spacing w:before="120" w:line="380" w:lineRule="exact"/>
            </w:pPr>
            <w:r w:rsidRPr="00CA0CB0">
              <w:rPr>
                <w:b/>
                <w:sz w:val="34"/>
                <w:szCs w:val="40"/>
              </w:rPr>
              <w:t xml:space="preserve">Convention relative aux droits</w:t>
            </w:r>
            <w:r w:rsidRPr="00CA0CB0">
              <w:rPr>
                <w:b/>
                <w:sz w:val="34"/>
                <w:szCs w:val="40"/>
              </w:rPr>
              <w:br/>
            </w:r>
            <w:r w:rsidRPr="00CA0CB0">
              <w:rPr>
                <w:b/>
                <w:sz w:val="34"/>
                <w:szCs w:val="40"/>
              </w:rPr>
              <w:t xml:space="preserve">des personnes handicapées</w:t>
            </w:r>
          </w:p>
        </w:tc>
        <w:tc>
          <w:tcPr>
            <w:tcW w:w="2835" w:type="dxa"/>
            <w:tcBorders>
              <w:top w:val="single" w:color="auto" w:sz="4" w:space="0"/>
              <w:bottom w:val="single" w:color="auto" w:sz="12" w:space="0"/>
            </w:tcBorders>
          </w:tcPr>
          <w:p w:rsidRPr="009E1A4A" w:rsidR="009E1A4A" w:rsidP="009E1A4A" w:rsidRDefault="009E1A4A" w14:paraId="0CAE165D" w14:textId="2F8F5953">
            <w:pPr>
              <w:suppressAutoHyphens w:val="0"/>
              <w:spacing w:before="240" w:line="240" w:lineRule="exact"/>
              <w:rPr>
                <w:rFonts w:eastAsia="SimSun"/>
              </w:rPr>
            </w:pPr>
            <w:r w:rsidRPr="009E1A4A">
              <w:rPr>
                <w:rFonts w:eastAsia="SimSun"/>
              </w:rPr>
              <w:t xml:space="preserve">Distr : </w:t>
            </w:r>
            <w:r w:rsidR="004C26CA">
              <w:rPr>
                <w:rFonts w:eastAsia="SimSun"/>
              </w:rPr>
              <w:t xml:space="preserve">Générale</w:t>
            </w:r>
          </w:p>
          <w:p w:rsidR="009E1A4A" w:rsidP="009E1A4A" w:rsidRDefault="004C26CA" w14:paraId="0D9CB3B2" w14:textId="692FC67A">
            <w:pPr>
              <w:suppressAutoHyphens w:val="0"/>
              <w:rPr>
                <w:rFonts w:eastAsia="SimSun"/>
              </w:rPr>
            </w:pPr>
            <w:r>
              <w:rPr>
                <w:rFonts w:eastAsia="SimSun"/>
              </w:rPr>
              <w:t xml:space="preserve">21 </w:t>
            </w:r>
            <w:r w:rsidR="005C11C4">
              <w:rPr>
                <w:rFonts w:eastAsia="SimSun"/>
              </w:rPr>
              <w:t xml:space="preserve">mars 2025</w:t>
            </w:r>
          </w:p>
          <w:p w:rsidRPr="00A11E4D" w:rsidR="00A11E4D" w:rsidP="009E1A4A" w:rsidRDefault="00A11E4D" w14:paraId="3F49ED6E" w14:textId="38EA510F">
            <w:pPr>
              <w:suppressAutoHyphens w:val="0"/>
              <w:rPr>
                <w:rFonts w:eastAsia="SimSun"/>
                <w:b/>
                <w:bCs/>
              </w:rPr>
            </w:pPr>
            <w:r>
              <w:rPr>
                <w:rFonts w:eastAsia="SimSun"/>
                <w:b/>
                <w:bCs/>
              </w:rPr>
              <w:t xml:space="preserve">VERSION PRÉLIMINAIRE NON ÉDITÉE</w:t>
            </w:r>
          </w:p>
          <w:p w:rsidRPr="009E1A4A" w:rsidR="009E1A4A" w:rsidP="009E1A4A" w:rsidRDefault="009E1A4A" w14:paraId="4FA67932" w14:textId="77777777">
            <w:pPr>
              <w:suppressAutoHyphens w:val="0"/>
              <w:rPr>
                <w:rFonts w:eastAsia="SimSun"/>
              </w:rPr>
            </w:pPr>
          </w:p>
          <w:p w:rsidRPr="00001F66" w:rsidR="000E3ADB" w:rsidP="004C26CA" w:rsidRDefault="009E1A4A" w14:paraId="267C376F" w14:textId="6E11449A">
            <w:pPr>
              <w:suppressAutoHyphens w:val="0"/>
            </w:pPr>
            <w:r w:rsidRPr="009E1A4A">
              <w:rPr>
                <w:rFonts w:eastAsia="SimSun"/>
              </w:rPr>
              <w:t xml:space="preserve">Original : anglais : Anglais</w:t>
            </w:r>
          </w:p>
        </w:tc>
      </w:tr>
    </w:tbl>
    <w:p w:rsidRPr="00001F66" w:rsidR="000E3ADB" w:rsidRDefault="00E55439" w14:paraId="4A677706" w14:textId="119E20D7">
      <w:pPr>
        <w:spacing w:before="120"/>
        <w:rPr>
          <w:b/>
          <w:sz w:val="24"/>
        </w:rPr>
      </w:pPr>
      <w:r w:rsidRPr="00001F66">
        <w:rPr>
          <w:b/>
          <w:sz w:val="24"/>
        </w:rPr>
        <w:t xml:space="preserve">Comité des droits des personnes handicapées</w:t>
      </w:r>
    </w:p>
    <w:p w:rsidRPr="00921219" w:rsidR="00921219" w:rsidP="00921219" w:rsidRDefault="00921219" w14:paraId="23200006" w14:textId="5F67DF7F">
      <w:pPr>
        <w:keepNext/>
        <w:keepLines/>
        <w:tabs>
          <w:tab w:val="right" w:pos="851"/>
        </w:tabs>
        <w:spacing w:before="360" w:after="240" w:line="300" w:lineRule="exact"/>
        <w:ind w:start="1134" w:end="1134" w:hanging="1134"/>
        <w:rPr>
          <w:rFonts w:eastAsia="SimSun"/>
          <w:b/>
          <w:sz w:val="28"/>
          <w:lang w:eastAsia="zh-CN"/>
        </w:rPr>
      </w:pPr>
      <w:r w:rsidRPr="00921219">
        <w:rPr>
          <w:rFonts w:eastAsia="SimSun"/>
          <w:b/>
          <w:sz w:val="28"/>
          <w:lang w:eastAsia="zh-CN"/>
        </w:rPr>
        <w:tab/>
      </w:r>
      <w:r w:rsidRPr="00921219">
        <w:rPr>
          <w:rFonts w:eastAsia="SimSun"/>
          <w:b/>
          <w:sz w:val="28"/>
          <w:lang w:eastAsia="zh-CN"/>
        </w:rPr>
        <w:tab/>
      </w:r>
      <w:r w:rsidRPr="00921219">
        <w:rPr>
          <w:rFonts w:eastAsia="SimSun"/>
          <w:b/>
          <w:sz w:val="28"/>
          <w:lang w:eastAsia="zh-CN"/>
        </w:rPr>
        <w:t xml:space="preserve">Observations finales sur les </w:t>
      </w:r>
      <w:r w:rsidR="005C11C4">
        <w:rPr>
          <w:rFonts w:eastAsia="SimSun"/>
          <w:b/>
          <w:sz w:val="28"/>
          <w:lang w:eastAsia="zh-CN"/>
        </w:rPr>
        <w:t xml:space="preserve">deuxième et </w:t>
      </w:r>
      <w:r w:rsidR="00A11550">
        <w:rPr>
          <w:rFonts w:eastAsia="SimSun"/>
          <w:b/>
          <w:sz w:val="28"/>
          <w:lang w:eastAsia="zh-CN"/>
        </w:rPr>
        <w:t xml:space="preserve">troisième rapports périodiques </w:t>
      </w:r>
      <w:r w:rsidR="005C11C4">
        <w:rPr>
          <w:rFonts w:eastAsia="SimSun"/>
          <w:b/>
          <w:sz w:val="28"/>
          <w:lang w:eastAsia="zh-CN"/>
        </w:rPr>
        <w:t xml:space="preserve">combinés de </w:t>
      </w:r>
      <w:r w:rsidR="00A11550">
        <w:rPr>
          <w:rFonts w:eastAsia="SimSun"/>
          <w:b/>
          <w:sz w:val="28"/>
          <w:lang w:eastAsia="zh-CN"/>
        </w:rPr>
        <w:t xml:space="preserve">l'</w:t>
      </w:r>
      <w:r w:rsidR="003B6EB5">
        <w:rPr>
          <w:rFonts w:eastAsia="SimSun"/>
          <w:b/>
          <w:sz w:val="28"/>
          <w:lang w:eastAsia="zh-CN"/>
        </w:rPr>
        <w:t xml:space="preserve">Union européenne *</w:t>
      </w:r>
      <w:r w:rsidRPr="00C512EE" w:rsidR="00497962">
        <w:rPr>
          <w:rFonts w:eastAsia="SimSun"/>
          <w:bCs/>
          <w:szCs w:val="14"/>
          <w:lang w:eastAsia="zh-CN"/>
        </w:rPr>
        <w:footnoteReference w:customMarkFollows="1" w:id="2"/>
      </w:r>
    </w:p>
    <w:p w:rsidRPr="006B5EE1" w:rsidR="006B5EE1" w:rsidP="002335A2" w:rsidRDefault="00B314BD" w14:paraId="52B2FD25" w14:textId="7E002094">
      <w:pPr>
        <w:pStyle w:val="HChG"/>
      </w:pPr>
      <w:r w:rsidRPr="006B5EE1">
        <w:tab/>
      </w:r>
      <w:r w:rsidRPr="006B5EE1" w:rsidR="006B5EE1">
        <w:t xml:space="preserve">I.</w:t>
      </w:r>
      <w:r w:rsidRPr="006B5EE1" w:rsidR="006B5EE1">
        <w:tab/>
      </w:r>
      <w:r w:rsidRPr="006B5EE1" w:rsidR="006B5EE1">
        <w:t xml:space="preserve">Introduction</w:t>
      </w:r>
    </w:p>
    <w:p w:rsidRPr="008E67C2" w:rsidR="008E67C2" w:rsidP="00497962" w:rsidRDefault="008E67C2" w14:paraId="49C1CCE5" w14:textId="566AB0C1">
      <w:pPr>
        <w:pStyle w:val="SingleTxtG"/>
        <w:numPr>
          <w:ilvl w:val="0"/>
          <w:numId w:val="22"/>
        </w:numPr>
        <w:ind w:start="1134" w:firstLine="0"/>
      </w:pPr>
      <w:r w:rsidRPr="008E67C2">
        <w:rPr>
          <w:lang w:val="en-US"/>
        </w:rPr>
        <w:t xml:space="preserve">Le Comité a examiné les </w:t>
      </w:r>
      <w:r>
        <w:rPr>
          <w:lang w:val="en-US"/>
        </w:rPr>
        <w:t xml:space="preserve">deuxième </w:t>
      </w:r>
      <w:r w:rsidR="00A773E3">
        <w:rPr>
          <w:lang w:val="en-US"/>
        </w:rPr>
        <w:t xml:space="preserve">et troisième </w:t>
      </w:r>
      <w:r w:rsidR="00A773E3">
        <w:rPr>
          <w:lang w:val="en-US"/>
        </w:rPr>
        <w:t xml:space="preserve">rapports </w:t>
      </w:r>
      <w:r w:rsidR="00A773E3">
        <w:rPr>
          <w:lang w:val="en-US"/>
        </w:rPr>
        <w:t xml:space="preserve">périodiques </w:t>
      </w:r>
      <w:r w:rsidRPr="008E67C2">
        <w:rPr>
          <w:lang w:val="en-US"/>
        </w:rPr>
        <w:t xml:space="preserve">de l'</w:t>
      </w:r>
      <w:r w:rsidR="00A773E3">
        <w:rPr>
          <w:lang w:val="en-US"/>
        </w:rPr>
        <w:t xml:space="preserve">Union européenne </w:t>
      </w:r>
      <w:r w:rsidRPr="008E67C2">
        <w:rPr>
          <w:lang w:val="en-US"/>
        </w:rPr>
        <w:t xml:space="preserve">à ses </w:t>
      </w:r>
      <w:r w:rsidRPr="00497962">
        <w:t xml:space="preserve">770e </w:t>
      </w:r>
      <w:r w:rsidRPr="008E67C2">
        <w:rPr>
          <w:lang w:val="en-US"/>
        </w:rPr>
        <w:t xml:space="preserve">et </w:t>
      </w:r>
      <w:r w:rsidR="00843256">
        <w:rPr>
          <w:lang w:val="en-US"/>
        </w:rPr>
        <w:t xml:space="preserve">772e </w:t>
      </w:r>
      <w:r w:rsidRPr="008E67C2">
        <w:rPr>
          <w:lang w:val="en-US"/>
        </w:rPr>
        <w:t xml:space="preserve">séances, </w:t>
      </w:r>
      <w:r w:rsidRPr="008E67C2">
        <w:rPr>
          <w:lang w:val="en-US"/>
        </w:rPr>
        <w:t xml:space="preserve">tenues les </w:t>
      </w:r>
      <w:r w:rsidR="00843256">
        <w:rPr>
          <w:lang w:val="en-US"/>
        </w:rPr>
        <w:t xml:space="preserve">11 </w:t>
      </w:r>
      <w:r w:rsidR="00843256">
        <w:rPr>
          <w:lang w:val="en-US"/>
        </w:rPr>
        <w:t xml:space="preserve">et 12 mars </w:t>
      </w:r>
      <w:r w:rsidR="00843256">
        <w:rPr>
          <w:lang w:val="en-US"/>
        </w:rPr>
        <w:t xml:space="preserve">2025</w:t>
      </w:r>
      <w:r w:rsidRPr="008E67C2">
        <w:rPr>
          <w:lang w:val="en-US"/>
        </w:rPr>
        <w:t xml:space="preserve">. </w:t>
      </w:r>
      <w:r w:rsidRPr="008E67C2">
        <w:rPr>
          <w:lang w:val="en-US"/>
        </w:rPr>
        <w:t xml:space="preserve">Il a adopté les présentes observations finales à sa </w:t>
      </w:r>
      <w:r w:rsidR="00B60F87">
        <w:rPr>
          <w:lang w:val="en-US"/>
        </w:rPr>
        <w:t xml:space="preserve">780e </w:t>
      </w:r>
      <w:r w:rsidRPr="008E67C2">
        <w:rPr>
          <w:lang w:val="en-US"/>
        </w:rPr>
        <w:t xml:space="preserve">séance, tenue le </w:t>
      </w:r>
      <w:r w:rsidR="006526F2">
        <w:rPr>
          <w:lang w:val="en-US"/>
        </w:rPr>
        <w:t xml:space="preserve">18 mars </w:t>
      </w:r>
      <w:r w:rsidR="006526F2">
        <w:rPr>
          <w:lang w:val="en-US"/>
        </w:rPr>
        <w:t xml:space="preserve">2025</w:t>
      </w:r>
      <w:r w:rsidRPr="008E67C2">
        <w:rPr>
          <w:lang w:val="en-US"/>
        </w:rPr>
        <w:t xml:space="preserve">.</w:t>
      </w:r>
    </w:p>
    <w:p w:rsidRPr="008E67C2" w:rsidR="008E67C2" w:rsidP="00497962" w:rsidRDefault="008E67C2" w14:paraId="2ADE5365" w14:textId="480A0DD5">
      <w:pPr>
        <w:pStyle w:val="SingleTxtG"/>
        <w:numPr>
          <w:ilvl w:val="0"/>
          <w:numId w:val="22"/>
        </w:numPr>
        <w:ind w:start="1134" w:firstLine="0"/>
        <w:rPr>
          <w:vertAlign w:val="superscript"/>
          <w:lang w:val="en-US"/>
        </w:rPr>
      </w:pPr>
      <w:r w:rsidRPr="008E67C2">
        <w:rPr>
          <w:lang w:val="en-US"/>
        </w:rPr>
        <w:t xml:space="preserve">Le Comité accueille avec satisfaction les </w:t>
      </w:r>
      <w:r w:rsidR="00B327B6">
        <w:rPr>
          <w:lang w:val="en-US"/>
        </w:rPr>
        <w:t xml:space="preserve">deuxième et troisième </w:t>
      </w:r>
      <w:r w:rsidRPr="008E67C2">
        <w:rPr>
          <w:lang w:val="en-US"/>
        </w:rPr>
        <w:t xml:space="preserve">rapports </w:t>
      </w:r>
      <w:r w:rsidR="00B327B6">
        <w:rPr>
          <w:lang w:val="en-US"/>
        </w:rPr>
        <w:t xml:space="preserve">périodiques </w:t>
      </w:r>
      <w:r w:rsidRPr="008E67C2">
        <w:rPr>
          <w:lang w:val="en-US"/>
        </w:rPr>
        <w:t xml:space="preserve">de l'</w:t>
      </w:r>
      <w:r w:rsidR="00B327B6">
        <w:rPr>
          <w:lang w:val="en-US"/>
        </w:rPr>
        <w:t xml:space="preserve">Union européenne, </w:t>
      </w:r>
      <w:r w:rsidRPr="00497962" w:rsidR="000027F2">
        <w:t xml:space="preserve">qui ont été soumis </w:t>
      </w:r>
      <w:r w:rsidR="00CD72CA">
        <w:rPr>
          <w:lang w:val="en-US"/>
        </w:rPr>
        <w:t xml:space="preserve">conformément à la </w:t>
      </w:r>
      <w:r w:rsidR="00044044">
        <w:rPr>
          <w:lang w:val="en-US"/>
        </w:rPr>
        <w:t xml:space="preserve">procédure simplifiée de présentation des </w:t>
      </w:r>
      <w:r w:rsidR="00780C7D">
        <w:rPr>
          <w:lang w:val="en-US"/>
        </w:rPr>
        <w:t xml:space="preserve">rapports</w:t>
      </w:r>
      <w:r w:rsidR="00CF33B9">
        <w:rPr>
          <w:lang w:val="en-US"/>
        </w:rPr>
        <w:t xml:space="preserve">, en réponse </w:t>
      </w:r>
      <w:r w:rsidRPr="008E67C2">
        <w:rPr>
          <w:lang w:val="en-US"/>
        </w:rPr>
        <w:t xml:space="preserve">à la liste des points à traiter </w:t>
      </w:r>
      <w:r w:rsidRPr="008E67C2">
        <w:rPr>
          <w:lang w:val="en-US"/>
        </w:rPr>
        <w:t xml:space="preserve">établie par le Comité.</w:t>
      </w:r>
    </w:p>
    <w:p w:rsidRPr="00497962" w:rsidR="008E67C2" w:rsidP="00497962" w:rsidRDefault="008E67C2" w14:paraId="2E321A3E" w14:textId="560BCA42">
      <w:pPr>
        <w:pStyle w:val="SingleTxtG"/>
        <w:numPr>
          <w:ilvl w:val="0"/>
          <w:numId w:val="22"/>
        </w:numPr>
        <w:ind w:start="1134" w:firstLine="0"/>
      </w:pPr>
      <w:r w:rsidRPr="00497962">
        <w:t xml:space="preserve">Le Comité se félicite du dialogue constructif qu'il a eu avec la délégation de l'État partie </w:t>
      </w:r>
      <w:r w:rsidRPr="00497962" w:rsidR="00015EC4">
        <w:t xml:space="preserve">dirigée par S. E. Mme Hadja </w:t>
      </w:r>
      <w:r w:rsidRPr="00497962" w:rsidR="00D06CA1">
        <w:t xml:space="preserve">Lahbib, </w:t>
      </w:r>
      <w:r w:rsidRPr="00497962" w:rsidR="00015EC4">
        <w:t xml:space="preserve">commissaire à l'égalité</w:t>
      </w:r>
      <w:r w:rsidRPr="00497962" w:rsidR="00DB60B6">
        <w:t xml:space="preserve">, à la </w:t>
      </w:r>
      <w:r w:rsidRPr="00497962" w:rsidR="00015EC4">
        <w:t xml:space="preserve">préparation et à la gestion des crises </w:t>
      </w:r>
      <w:r w:rsidRPr="00497962" w:rsidR="00D00D3E">
        <w:t xml:space="preserve">à la </w:t>
      </w:r>
      <w:r w:rsidRPr="00497962" w:rsidR="00015EC4">
        <w:t xml:space="preserve">Commission européenne</w:t>
      </w:r>
      <w:r w:rsidRPr="00497962">
        <w:t xml:space="preserve">. </w:t>
      </w:r>
      <w:r w:rsidRPr="00497962">
        <w:t xml:space="preserve">Le Comité apprécie également la participation de </w:t>
      </w:r>
      <w:r w:rsidRPr="00497962" w:rsidR="00D06CA1">
        <w:t xml:space="preserve">représentants </w:t>
      </w:r>
      <w:r w:rsidRPr="00497962" w:rsidR="008F7411">
        <w:t xml:space="preserve">du Parlement européen</w:t>
      </w:r>
      <w:r w:rsidRPr="00497962" w:rsidR="00C87139">
        <w:t xml:space="preserve">, du </w:t>
      </w:r>
      <w:r w:rsidRPr="00497962" w:rsidR="008F7411">
        <w:t xml:space="preserve">Médiateur européen </w:t>
      </w:r>
      <w:r w:rsidRPr="00497962" w:rsidR="00C87139">
        <w:t xml:space="preserve">et de l'Agence des droits fondamentaux, </w:t>
      </w:r>
      <w:r w:rsidRPr="00497962" w:rsidR="00C87139">
        <w:t xml:space="preserve">parmi les </w:t>
      </w:r>
      <w:r w:rsidRPr="00497962" w:rsidR="00FE1FC2">
        <w:t xml:space="preserve">entités </w:t>
      </w:r>
      <w:r w:rsidRPr="00497962" w:rsidR="008F7411">
        <w:t xml:space="preserve">qui sont membres du cadre de suivi indépendant</w:t>
      </w:r>
      <w:r w:rsidRPr="00497962">
        <w:t xml:space="preserve">, conformément à l'article 33 (2) de la Convention.</w:t>
      </w:r>
    </w:p>
    <w:p w:rsidR="00403F5A" w:rsidP="00403F5A" w:rsidRDefault="00403F5A" w14:paraId="274EC3B6" w14:textId="6B5FCA3E">
      <w:pPr>
        <w:pStyle w:val="HChG"/>
      </w:pPr>
      <w:r w:rsidRPr="00404879">
        <w:tab/>
      </w:r>
      <w:r w:rsidRPr="00404879">
        <w:t xml:space="preserve">II.</w:t>
      </w:r>
      <w:r w:rsidRPr="00404879">
        <w:tab/>
      </w:r>
      <w:r w:rsidRPr="00404879" w:rsidDel="00EA21D9">
        <w:t xml:space="preserve">Aspects</w:t>
      </w:r>
      <w:r w:rsidRPr="00404879">
        <w:t xml:space="preserve"> positifs </w:t>
      </w:r>
    </w:p>
    <w:p w:rsidRPr="00B65E27" w:rsidR="00B65E27" w:rsidP="00497962" w:rsidRDefault="00B65E27" w14:paraId="5521BA81" w14:textId="1FE4DD2B">
      <w:pPr>
        <w:pStyle w:val="SingleTxtG"/>
        <w:numPr>
          <w:ilvl w:val="0"/>
          <w:numId w:val="22"/>
        </w:numPr>
        <w:ind w:start="1134" w:firstLine="0"/>
      </w:pPr>
      <w:r w:rsidRPr="00B65E27">
        <w:rPr>
          <w:lang w:val="en-US"/>
        </w:rPr>
        <w:t xml:space="preserve">Le Comité se félicite des </w:t>
      </w:r>
      <w:r w:rsidRPr="00B65E27">
        <w:rPr>
          <w:lang w:val="en-US"/>
        </w:rPr>
        <w:t xml:space="preserve">mesures </w:t>
      </w:r>
      <w:r w:rsidR="00064A89">
        <w:rPr>
          <w:lang w:val="en-US"/>
        </w:rPr>
        <w:t xml:space="preserve">législatives et politiques </w:t>
      </w:r>
      <w:r w:rsidRPr="00B65E27">
        <w:rPr>
          <w:lang w:val="en-US"/>
        </w:rPr>
        <w:t xml:space="preserve">prises par l'</w:t>
      </w:r>
      <w:r w:rsidR="00004F41">
        <w:rPr>
          <w:lang w:val="en-US"/>
        </w:rPr>
        <w:t xml:space="preserve">Union européenne </w:t>
      </w:r>
      <w:r w:rsidRPr="00B65E27">
        <w:rPr>
          <w:lang w:val="en-US"/>
        </w:rPr>
        <w:t xml:space="preserve">pour </w:t>
      </w:r>
      <w:r w:rsidRPr="00497962">
        <w:t xml:space="preserve">promouvoir les </w:t>
      </w:r>
      <w:r w:rsidRPr="00B65E27">
        <w:rPr>
          <w:lang w:val="en-US"/>
        </w:rPr>
        <w:t xml:space="preserve">droits des personnes handicapées et mettre en œuvre la Convention depuis les </w:t>
      </w:r>
      <w:r w:rsidR="006D1580">
        <w:rPr>
          <w:lang w:val="en-US"/>
        </w:rPr>
        <w:t xml:space="preserve">précédentes observations finales et recommandations </w:t>
      </w:r>
      <w:r w:rsidR="006D1580">
        <w:rPr>
          <w:lang w:val="en-US"/>
        </w:rPr>
        <w:t xml:space="preserve">du Comité</w:t>
      </w:r>
      <w:r w:rsidR="006D1580">
        <w:rPr>
          <w:lang w:val="en-US"/>
        </w:rPr>
        <w:t xml:space="preserve">, en 2015, notamment les </w:t>
      </w:r>
      <w:r w:rsidRPr="00B65E27">
        <w:rPr>
          <w:lang w:val="en-US"/>
        </w:rPr>
        <w:t xml:space="preserve">suivantes :</w:t>
      </w:r>
    </w:p>
    <w:p w:rsidR="001F671B" w:rsidP="00497962" w:rsidRDefault="00B65E27" w14:paraId="5D3FF2E9" w14:textId="4ADC702C">
      <w:pPr>
        <w:pStyle w:val="SingleTxtG"/>
        <w:ind w:firstLine="567"/>
        <w:rPr>
          <w:lang w:val="en-US"/>
        </w:rPr>
      </w:pPr>
      <w:r w:rsidRPr="00B65E27">
        <w:rPr>
          <w:lang w:val="en-US"/>
        </w:rPr>
        <w:t xml:space="preserve">(a)</w:t>
      </w:r>
      <w:r w:rsidRPr="00B65E27">
        <w:rPr>
          <w:lang w:val="en-US"/>
        </w:rPr>
        <w:tab/>
      </w:r>
      <w:r w:rsidRPr="000E61D5" w:rsidR="003F1D87">
        <w:t xml:space="preserve">L'adoption en 2024 de la loi sur la lutte contre la violence à l'égard des femmes et la violence domestique, et la </w:t>
      </w:r>
      <w:r w:rsidR="00544309">
        <w:t xml:space="preserve">directive</w:t>
      </w:r>
      <w:r w:rsidRPr="000E61D5" w:rsidR="003F1D87">
        <w:t xml:space="preserve"> révisée </w:t>
      </w:r>
      <w:r w:rsidR="00544309">
        <w:t xml:space="preserve">sur</w:t>
      </w:r>
      <w:r w:rsidRPr="000E61D5" w:rsidR="003F1D87">
        <w:t xml:space="preserve"> la lutte contre la traite des êtres humains </w:t>
      </w:r>
      <w:r w:rsidR="003F0362">
        <w:rPr>
          <w:lang w:val="en-US"/>
        </w:rPr>
        <w:t xml:space="preserve">; </w:t>
      </w:r>
    </w:p>
    <w:p w:rsidR="00F66F58" w:rsidP="00497962" w:rsidRDefault="00064A89" w14:paraId="0838D6B6" w14:textId="5510C19F">
      <w:pPr>
        <w:pStyle w:val="SingleTxtG"/>
        <w:ind w:firstLine="567"/>
        <w:rPr>
          <w:lang w:val="en-US"/>
        </w:rPr>
      </w:pPr>
      <w:r>
        <w:rPr>
          <w:lang w:val="en-US"/>
        </w:rPr>
        <w:t xml:space="preserve">(</w:t>
      </w:r>
      <w:r w:rsidR="00DE5F8D">
        <w:rPr>
          <w:lang w:val="en-US"/>
        </w:rPr>
        <w:t xml:space="preserve">b</w:t>
      </w:r>
      <w:r>
        <w:rPr>
          <w:lang w:val="en-US"/>
        </w:rPr>
        <w:t xml:space="preserve">)</w:t>
      </w:r>
      <w:r>
        <w:rPr>
          <w:lang w:val="en-US"/>
        </w:rPr>
        <w:tab/>
      </w:r>
      <w:r w:rsidRPr="00774AA4" w:rsidR="00F66F58">
        <w:t xml:space="preserve">L'adoption, en 2024, des </w:t>
      </w:r>
      <w:hyperlink w:history="1" r:id="rId15">
        <w:r w:rsidRPr="00774AA4" w:rsidR="00F66F58">
          <w:t xml:space="preserve">deux directives sur les normes pour les organismes de promotion de l'égalité </w:t>
        </w:r>
      </w:hyperlink>
      <w:r w:rsidRPr="00774AA4" w:rsidR="00F66F58">
        <w:t xml:space="preserve">;</w:t>
      </w:r>
    </w:p>
    <w:p w:rsidR="00811FB7" w:rsidP="00497962" w:rsidRDefault="00F66F58" w14:paraId="093A47D3" w14:textId="7EE0DB15">
      <w:pPr>
        <w:pStyle w:val="SingleTxtG"/>
        <w:ind w:firstLine="567"/>
      </w:pPr>
      <w:r>
        <w:rPr>
          <w:lang w:val="en-US"/>
        </w:rPr>
        <w:t xml:space="preserve">(</w:t>
      </w:r>
      <w:r w:rsidR="00DE5F8D">
        <w:rPr>
          <w:lang w:val="en-US"/>
        </w:rPr>
        <w:t xml:space="preserve">c</w:t>
      </w:r>
      <w:r>
        <w:rPr>
          <w:lang w:val="en-US"/>
        </w:rPr>
        <w:t xml:space="preserve">)</w:t>
      </w:r>
      <w:r>
        <w:rPr>
          <w:lang w:val="en-US"/>
        </w:rPr>
        <w:tab/>
      </w:r>
      <w:r w:rsidR="00811FB7">
        <w:rPr>
          <w:lang w:val="en-US"/>
        </w:rPr>
        <w:t xml:space="preserve">La </w:t>
      </w:r>
      <w:r w:rsidRPr="009C4F33" w:rsidR="00811FB7">
        <w:t xml:space="preserve">résolution du </w:t>
      </w:r>
      <w:r w:rsidR="00811FB7">
        <w:rPr>
          <w:lang w:val="en-US"/>
        </w:rPr>
        <w:t xml:space="preserve">Parlement européen </w:t>
      </w:r>
      <w:r w:rsidRPr="009C4F33" w:rsidR="00811FB7">
        <w:t xml:space="preserve">sur "l'harmonisation des droits des personnes autistes" (</w:t>
      </w:r>
      <w:hyperlink w:history="1" r:id="rId16">
        <w:r w:rsidRPr="009C4F33" w:rsidR="00811FB7">
          <w:rPr>
            <w:rStyle w:val="Hyperlink"/>
          </w:rPr>
          <w:t xml:space="preserve">2023/2728(RSP) </w:t>
        </w:r>
      </w:hyperlink>
      <w:r w:rsidRPr="009C4F33" w:rsidR="00811FB7">
        <w:t xml:space="preserve">du 4/10/2023 </w:t>
      </w:r>
      <w:r w:rsidR="00811FB7">
        <w:t xml:space="preserve">;</w:t>
      </w:r>
    </w:p>
    <w:p w:rsidRPr="00AD183F" w:rsidR="009C1550" w:rsidP="00497962" w:rsidRDefault="00811FB7" w14:paraId="3E041F20" w14:textId="6DAFC3F6">
      <w:pPr>
        <w:pStyle w:val="SingleTxtG"/>
        <w:ind w:firstLine="567"/>
      </w:pPr>
      <w:r w:rsidR="00DE5F8D">
        <w:t xml:space="preserve">(d</w:t>
      </w:r>
      <w:r>
        <w:t xml:space="preserve">)</w:t>
      </w:r>
      <w:r>
        <w:tab/>
      </w:r>
      <w:r w:rsidRPr="00AD183F" w:rsidR="009C1550">
        <w:t xml:space="preserve">Le règlement établissant le </w:t>
      </w:r>
      <w:r w:rsidR="00504EF2">
        <w:t xml:space="preserve">programme</w:t>
      </w:r>
      <w:r w:rsidRPr="00AD183F" w:rsidR="009C1550">
        <w:t xml:space="preserve"> Horizon Europe (2021- 2027) </w:t>
      </w:r>
      <w:r w:rsidRPr="00AD183F" w:rsidR="009C1550">
        <w:t xml:space="preserve">; </w:t>
      </w:r>
    </w:p>
    <w:p w:rsidRPr="00AD183F" w:rsidR="00F16444" w:rsidP="00497962" w:rsidRDefault="009C1550" w14:paraId="462D5336" w14:textId="0AFD9B66">
      <w:pPr>
        <w:pStyle w:val="SingleTxtG"/>
        <w:ind w:firstLine="567"/>
        <w:rPr>
          <w:lang w:val="en-US"/>
        </w:rPr>
      </w:pPr>
      <w:r w:rsidR="00DE5F8D">
        <w:t xml:space="preserve">(e</w:t>
      </w:r>
      <w:r w:rsidRPr="00AD183F">
        <w:t xml:space="preserve">)</w:t>
      </w:r>
      <w:r w:rsidRPr="00AD183F">
        <w:tab/>
      </w:r>
      <w:r w:rsidRPr="00A478D4" w:rsidR="00F16444">
        <w:t xml:space="preserve">L'</w:t>
      </w:r>
      <w:r w:rsidRPr="00A478D4" w:rsidR="00F16444">
        <w:t xml:space="preserve">adoption</w:t>
      </w:r>
      <w:r w:rsidR="00F16444">
        <w:t xml:space="preserve">, en avril 2019, </w:t>
      </w:r>
      <w:r w:rsidRPr="00A478D4" w:rsidR="00F16444">
        <w:t xml:space="preserve">de l'Acte européen sur l'accessibilité </w:t>
      </w:r>
      <w:r w:rsidR="00F16444">
        <w:t xml:space="preserve">;</w:t>
      </w:r>
    </w:p>
    <w:p w:rsidR="00F16444" w:rsidP="00497962" w:rsidRDefault="00F16444" w14:paraId="7FC85523" w14:textId="3E3F423D">
      <w:pPr>
        <w:pStyle w:val="SingleTxtG"/>
        <w:ind w:firstLine="567"/>
      </w:pPr>
      <w:r w:rsidRPr="00AD183F">
        <w:rPr>
          <w:lang w:val="en-US"/>
        </w:rPr>
        <w:tab/>
      </w:r>
      <w:r w:rsidRPr="00AD183F">
        <w:rPr>
          <w:lang w:val="en-US"/>
        </w:rPr>
        <w:t xml:space="preserve">(</w:t>
      </w:r>
      <w:r w:rsidR="00DE5F8D">
        <w:rPr>
          <w:lang w:val="en-US"/>
        </w:rPr>
        <w:t xml:space="preserve">f</w:t>
      </w:r>
      <w:r w:rsidRPr="00AD183F">
        <w:rPr>
          <w:lang w:val="en-US"/>
        </w:rPr>
        <w:t xml:space="preserve">)</w:t>
      </w:r>
      <w:r w:rsidRPr="00AD183F">
        <w:rPr>
          <w:lang w:val="en-US"/>
        </w:rPr>
        <w:tab/>
      </w:r>
      <w:r w:rsidRPr="00A478D4">
        <w:t xml:space="preserve">L'adoption</w:t>
      </w:r>
      <w:r>
        <w:t xml:space="preserve">, en 2016, </w:t>
      </w:r>
      <w:r w:rsidRPr="00A478D4">
        <w:t xml:space="preserve">de la directive sur l'accessibilité du web </w:t>
      </w:r>
      <w:r>
        <w:t xml:space="preserve">;</w:t>
      </w:r>
    </w:p>
    <w:p w:rsidR="00544309" w:rsidP="00497962" w:rsidRDefault="00F16444" w14:paraId="7FCD5358" w14:textId="1BDD021E">
      <w:pPr>
        <w:pStyle w:val="SingleTxtG"/>
        <w:ind w:firstLine="567"/>
        <w:rPr>
          <w:lang w:val="en-US"/>
        </w:rPr>
      </w:pPr>
      <w:r>
        <w:rPr>
          <w:lang w:val="en-US"/>
        </w:rPr>
        <w:t xml:space="preserve">(</w:t>
      </w:r>
      <w:r w:rsidR="00DE5F8D">
        <w:rPr>
          <w:lang w:val="en-US"/>
        </w:rPr>
        <w:t xml:space="preserve">g</w:t>
      </w:r>
      <w:r>
        <w:rPr>
          <w:lang w:val="en-US"/>
        </w:rPr>
        <w:t xml:space="preserve">)</w:t>
      </w:r>
      <w:r>
        <w:rPr>
          <w:lang w:val="en-US"/>
        </w:rPr>
        <w:tab/>
      </w:r>
      <w:r w:rsidR="00544309">
        <w:rPr>
          <w:lang w:val="en-US"/>
        </w:rPr>
        <w:t xml:space="preserve">l'adoption de l'Union de l'égalité : </w:t>
      </w:r>
      <w:r w:rsidRPr="00B65E27" w:rsidR="00544309">
        <w:rPr>
          <w:lang w:val="en-US"/>
        </w:rPr>
        <w:t xml:space="preserve">Stratégie pour les </w:t>
      </w:r>
      <w:r w:rsidR="00544309">
        <w:rPr>
          <w:lang w:val="en-US"/>
        </w:rPr>
        <w:t xml:space="preserve">droits des personnes handicapées 2021-2030, </w:t>
      </w:r>
      <w:r w:rsidRPr="00B65E27" w:rsidR="00544309">
        <w:rPr>
          <w:lang w:val="en-US"/>
        </w:rPr>
        <w:t xml:space="preserve">en </w:t>
      </w:r>
      <w:r w:rsidR="00544309">
        <w:rPr>
          <w:lang w:val="en-US"/>
        </w:rPr>
        <w:t xml:space="preserve">mars </w:t>
      </w:r>
      <w:r w:rsidRPr="00B65E27" w:rsidR="00544309">
        <w:rPr>
          <w:lang w:val="en-US"/>
        </w:rPr>
        <w:t xml:space="preserve">2021 </w:t>
      </w:r>
      <w:r w:rsidR="00544309">
        <w:rPr>
          <w:lang w:val="en-US"/>
        </w:rPr>
        <w:t xml:space="preserve">; </w:t>
      </w:r>
    </w:p>
    <w:p w:rsidR="00F66F58" w:rsidP="009C1550" w:rsidRDefault="00811FB7" w14:paraId="0F104615" w14:textId="088D1C1E">
      <w:pPr>
        <w:pStyle w:val="SingleTxtG"/>
        <w:ind w:firstLine="567"/>
      </w:pPr>
      <w:r>
        <w:t xml:space="preserve">(</w:t>
      </w:r>
      <w:r w:rsidR="00DE5F8D">
        <w:t xml:space="preserve">h</w:t>
      </w:r>
      <w:r>
        <w:t xml:space="preserve">)</w:t>
      </w:r>
      <w:r>
        <w:tab/>
      </w:r>
      <w:r w:rsidRPr="00F66F58" w:rsidR="00F66F58">
        <w:t xml:space="preserve">Le nouveau plan d'action sur le genre (GAP III) </w:t>
      </w:r>
      <w:r w:rsidR="00F66F58">
        <w:t xml:space="preserve">visant à </w:t>
      </w:r>
      <w:r w:rsidR="00F66F58">
        <w:t xml:space="preserve">promouvoir l'</w:t>
      </w:r>
      <w:r w:rsidRPr="00F66F58" w:rsidR="00F66F58">
        <w:t xml:space="preserve">égalité des sexes et l'autonomisation des femmes dans l'ensemble des actions extérieures de l'UE pour la période 2021-2025 </w:t>
      </w:r>
      <w:r w:rsidR="00504EF2">
        <w:t xml:space="preserve">;</w:t>
      </w:r>
    </w:p>
    <w:p w:rsidR="00064A89" w:rsidP="009C1550" w:rsidRDefault="00064A89" w14:paraId="1BF2313D" w14:textId="287C5EFA">
      <w:pPr>
        <w:pStyle w:val="SingleTxtG"/>
        <w:ind w:firstLine="567"/>
      </w:pPr>
      <w:r>
        <w:lastRenderedPageBreak/>
      </w:r>
      <w:r>
        <w:t xml:space="preserve">(</w:t>
      </w:r>
      <w:r w:rsidR="00DE5F8D">
        <w:t xml:space="preserve">i</w:t>
      </w:r>
      <w:r>
        <w:t xml:space="preserve">)</w:t>
      </w:r>
      <w:r>
        <w:tab/>
      </w:r>
      <w:r w:rsidRPr="002037BD">
        <w:t xml:space="preserve">L'adoption, en 2021, de la nouvelle stratégie sur les droits de l'enfant </w:t>
      </w:r>
      <w:r>
        <w:t xml:space="preserve">;</w:t>
      </w:r>
    </w:p>
    <w:p w:rsidRPr="00AD183F" w:rsidR="009C1550" w:rsidP="009C1550" w:rsidRDefault="00F66F58" w14:paraId="0483683B" w14:textId="46545983">
      <w:pPr>
        <w:pStyle w:val="SingleTxtG"/>
        <w:ind w:firstLine="567"/>
      </w:pPr>
      <w:r w:rsidR="00DE5F8D">
        <w:t xml:space="preserve">(j</w:t>
      </w:r>
      <w:r>
        <w:t xml:space="preserve">)</w:t>
      </w:r>
      <w:r>
        <w:tab/>
      </w:r>
      <w:r w:rsidRPr="00AD183F" w:rsidR="009C1550">
        <w:t xml:space="preserve">La communication de l'UE sur l'aide humanitaire de 2021 </w:t>
      </w:r>
      <w:r w:rsidR="00F16444">
        <w:t xml:space="preserve">et les </w:t>
      </w:r>
      <w:r w:rsidRPr="00AD183F" w:rsidR="00F16444">
        <w:t xml:space="preserve">orientations opérationnelles de 2019 sur l'inclusion des personnes handicapées dans les opérations d'aide humanitaire financées par l'UE</w:t>
      </w:r>
      <w:r w:rsidR="00F16444">
        <w:t xml:space="preserve">.</w:t>
      </w:r>
    </w:p>
    <w:p w:rsidR="009C6AC7" w:rsidP="004E0C64" w:rsidRDefault="00085931" w14:paraId="384C76CE" w14:textId="31FF49FE">
      <w:pPr>
        <w:pStyle w:val="SingleTxtG"/>
        <w:numPr>
          <w:ilvl w:val="0"/>
          <w:numId w:val="22"/>
        </w:numPr>
        <w:ind w:start="1134" w:firstLine="0"/>
      </w:pPr>
      <w:r>
        <w:t xml:space="preserve">Le Comité </w:t>
      </w:r>
      <w:r w:rsidR="008159A6">
        <w:t xml:space="preserve">se félicite </w:t>
      </w:r>
      <w:r>
        <w:t xml:space="preserve">également </w:t>
      </w:r>
      <w:r w:rsidR="008159A6">
        <w:t xml:space="preserve">de la </w:t>
      </w:r>
      <w:r w:rsidRPr="009C6AC7" w:rsidR="009C6AC7">
        <w:t xml:space="preserve">ratification par </w:t>
      </w:r>
      <w:r w:rsidR="00004F41">
        <w:t xml:space="preserve">l'Union européenne </w:t>
      </w:r>
      <w:r w:rsidRPr="009C6AC7" w:rsidR="009C6AC7">
        <w:t xml:space="preserve">de la </w:t>
      </w:r>
      <w:r w:rsidRPr="004E0C64" w:rsidR="009C6AC7">
        <w:rPr>
          <w:lang w:val="en-US"/>
        </w:rPr>
        <w:t xml:space="preserve">Convention </w:t>
      </w:r>
      <w:r w:rsidRPr="009C6AC7" w:rsidR="009C6AC7">
        <w:t xml:space="preserve">du Conseil de l'Europe </w:t>
      </w:r>
      <w:r w:rsidRPr="009C6AC7" w:rsidR="009C6AC7">
        <w:t xml:space="preserve">sur la prévention et la lutte contre la violence à l'égard des femmes et la violence domestique, dite "Convention d'Istanbul", en 2023.</w:t>
      </w:r>
    </w:p>
    <w:p w:rsidRPr="00404879" w:rsidR="00403F5A" w:rsidP="00403F5A" w:rsidRDefault="00403F5A" w14:paraId="5ADC9C74" w14:textId="3EECEAF6">
      <w:pPr>
        <w:pStyle w:val="HChG"/>
      </w:pPr>
      <w:r>
        <w:tab/>
      </w:r>
      <w:r w:rsidRPr="00404879">
        <w:t xml:space="preserve">III.</w:t>
      </w:r>
      <w:r w:rsidRPr="00404879">
        <w:tab/>
      </w:r>
      <w:r w:rsidRPr="00404879">
        <w:t xml:space="preserve">Principaux sujets de préoccupation et recommandations</w:t>
      </w:r>
    </w:p>
    <w:p w:rsidR="00403F5A" w:rsidP="00877F01" w:rsidRDefault="00403F5A" w14:paraId="5C6B06B3" w14:textId="205A1E6A">
      <w:pPr>
        <w:pStyle w:val="H1G"/>
        <w:numPr>
          <w:ilvl w:val="0"/>
          <w:numId w:val="9"/>
        </w:numPr>
      </w:pPr>
      <w:r w:rsidRPr="00404879">
        <w:t xml:space="preserve">Principes généraux et obligations (art. 1-4)</w:t>
      </w:r>
    </w:p>
    <w:p w:rsidR="0033212A" w:rsidP="004E0C64" w:rsidRDefault="004864B2" w14:paraId="7C66C6DF" w14:textId="77777777">
      <w:pPr>
        <w:pStyle w:val="SingleTxtG"/>
        <w:numPr>
          <w:ilvl w:val="0"/>
          <w:numId w:val="22"/>
        </w:numPr>
        <w:ind w:start="1134" w:firstLine="0"/>
        <w:rPr>
          <w:lang w:val="en-US"/>
        </w:rPr>
      </w:pPr>
      <w:r>
        <w:rPr>
          <w:lang w:val="en-US"/>
        </w:rPr>
        <w:t xml:space="preserve">Le</w:t>
      </w:r>
      <w:r w:rsidRPr="004E0C64">
        <w:t xml:space="preserve"> Comité </w:t>
      </w:r>
      <w:r>
        <w:rPr>
          <w:lang w:val="en-US"/>
        </w:rPr>
        <w:t xml:space="preserve">observe avec </w:t>
      </w:r>
      <w:r w:rsidR="0033212A">
        <w:rPr>
          <w:lang w:val="en-US"/>
        </w:rPr>
        <w:t xml:space="preserve">préoccupation </w:t>
      </w:r>
    </w:p>
    <w:p w:rsidR="004864B2" w:rsidP="00877F01" w:rsidRDefault="0033212A" w14:paraId="2C53CCF4" w14:textId="45E474C9">
      <w:pPr>
        <w:pStyle w:val="SingleTxtG"/>
        <w:ind w:firstLine="567"/>
        <w:rPr>
          <w:lang w:val="en-US"/>
        </w:rPr>
      </w:pPr>
      <w:r>
        <w:rPr>
          <w:lang w:val="en-US"/>
        </w:rPr>
        <w:t xml:space="preserve">(a)</w:t>
      </w:r>
      <w:r>
        <w:rPr>
          <w:lang w:val="en-US"/>
        </w:rPr>
        <w:tab/>
      </w:r>
      <w:r w:rsidR="00DD7D66">
        <w:rPr>
          <w:lang w:val="en-US"/>
        </w:rPr>
        <w:t xml:space="preserve">Que </w:t>
      </w:r>
      <w:r w:rsidR="00866699">
        <w:rPr>
          <w:lang w:val="en-US"/>
        </w:rPr>
        <w:t xml:space="preserve">la mise en œuvre de la Convention est entravée </w:t>
      </w:r>
      <w:r w:rsidR="006F4A59">
        <w:rPr>
          <w:lang w:val="en-US"/>
        </w:rPr>
        <w:t xml:space="preserve">par la jurisprudence selon laquelle </w:t>
      </w:r>
      <w:r w:rsidR="00DD7D66">
        <w:rPr>
          <w:lang w:val="en-US"/>
        </w:rPr>
        <w:t xml:space="preserve">la validité du droit dérivé de l'UE ne peut être directement évaluée à la lumière de la Convention, et que les droits garantis par la Convention n'ont pas d'effet direct dans le droit de l'UE ; </w:t>
      </w:r>
    </w:p>
    <w:p w:rsidR="006A2AD2" w:rsidP="00877F01" w:rsidRDefault="006A2AD2" w14:paraId="13493C8F" w14:textId="29C65ABC">
      <w:pPr>
        <w:pStyle w:val="SingleTxtG"/>
        <w:ind w:firstLine="567"/>
        <w:rPr>
          <w:lang w:val="en-US"/>
        </w:rPr>
      </w:pPr>
      <w:r>
        <w:rPr>
          <w:lang w:val="en-US"/>
        </w:rPr>
        <w:t xml:space="preserve">(b)</w:t>
      </w:r>
      <w:r>
        <w:rPr>
          <w:lang w:val="en-US"/>
        </w:rPr>
        <w:tab/>
      </w:r>
      <w:r w:rsidRPr="00E023F5" w:rsidR="00E023F5">
        <w:rPr>
          <w:lang w:val="en-US"/>
        </w:rPr>
        <w:t xml:space="preserve">Que même après le dialogue constructif avec la délégation de l'UE, il subsiste une certaine incertitude quant à la question de savoir si l'</w:t>
      </w:r>
      <w:r w:rsidR="00004F41">
        <w:rPr>
          <w:lang w:val="en-US"/>
        </w:rPr>
        <w:t xml:space="preserve">Union européenne </w:t>
      </w:r>
      <w:r w:rsidRPr="00E023F5" w:rsidR="00E023F5">
        <w:rPr>
          <w:lang w:val="en-US"/>
        </w:rPr>
        <w:t xml:space="preserve">accepte les interprétations de la Convention par le Comité, y compris celles adoptées dans ses observations générales, comme faisant autorité ;</w:t>
      </w:r>
    </w:p>
    <w:p w:rsidR="0033212A" w:rsidP="00877F01" w:rsidRDefault="0033212A" w14:paraId="1AB3CC73" w14:textId="3993A062">
      <w:pPr>
        <w:pStyle w:val="SingleTxtG"/>
        <w:ind w:firstLine="567"/>
        <w:rPr>
          <w:lang w:val="en-US"/>
        </w:rPr>
      </w:pPr>
      <w:r>
        <w:rPr>
          <w:lang w:val="en-US"/>
        </w:rPr>
        <w:t xml:space="preserve">(</w:t>
      </w:r>
      <w:r w:rsidR="006A2AD2">
        <w:rPr>
          <w:lang w:val="en-US"/>
        </w:rPr>
        <w:t xml:space="preserve">c</w:t>
      </w:r>
      <w:r>
        <w:rPr>
          <w:lang w:val="en-US"/>
        </w:rPr>
        <w:t xml:space="preserve">)</w:t>
      </w:r>
      <w:r>
        <w:rPr>
          <w:lang w:val="en-US"/>
        </w:rPr>
        <w:tab/>
      </w:r>
      <w:r w:rsidR="00DD7D66">
        <w:rPr>
          <w:lang w:val="en-US"/>
        </w:rPr>
        <w:t xml:space="preserve">L'</w:t>
      </w:r>
      <w:r w:rsidR="00004F41">
        <w:rPr>
          <w:lang w:val="en-US"/>
        </w:rPr>
        <w:t xml:space="preserve">Union européenne </w:t>
      </w:r>
      <w:r w:rsidR="00DD7D66">
        <w:rPr>
          <w:lang w:val="en-US"/>
        </w:rPr>
        <w:t xml:space="preserve">n'a pas ratifié </w:t>
      </w:r>
      <w:r>
        <w:rPr>
          <w:lang w:val="en-US"/>
        </w:rPr>
        <w:t xml:space="preserve">le Protocole facultatif à la Convention</w:t>
      </w:r>
      <w:r w:rsidR="007B3AA7">
        <w:rPr>
          <w:lang w:val="en-US"/>
        </w:rPr>
        <w:t xml:space="preserve">. </w:t>
      </w:r>
    </w:p>
    <w:p w:rsidRPr="00796FC4" w:rsidR="00796FC4" w:rsidP="004E0C64" w:rsidRDefault="00AE24A9" w14:paraId="0C9A2860" w14:textId="6F7CB161">
      <w:pPr>
        <w:pStyle w:val="SingleTxtG"/>
        <w:numPr>
          <w:ilvl w:val="0"/>
          <w:numId w:val="22"/>
        </w:numPr>
        <w:ind w:start="1134" w:firstLine="0"/>
      </w:pPr>
      <w:r w:rsidRPr="006879C4">
        <w:rPr>
          <w:b/>
          <w:bCs/>
          <w:lang w:val="en-US"/>
        </w:rPr>
        <w:t xml:space="preserve">Le Comité </w:t>
      </w:r>
      <w:r w:rsidRPr="006879C4" w:rsidR="006879C4">
        <w:rPr>
          <w:b/>
          <w:bCs/>
          <w:lang w:val="en-US"/>
        </w:rPr>
        <w:t xml:space="preserve">recommande à l'</w:t>
      </w:r>
      <w:r w:rsidR="00004F41">
        <w:rPr>
          <w:b/>
          <w:bCs/>
          <w:lang w:val="en-US"/>
        </w:rPr>
        <w:t xml:space="preserve">Union européenne</w:t>
      </w:r>
    </w:p>
    <w:p w:rsidRPr="004E0C64" w:rsidR="006A2AD2" w:rsidP="00877F01" w:rsidRDefault="00796FC4" w14:paraId="7576EF49" w14:textId="6DB7AE0F">
      <w:pPr>
        <w:pStyle w:val="SingleTxtG"/>
        <w:ind w:firstLine="567"/>
        <w:rPr>
          <w:b/>
          <w:bCs/>
        </w:rPr>
      </w:pPr>
      <w:r w:rsidRPr="004E0C64">
        <w:rPr>
          <w:b/>
          <w:bCs/>
        </w:rPr>
        <w:t xml:space="preserve">(a)</w:t>
      </w:r>
      <w:r w:rsidRPr="004E0C64" w:rsidR="00D14312">
        <w:rPr>
          <w:b/>
          <w:bCs/>
          <w:lang w:val="en-US"/>
        </w:rPr>
        <w:tab/>
      </w:r>
      <w:r w:rsidR="00866699">
        <w:rPr>
          <w:b/>
          <w:bCs/>
          <w:lang w:val="en-US"/>
        </w:rPr>
        <w:t xml:space="preserve">D'améliorer la mise en œuvre de la Convention en </w:t>
      </w:r>
      <w:r w:rsidR="00866699">
        <w:rPr>
          <w:b/>
          <w:bCs/>
        </w:rPr>
        <w:t xml:space="preserve">veillant à ce que </w:t>
      </w:r>
      <w:r w:rsidRPr="004E0C64" w:rsidR="006879C4">
        <w:rPr>
          <w:b/>
          <w:bCs/>
        </w:rPr>
        <w:t xml:space="preserve">la Convention </w:t>
      </w:r>
      <w:r w:rsidRPr="004E0C64" w:rsidR="006A2AD2">
        <w:rPr>
          <w:b/>
          <w:bCs/>
        </w:rPr>
        <w:t xml:space="preserve">ait un effet direct dans sa législation et que la validité du droit dérivé de l'UE puisse être directement évaluée à la lumière de la Convention ;</w:t>
      </w:r>
    </w:p>
    <w:p w:rsidRPr="004E0C64" w:rsidR="006A2AD2" w:rsidP="00877F01" w:rsidRDefault="00796FC4" w14:paraId="1037F524" w14:textId="7CE27395">
      <w:pPr>
        <w:pStyle w:val="SingleTxtG"/>
        <w:ind w:firstLine="567"/>
        <w:rPr>
          <w:b/>
          <w:bCs/>
        </w:rPr>
      </w:pPr>
      <w:r w:rsidRPr="004E0C64">
        <w:rPr>
          <w:b/>
          <w:bCs/>
        </w:rPr>
        <w:t xml:space="preserve">(b)</w:t>
      </w:r>
      <w:r w:rsidRPr="004E0C64">
        <w:rPr>
          <w:b/>
          <w:bCs/>
        </w:rPr>
        <w:tab/>
      </w:r>
      <w:r w:rsidRPr="004E0C64" w:rsidR="006A2AD2">
        <w:rPr>
          <w:b/>
          <w:bCs/>
        </w:rPr>
        <w:t xml:space="preserve">Clarifier qu'elle accepte les interprétations de la Convention par le Comité, y compris celles adoptées dans ses observations générales, comme faisant autorité ;</w:t>
      </w:r>
    </w:p>
    <w:p w:rsidR="00C71B32" w:rsidP="00C71B32" w:rsidRDefault="006A2AD2" w14:paraId="756FB5F4" w14:textId="77777777">
      <w:pPr>
        <w:pStyle w:val="SingleTxtG"/>
        <w:ind w:firstLine="567"/>
        <w:rPr>
          <w:b/>
          <w:bCs/>
        </w:rPr>
      </w:pPr>
      <w:r w:rsidRPr="004E0C64">
        <w:rPr>
          <w:b/>
          <w:bCs/>
        </w:rPr>
        <w:t xml:space="preserve">(c)</w:t>
      </w:r>
      <w:r w:rsidRPr="004E0C64">
        <w:rPr>
          <w:b/>
          <w:bCs/>
        </w:rPr>
        <w:tab/>
      </w:r>
      <w:r>
        <w:rPr>
          <w:b/>
          <w:bCs/>
        </w:rPr>
        <w:t xml:space="preserve">Envisager la ratification du Protocole facultatif à la Convention.</w:t>
      </w:r>
    </w:p>
    <w:p w:rsidR="004D04A8" w:rsidP="004E0C64" w:rsidRDefault="00DF51C4" w14:paraId="74A91460" w14:textId="1C662A73">
      <w:pPr>
        <w:pStyle w:val="SingleTxtG"/>
        <w:numPr>
          <w:ilvl w:val="0"/>
          <w:numId w:val="22"/>
        </w:numPr>
        <w:ind w:start="1134" w:firstLine="0"/>
        <w:rPr>
          <w:lang w:val="en-US"/>
        </w:rPr>
      </w:pPr>
      <w:r>
        <w:rPr>
          <w:lang w:val="en-US"/>
        </w:rPr>
        <w:t xml:space="preserve">Le Comité </w:t>
      </w:r>
      <w:r w:rsidR="004D04A8">
        <w:rPr>
          <w:lang w:val="en-US"/>
        </w:rPr>
        <w:t xml:space="preserve">observe avec préoccupation </w:t>
      </w:r>
      <w:r w:rsidR="004D04A8">
        <w:rPr>
          <w:lang w:val="en-US"/>
        </w:rPr>
        <w:t xml:space="preserve">que</w:t>
      </w:r>
    </w:p>
    <w:p w:rsidR="004D04A8" w:rsidP="00BC49D9" w:rsidRDefault="004D04A8" w14:paraId="61F41D99" w14:textId="48BC69FC">
      <w:pPr>
        <w:pStyle w:val="SingleTxtG"/>
        <w:ind w:firstLine="567"/>
        <w:rPr>
          <w:lang w:val="en-US"/>
        </w:rPr>
      </w:pPr>
      <w:r>
        <w:rPr>
          <w:lang w:val="en-US"/>
        </w:rPr>
        <w:t xml:space="preserve">(a)</w:t>
      </w:r>
      <w:r>
        <w:rPr>
          <w:lang w:val="en-US"/>
        </w:rPr>
        <w:tab/>
      </w:r>
      <w:r w:rsidRPr="00BC49D9" w:rsidR="00BC49D9">
        <w:rPr>
          <w:lang w:val="en-US"/>
        </w:rPr>
        <w:t xml:space="preserve">La législation, les politiques </w:t>
      </w:r>
      <w:r w:rsidRPr="00BC49D9" w:rsidR="00BC49D9">
        <w:rPr>
          <w:lang w:val="en-US"/>
        </w:rPr>
        <w:t xml:space="preserve">et les pratiques n'ont pas été systématiquement revues à la lumière de la Convention, comme l'avait recommandé le Comité dans ses précédentes observations finales, et que les projets de loi, tels que le Règlement sur la protection transfrontalière des adultes, ne sont pas conformes aux droits garantis par la Convention ;</w:t>
      </w:r>
    </w:p>
    <w:p w:rsidR="004D04A8" w:rsidP="00F70D35" w:rsidRDefault="004D04A8" w14:paraId="6594FF82" w14:textId="0516CCE2">
      <w:pPr>
        <w:pStyle w:val="SingleTxtG"/>
        <w:ind w:firstLine="567"/>
        <w:rPr>
          <w:lang w:val="en-US"/>
        </w:rPr>
      </w:pPr>
      <w:r>
        <w:rPr>
          <w:lang w:val="en-US"/>
        </w:rPr>
        <w:t xml:space="preserve">(</w:t>
      </w:r>
      <w:r w:rsidR="008B3B09">
        <w:rPr>
          <w:lang w:val="en-US"/>
        </w:rPr>
        <w:t xml:space="preserve">b</w:t>
      </w:r>
      <w:r>
        <w:rPr>
          <w:lang w:val="en-US"/>
        </w:rPr>
        <w:t xml:space="preserve">)</w:t>
      </w:r>
      <w:r>
        <w:rPr>
          <w:lang w:val="en-US"/>
        </w:rPr>
        <w:tab/>
      </w:r>
      <w:r w:rsidR="00EA6938">
        <w:rPr>
          <w:lang w:val="en-US"/>
        </w:rPr>
        <w:t xml:space="preserve">Si l'Union européenne a préparé un aperçu actualisé des </w:t>
      </w:r>
      <w:r w:rsidR="00A57AA3">
        <w:rPr>
          <w:lang w:val="en-US"/>
        </w:rPr>
        <w:t xml:space="preserve">actes pertinents pour la mise en œuvre de la </w:t>
      </w:r>
      <w:r w:rsidR="00866699">
        <w:rPr>
          <w:lang w:val="en-US"/>
        </w:rPr>
        <w:t xml:space="preserve">Convention </w:t>
      </w:r>
      <w:r w:rsidR="00FC552E">
        <w:rPr>
          <w:lang w:val="en-US"/>
        </w:rPr>
        <w:t xml:space="preserve">en 2017</w:t>
      </w:r>
      <w:r w:rsidR="00A57AA3">
        <w:rPr>
          <w:lang w:val="en-US"/>
        </w:rPr>
        <w:t xml:space="preserve">, </w:t>
      </w:r>
      <w:r w:rsidR="00EC651B">
        <w:rPr>
          <w:lang w:val="en-US"/>
        </w:rPr>
        <w:t xml:space="preserve">une </w:t>
      </w:r>
      <w:r w:rsidRPr="00F70D35" w:rsidR="00F70D35">
        <w:rPr>
          <w:lang w:val="en-US"/>
        </w:rPr>
        <w:t xml:space="preserve">mise à jour </w:t>
      </w:r>
      <w:r w:rsidR="00A57AA3">
        <w:rPr>
          <w:lang w:val="en-US"/>
        </w:rPr>
        <w:t xml:space="preserve">formelle </w:t>
      </w:r>
      <w:r w:rsidRPr="00F70D35" w:rsidR="00F70D35">
        <w:rPr>
          <w:lang w:val="en-US"/>
        </w:rPr>
        <w:t xml:space="preserve">de la déclaration de compétences au titre de l'article 44 </w:t>
      </w:r>
      <w:r w:rsidRPr="00F70D35" w:rsidR="00F70D35">
        <w:rPr>
          <w:lang w:val="en-US"/>
        </w:rPr>
        <w:t xml:space="preserve">(2) et de sa liste d'instruments en annexe, comme l'avait recommandé le Comité dans ses précédentes Observations finales, n'a pas été entreprise</w:t>
      </w:r>
      <w:r>
        <w:rPr>
          <w:lang w:val="en-US"/>
        </w:rPr>
        <w:t xml:space="preserve">.</w:t>
      </w:r>
    </w:p>
    <w:p w:rsidRPr="00AF0EB6" w:rsidR="00AF0EB6" w:rsidP="004E0C64" w:rsidRDefault="00DF51C4" w14:paraId="24845DE2" w14:textId="66322C7B">
      <w:pPr>
        <w:pStyle w:val="SingleTxtG"/>
        <w:numPr>
          <w:ilvl w:val="0"/>
          <w:numId w:val="22"/>
        </w:numPr>
        <w:ind w:start="1134" w:firstLine="0"/>
        <w:rPr>
          <w:lang w:val="en-US"/>
        </w:rPr>
      </w:pPr>
      <w:r w:rsidRPr="00AF0EB6">
        <w:rPr>
          <w:b/>
          <w:bCs/>
          <w:lang w:val="en-US"/>
        </w:rPr>
        <w:t xml:space="preserve">Le Comité </w:t>
      </w:r>
      <w:r w:rsidRPr="00AF0EB6" w:rsidR="00AE24A9">
        <w:rPr>
          <w:b/>
          <w:bCs/>
          <w:lang w:val="en-US"/>
        </w:rPr>
        <w:t xml:space="preserve">rappelle ses précédentes </w:t>
      </w:r>
      <w:r w:rsidRPr="00AF0EB6" w:rsidR="00AE24A9">
        <w:rPr>
          <w:b/>
          <w:bCs/>
          <w:lang w:val="en-US"/>
        </w:rPr>
        <w:t xml:space="preserve">observations </w:t>
      </w:r>
      <w:r w:rsidRPr="00AF0EB6" w:rsidR="006879C4">
        <w:rPr>
          <w:b/>
          <w:bCs/>
          <w:lang w:val="en-US"/>
        </w:rPr>
        <w:t xml:space="preserve">finales </w:t>
      </w:r>
      <w:r w:rsidRPr="00AF0EB6" w:rsidR="00AE24A9">
        <w:rPr>
          <w:b/>
          <w:bCs/>
          <w:lang w:val="en-US"/>
        </w:rPr>
        <w:t xml:space="preserve">et recommandations (</w:t>
      </w:r>
      <w:r w:rsidRPr="00AF0EB6" w:rsidR="006879C4">
        <w:rPr>
          <w:b/>
          <w:bCs/>
          <w:lang w:val="en-US"/>
        </w:rPr>
        <w:t xml:space="preserve">CRPD/C/EU/CO/1</w:t>
      </w:r>
      <w:r w:rsidRPr="00AF0EB6">
        <w:rPr>
          <w:b/>
          <w:bCs/>
          <w:lang w:val="en-US"/>
        </w:rPr>
        <w:t xml:space="preserve">, par. 9 </w:t>
      </w:r>
      <w:r w:rsidR="00850F47">
        <w:rPr>
          <w:b/>
          <w:bCs/>
          <w:lang w:val="en-US"/>
        </w:rPr>
        <w:t xml:space="preserve">et 17</w:t>
      </w:r>
      <w:r w:rsidRPr="00AF0EB6" w:rsidR="006879C4">
        <w:rPr>
          <w:b/>
          <w:bCs/>
          <w:lang w:val="en-US"/>
        </w:rPr>
        <w:t xml:space="preserve">) </w:t>
      </w:r>
      <w:r w:rsidRPr="00AF0EB6" w:rsidR="00AF0EB6">
        <w:rPr>
          <w:b/>
          <w:bCs/>
          <w:lang w:val="en-US"/>
        </w:rPr>
        <w:t xml:space="preserve">et recommande à l'</w:t>
      </w:r>
      <w:r w:rsidR="00F70D35">
        <w:rPr>
          <w:b/>
          <w:bCs/>
          <w:lang w:val="en-US"/>
        </w:rPr>
        <w:t xml:space="preserve">Union européenne </w:t>
      </w:r>
      <w:r w:rsidR="00AF0EB6">
        <w:rPr>
          <w:b/>
          <w:bCs/>
          <w:lang w:val="en-US"/>
        </w:rPr>
        <w:t xml:space="preserve">:</w:t>
      </w:r>
    </w:p>
    <w:p w:rsidRPr="00801EEB" w:rsidR="00801EEB" w:rsidP="00801EEB" w:rsidRDefault="00801EEB" w14:paraId="627B0EB4" w14:textId="639C4129">
      <w:pPr>
        <w:pStyle w:val="SingleTxtG"/>
        <w:ind w:firstLine="567"/>
        <w:rPr>
          <w:b/>
          <w:bCs/>
        </w:rPr>
      </w:pPr>
      <w:r w:rsidRPr="00801EEB">
        <w:rPr>
          <w:b/>
          <w:bCs/>
        </w:rPr>
        <w:t xml:space="preserve">(a)</w:t>
      </w:r>
      <w:r w:rsidRPr="00801EEB">
        <w:rPr>
          <w:b/>
          <w:bCs/>
        </w:rPr>
        <w:tab/>
      </w:r>
      <w:r w:rsidRPr="00801EEB">
        <w:rPr>
          <w:b/>
          <w:bCs/>
        </w:rPr>
        <w:t xml:space="preserve">De procéder à un examen complet de sa législation, de ses politiques </w:t>
      </w:r>
      <w:r w:rsidRPr="00801EEB">
        <w:rPr>
          <w:b/>
          <w:bCs/>
        </w:rPr>
        <w:t xml:space="preserve">et de ses pratiques afin de s'assurer de leur </w:t>
      </w:r>
      <w:r w:rsidR="00A321CB">
        <w:rPr>
          <w:b/>
          <w:bCs/>
        </w:rPr>
        <w:t xml:space="preserve">compatibilité </w:t>
      </w:r>
      <w:r w:rsidRPr="00801EEB">
        <w:rPr>
          <w:b/>
          <w:bCs/>
        </w:rPr>
        <w:t xml:space="preserve">avec la </w:t>
      </w:r>
      <w:r w:rsidRPr="00801EEB">
        <w:rPr>
          <w:b/>
          <w:bCs/>
        </w:rPr>
        <w:t xml:space="preserve">Convention</w:t>
      </w:r>
      <w:r w:rsidRPr="00801EEB">
        <w:rPr>
          <w:b/>
          <w:bCs/>
        </w:rPr>
        <w:t xml:space="preserve">, et </w:t>
      </w:r>
      <w:r w:rsidRPr="00801EEB">
        <w:rPr>
          <w:b/>
          <w:bCs/>
        </w:rPr>
        <w:t xml:space="preserve">de mettre en place des mécanismes pour s'assurer que les nouvelles législations, politiques </w:t>
      </w:r>
      <w:r w:rsidRPr="00801EEB">
        <w:rPr>
          <w:b/>
          <w:bCs/>
        </w:rPr>
        <w:t xml:space="preserve">et pratiques sont conformes à la Convention, y compris en révisant ses </w:t>
      </w:r>
      <w:r w:rsidRPr="00801EEB">
        <w:rPr>
          <w:b/>
          <w:bCs/>
        </w:rPr>
        <w:t xml:space="preserve">lignes directrices sur </w:t>
      </w:r>
      <w:r>
        <w:rPr>
          <w:b/>
          <w:bCs/>
        </w:rPr>
        <w:t xml:space="preserve">l'évaluation de l'</w:t>
      </w:r>
      <w:r w:rsidRPr="00801EEB">
        <w:rPr>
          <w:b/>
          <w:bCs/>
        </w:rPr>
        <w:t xml:space="preserve">impact ;</w:t>
      </w:r>
    </w:p>
    <w:p w:rsidRPr="00801EEB" w:rsidR="00801EEB" w:rsidP="00801EEB" w:rsidRDefault="00801EEB" w14:paraId="25EFEB1B" w14:textId="682BB2EE">
      <w:pPr>
        <w:pStyle w:val="SingleTxtG"/>
        <w:ind w:firstLine="567"/>
        <w:rPr>
          <w:b/>
          <w:bCs/>
        </w:rPr>
      </w:pPr>
      <w:r w:rsidRPr="00801EEB">
        <w:rPr>
          <w:b/>
          <w:bCs/>
        </w:rPr>
        <w:t xml:space="preserve">(b)</w:t>
      </w:r>
      <w:r w:rsidRPr="00801EEB">
        <w:rPr>
          <w:b/>
          <w:bCs/>
        </w:rPr>
        <w:tab/>
      </w:r>
      <w:r w:rsidRPr="00EB4365" w:rsidR="00EB4365">
        <w:rPr>
          <w:b/>
          <w:bCs/>
        </w:rPr>
        <w:t xml:space="preserve">Mettre à jour la déclaration de compétences au titre de l'article 44, paragraphe 2, et sa liste d'instruments en annexe, et inclure les instruments qui peuvent ne pas se référer aux personnes handicapées, mais qui sont néanmoins pertinents pour </w:t>
      </w:r>
      <w:r w:rsidR="009F0BA8">
        <w:rPr>
          <w:b/>
          <w:bCs/>
        </w:rPr>
        <w:t xml:space="preserve">leurs droits </w:t>
      </w:r>
      <w:r w:rsidRPr="00EB4365" w:rsidR="00EB4365">
        <w:rPr>
          <w:b/>
          <w:bCs/>
        </w:rPr>
        <w:t xml:space="preserve">;</w:t>
      </w:r>
    </w:p>
    <w:p w:rsidRPr="00B529EF" w:rsidR="008D626E" w:rsidP="00801EEB" w:rsidRDefault="00801EEB" w14:paraId="7B560308" w14:textId="0A2143AC">
      <w:pPr>
        <w:pStyle w:val="SingleTxtG"/>
        <w:ind w:firstLine="567"/>
        <w:rPr>
          <w:b/>
          <w:bCs/>
        </w:rPr>
      </w:pPr>
      <w:r w:rsidRPr="00801EEB">
        <w:rPr>
          <w:b/>
          <w:bCs/>
        </w:rPr>
        <w:t xml:space="preserve">(</w:t>
      </w:r>
      <w:r>
        <w:rPr>
          <w:b/>
          <w:bCs/>
        </w:rPr>
        <w:t xml:space="preserve">c</w:t>
      </w:r>
      <w:r w:rsidRPr="00801EEB">
        <w:rPr>
          <w:b/>
          <w:bCs/>
        </w:rPr>
        <w:t xml:space="preserve">)</w:t>
      </w:r>
      <w:r w:rsidRPr="00801EEB">
        <w:rPr>
          <w:b/>
          <w:bCs/>
        </w:rPr>
        <w:tab/>
      </w:r>
      <w:r w:rsidRPr="00801EEB">
        <w:rPr>
          <w:b/>
          <w:bCs/>
        </w:rPr>
        <w:t xml:space="preserve">S'engager dans une coopération technique avec le Comité au titre de l'article 37 de la Convention et avec le Haut-Commissariat des Nations Unies aux </w:t>
      </w:r>
      <w:r w:rsidRPr="00801EEB">
        <w:rPr>
          <w:b/>
          <w:bCs/>
        </w:rPr>
        <w:t xml:space="preserve">droits de l'homme (</w:t>
      </w:r>
      <w:r w:rsidRPr="00801EEB">
        <w:rPr>
          <w:b/>
          <w:bCs/>
        </w:rPr>
        <w:lastRenderedPageBreak/>
      </w:r>
      <w:r w:rsidRPr="00801EEB">
        <w:rPr>
          <w:b/>
          <w:bCs/>
        </w:rPr>
        <w:t xml:space="preserve"> ) pour l'Europe, </w:t>
      </w:r>
      <w:r w:rsidR="00EB4365">
        <w:rPr>
          <w:b/>
          <w:bCs/>
        </w:rPr>
        <w:t xml:space="preserve">afin de faciliter </w:t>
      </w:r>
      <w:r w:rsidRPr="00801EEB">
        <w:rPr>
          <w:b/>
          <w:bCs/>
        </w:rPr>
        <w:t xml:space="preserve">ses efforts pour mettre en œuvre les obligations générales découlant de la Convention.</w:t>
      </w:r>
    </w:p>
    <w:p w:rsidRPr="00FC2FE3" w:rsidR="00A71DDA" w:rsidP="004E0C64" w:rsidRDefault="0033212A" w14:paraId="6140E370" w14:textId="4EB7F1E1">
      <w:pPr>
        <w:pStyle w:val="SingleTxtG"/>
        <w:numPr>
          <w:ilvl w:val="0"/>
          <w:numId w:val="22"/>
        </w:numPr>
        <w:ind w:start="1134" w:firstLine="0"/>
        <w:rPr>
          <w:b/>
          <w:bCs/>
          <w:lang w:val="en-US"/>
        </w:rPr>
      </w:pPr>
      <w:r w:rsidR="0023206F">
        <w:rPr>
          <w:lang w:val="en-US"/>
        </w:rPr>
        <w:t xml:space="preserve">Le Comité note avec inquiétude la </w:t>
      </w:r>
      <w:r>
        <w:rPr>
          <w:lang w:val="en-US"/>
        </w:rPr>
        <w:t xml:space="preserve">persistance du </w:t>
      </w:r>
      <w:r w:rsidR="00FC2FE3">
        <w:rPr>
          <w:lang w:val="en-US"/>
        </w:rPr>
        <w:t xml:space="preserve">modèle </w:t>
      </w:r>
      <w:r w:rsidR="0023206F">
        <w:rPr>
          <w:lang w:val="en-US"/>
        </w:rPr>
        <w:t xml:space="preserve">médical </w:t>
      </w:r>
      <w:r w:rsidR="00FC2FE3">
        <w:rPr>
          <w:lang w:val="en-US"/>
        </w:rPr>
        <w:t xml:space="preserve">du </w:t>
      </w:r>
      <w:r>
        <w:rPr>
          <w:lang w:val="en-US"/>
        </w:rPr>
        <w:t xml:space="preserve">handicap </w:t>
      </w:r>
      <w:r w:rsidR="00FC2FE3">
        <w:rPr>
          <w:lang w:val="en-US"/>
        </w:rPr>
        <w:t xml:space="preserve">et </w:t>
      </w:r>
      <w:r>
        <w:rPr>
          <w:lang w:val="en-US"/>
        </w:rPr>
        <w:t xml:space="preserve">le </w:t>
      </w:r>
      <w:r w:rsidR="0023206F">
        <w:rPr>
          <w:lang w:val="en-US"/>
        </w:rPr>
        <w:t xml:space="preserve">manque d'</w:t>
      </w:r>
      <w:r w:rsidR="00514B22">
        <w:rPr>
          <w:lang w:val="en-US"/>
        </w:rPr>
        <w:t xml:space="preserve">harmonisation des évaluations du handicap dans les États membres</w:t>
      </w:r>
      <w:r>
        <w:rPr>
          <w:lang w:val="en-US"/>
        </w:rPr>
        <w:t xml:space="preserve">. </w:t>
      </w:r>
    </w:p>
    <w:p w:rsidRPr="00D8147D" w:rsidR="00D8147D" w:rsidP="004E0C64" w:rsidRDefault="00FC2FE3" w14:paraId="0555DB53" w14:textId="77777777">
      <w:pPr>
        <w:pStyle w:val="SingleTxtG"/>
        <w:numPr>
          <w:ilvl w:val="0"/>
          <w:numId w:val="22"/>
        </w:numPr>
        <w:ind w:start="1134" w:firstLine="0"/>
        <w:rPr>
          <w:b/>
          <w:bCs/>
          <w:lang w:val="en-US"/>
        </w:rPr>
      </w:pPr>
      <w:r w:rsidRPr="00D8147D">
        <w:rPr>
          <w:b/>
          <w:bCs/>
          <w:lang w:val="en-US"/>
        </w:rPr>
        <w:t xml:space="preserve">Le Comité recommande à l'</w:t>
      </w:r>
      <w:r w:rsidRPr="00D8147D" w:rsidR="00D8147D">
        <w:rPr>
          <w:b/>
          <w:bCs/>
          <w:lang w:val="en-US"/>
        </w:rPr>
        <w:t xml:space="preserve">Union européenne</w:t>
      </w:r>
    </w:p>
    <w:p w:rsidR="00162614" w:rsidP="005A0CF2" w:rsidRDefault="005A0CF2" w14:paraId="445FEEB0" w14:textId="77777777">
      <w:pPr>
        <w:pStyle w:val="SingleTxtG"/>
        <w:ind w:firstLine="567"/>
        <w:rPr>
          <w:b/>
          <w:bCs/>
          <w:lang w:val="en-US"/>
        </w:rPr>
      </w:pPr>
      <w:r w:rsidRPr="005A0CF2">
        <w:rPr>
          <w:b/>
          <w:bCs/>
          <w:lang w:val="en-US"/>
        </w:rPr>
        <w:t xml:space="preserve">(a)</w:t>
      </w:r>
      <w:r w:rsidRPr="005A0CF2">
        <w:rPr>
          <w:b/>
          <w:bCs/>
          <w:lang w:val="en-US"/>
        </w:rPr>
        <w:tab/>
      </w:r>
      <w:r w:rsidRPr="005A0CF2">
        <w:rPr>
          <w:b/>
          <w:bCs/>
          <w:lang w:val="en-US"/>
        </w:rPr>
        <w:t xml:space="preserve">Veiller à ce que l'UE et ses États membres suivent le modèle des droits de l'homme en matière de handicap et harmonisent leur évaluation du handicap dans tous les domaines </w:t>
      </w:r>
      <w:r w:rsidR="00A06BC5">
        <w:rPr>
          <w:b/>
          <w:bCs/>
          <w:lang w:val="en-US"/>
        </w:rPr>
        <w:t xml:space="preserve">de </w:t>
      </w:r>
      <w:r w:rsidRPr="005A0CF2">
        <w:rPr>
          <w:b/>
          <w:bCs/>
          <w:lang w:val="en-US"/>
        </w:rPr>
        <w:t xml:space="preserve">compétence de </w:t>
      </w:r>
      <w:r w:rsidR="00A06BC5">
        <w:rPr>
          <w:b/>
          <w:bCs/>
          <w:lang w:val="en-US"/>
        </w:rPr>
        <w:t xml:space="preserve">l'UE</w:t>
      </w:r>
      <w:r w:rsidRPr="005A0CF2">
        <w:rPr>
          <w:b/>
          <w:bCs/>
          <w:lang w:val="en-US"/>
        </w:rPr>
        <w:t xml:space="preserve">, y compris en ce qui concerne la reconnaissance du statut de handicapé ; </w:t>
      </w:r>
    </w:p>
    <w:p w:rsidRPr="005A0CF2" w:rsidR="005A0CF2" w:rsidP="005A0CF2" w:rsidRDefault="005A0CF2" w14:paraId="14D9EAC3" w14:textId="17C03939">
      <w:pPr>
        <w:pStyle w:val="SingleTxtG"/>
        <w:ind w:firstLine="567"/>
        <w:rPr>
          <w:b/>
          <w:bCs/>
          <w:lang w:val="en-US"/>
        </w:rPr>
      </w:pPr>
      <w:r w:rsidRPr="005A0CF2">
        <w:rPr>
          <w:b/>
          <w:bCs/>
          <w:lang w:val="en-US"/>
        </w:rPr>
        <w:t xml:space="preserve">(b)</w:t>
      </w:r>
      <w:r w:rsidRPr="005A0CF2">
        <w:rPr>
          <w:b/>
          <w:bCs/>
          <w:lang w:val="en-US"/>
        </w:rPr>
        <w:tab/>
      </w:r>
      <w:r w:rsidRPr="005A0CF2">
        <w:rPr>
          <w:b/>
          <w:bCs/>
          <w:lang w:val="en-US"/>
        </w:rPr>
        <w:t xml:space="preserve">Soutenir les États membres pour qu'ils veillent à ce que les personnes handicapées, par l'intermédiaire des organisations qui les représentent, soient étroitement consultées et activement impliquées dans l'élaboration des </w:t>
      </w:r>
      <w:r w:rsidR="009F0BA8">
        <w:rPr>
          <w:b/>
          <w:bCs/>
          <w:lang w:val="en-US"/>
        </w:rPr>
        <w:t xml:space="preserve">évaluations du</w:t>
      </w:r>
      <w:r w:rsidRPr="005A0CF2">
        <w:rPr>
          <w:b/>
          <w:bCs/>
          <w:lang w:val="en-US"/>
        </w:rPr>
        <w:t xml:space="preserve"> handicap </w:t>
      </w:r>
      <w:r w:rsidR="009F0BA8">
        <w:rPr>
          <w:b/>
          <w:bCs/>
          <w:lang w:val="en-US"/>
        </w:rPr>
        <w:t xml:space="preserve">et </w:t>
      </w:r>
      <w:r w:rsidRPr="005A0CF2">
        <w:rPr>
          <w:b/>
          <w:bCs/>
          <w:lang w:val="en-US"/>
        </w:rPr>
        <w:t xml:space="preserve">que les évaluations multiples n'entraînent pas une charge excessive pour les personnes concernées ;</w:t>
      </w:r>
    </w:p>
    <w:p w:rsidR="00FC2FE3" w:rsidP="005A0CF2" w:rsidRDefault="005A0CF2" w14:paraId="426F55AF" w14:textId="6F9F1602">
      <w:pPr>
        <w:pStyle w:val="SingleTxtG"/>
        <w:ind w:firstLine="567"/>
        <w:rPr>
          <w:b/>
          <w:bCs/>
          <w:lang w:val="en-US"/>
        </w:rPr>
      </w:pPr>
      <w:r w:rsidRPr="005A0CF2">
        <w:rPr>
          <w:b/>
          <w:bCs/>
          <w:lang w:val="en-US"/>
        </w:rPr>
        <w:t xml:space="preserve">(c)</w:t>
      </w:r>
      <w:r w:rsidRPr="005A0CF2">
        <w:rPr>
          <w:b/>
          <w:bCs/>
          <w:lang w:val="en-US"/>
        </w:rPr>
        <w:tab/>
      </w:r>
      <w:r w:rsidR="009F0BA8">
        <w:rPr>
          <w:b/>
          <w:bCs/>
          <w:lang w:val="en-US"/>
        </w:rPr>
        <w:t xml:space="preserve">En coopération avec </w:t>
      </w:r>
      <w:r w:rsidRPr="005A0CF2">
        <w:rPr>
          <w:b/>
          <w:bCs/>
          <w:lang w:val="en-US"/>
        </w:rPr>
        <w:t xml:space="preserve">ses États membres</w:t>
      </w:r>
      <w:r w:rsidR="009F0BA8">
        <w:rPr>
          <w:b/>
          <w:bCs/>
          <w:lang w:val="en-US"/>
        </w:rPr>
        <w:t xml:space="preserve">, </w:t>
      </w:r>
      <w:r w:rsidRPr="005A0CF2">
        <w:rPr>
          <w:b/>
          <w:bCs/>
          <w:lang w:val="en-US"/>
        </w:rPr>
        <w:t xml:space="preserve">assurer la transférabilité des prestations de sécurité sociale des personnes handicapées entre les États membres, notamment en étendant la portée de la reconnaissance mutuelle du statut de handicapé par le biais de la carte d'invalidité.</w:t>
      </w:r>
    </w:p>
    <w:p w:rsidR="00E0503F" w:rsidP="004E0C64" w:rsidRDefault="00E0503F" w14:paraId="59CDA15E" w14:textId="050136BC">
      <w:pPr>
        <w:pStyle w:val="SingleTxtG"/>
        <w:numPr>
          <w:ilvl w:val="0"/>
          <w:numId w:val="22"/>
        </w:numPr>
        <w:ind w:start="1134" w:firstLine="0"/>
        <w:rPr>
          <w:lang w:val="en-US"/>
        </w:rPr>
      </w:pPr>
      <w:r>
        <w:rPr>
          <w:lang w:val="en-US"/>
        </w:rPr>
        <w:t xml:space="preserve">Le Comité observe avec préoccupation que </w:t>
      </w:r>
      <w:r w:rsidR="00C90C09">
        <w:rPr>
          <w:lang w:val="en-US"/>
        </w:rPr>
        <w:t xml:space="preserve">les </w:t>
      </w:r>
      <w:r w:rsidR="00E40B6C">
        <w:rPr>
          <w:lang w:val="en-US"/>
        </w:rPr>
        <w:t xml:space="preserve">actions et mesures spécifiques contenues dans la </w:t>
      </w:r>
      <w:r w:rsidRPr="00E0503F" w:rsidR="005D044B">
        <w:rPr>
          <w:lang w:val="en-US"/>
        </w:rPr>
        <w:t xml:space="preserve">Stratégie pour les droits des personnes handicapées 2021-2030 (" Stratégie pour les droits des personnes handicapées ") </w:t>
      </w:r>
      <w:r w:rsidR="00C90C09">
        <w:rPr>
          <w:lang w:val="en-US"/>
        </w:rPr>
        <w:t xml:space="preserve">ont pris fin en 2024</w:t>
      </w:r>
      <w:r w:rsidR="00C90C09">
        <w:rPr>
          <w:lang w:val="en-US"/>
        </w:rPr>
        <w:t xml:space="preserve">, que des plans concrets pour la prochaine période n'ont pas encore été adoptés, et qu'elle </w:t>
      </w:r>
      <w:r w:rsidR="00E40B6C">
        <w:rPr>
          <w:lang w:val="en-US"/>
        </w:rPr>
        <w:t xml:space="preserve">ne contient que </w:t>
      </w:r>
      <w:r w:rsidR="00C90C09">
        <w:rPr>
          <w:lang w:val="en-US"/>
        </w:rPr>
        <w:t xml:space="preserve">des actions limitées pour traiter la situation des personnes autistes, des personnes atteintes d'</w:t>
      </w:r>
      <w:r w:rsidRPr="00A71DDA">
        <w:rPr>
          <w:lang w:val="en-US"/>
        </w:rPr>
        <w:t xml:space="preserve">infirmité motrice cérébrale et des </w:t>
      </w:r>
      <w:r w:rsidR="00C90C09">
        <w:rPr>
          <w:lang w:val="en-US"/>
        </w:rPr>
        <w:t xml:space="preserve">personnes atteintes de </w:t>
      </w:r>
      <w:r w:rsidRPr="00A71DDA">
        <w:rPr>
          <w:lang w:val="en-US"/>
        </w:rPr>
        <w:t xml:space="preserve">démence</w:t>
      </w:r>
      <w:r w:rsidRPr="00A71DDA">
        <w:rPr>
          <w:lang w:val="en-US"/>
        </w:rPr>
        <w:t xml:space="preserve">. </w:t>
      </w:r>
    </w:p>
    <w:p w:rsidR="00C90C09" w:rsidP="004E0C64" w:rsidRDefault="00E0503F" w14:paraId="2498B1E5" w14:textId="650F0EC3">
      <w:pPr>
        <w:pStyle w:val="SingleTxtG"/>
        <w:numPr>
          <w:ilvl w:val="0"/>
          <w:numId w:val="22"/>
        </w:numPr>
        <w:ind w:start="1134" w:firstLine="0"/>
        <w:rPr>
          <w:lang w:val="en-US"/>
        </w:rPr>
      </w:pPr>
      <w:r w:rsidRPr="00F46AF1">
        <w:rPr>
          <w:b/>
          <w:bCs/>
          <w:lang w:val="en-US"/>
        </w:rPr>
        <w:t xml:space="preserve">Le Comité recommande à l'</w:t>
      </w:r>
      <w:r w:rsidRPr="00F46AF1" w:rsidR="001E0D27">
        <w:rPr>
          <w:b/>
          <w:bCs/>
          <w:lang w:val="en-US"/>
        </w:rPr>
        <w:t xml:space="preserve">Union européenne </w:t>
      </w:r>
      <w:r w:rsidR="00E559B7">
        <w:rPr>
          <w:b/>
          <w:bCs/>
          <w:lang w:val="en-US"/>
        </w:rPr>
        <w:t xml:space="preserve">de mettre en place </w:t>
      </w:r>
      <w:r w:rsidRPr="00F46AF1" w:rsidR="001E0D27">
        <w:rPr>
          <w:b/>
          <w:bCs/>
          <w:lang w:val="en-US"/>
        </w:rPr>
        <w:t xml:space="preserve">un processus d'adoption de </w:t>
      </w:r>
      <w:r w:rsidR="00E559B7">
        <w:rPr>
          <w:b/>
          <w:bCs/>
          <w:lang w:val="en-US"/>
        </w:rPr>
        <w:t xml:space="preserve">nouvelles actions spécifiques, de mesures et de calendriers </w:t>
      </w:r>
      <w:r w:rsidRPr="00F46AF1" w:rsidR="001E0D27">
        <w:rPr>
          <w:b/>
          <w:bCs/>
          <w:lang w:val="en-US"/>
        </w:rPr>
        <w:t xml:space="preserve">pour la mise en œuvre de la </w:t>
      </w:r>
      <w:r w:rsidRPr="00F46AF1" w:rsidR="00A71DDA">
        <w:rPr>
          <w:b/>
          <w:bCs/>
          <w:lang w:val="en-US"/>
        </w:rPr>
        <w:t xml:space="preserve">stratégie en faveur des droits des personnes handicapées </w:t>
      </w:r>
      <w:r w:rsidRPr="00F46AF1" w:rsidR="00C90C09">
        <w:rPr>
          <w:b/>
          <w:bCs/>
          <w:lang w:val="en-US"/>
        </w:rPr>
        <w:t xml:space="preserve">pour la </w:t>
      </w:r>
      <w:r w:rsidRPr="00F46AF1" w:rsidR="001E0D27">
        <w:rPr>
          <w:b/>
          <w:bCs/>
          <w:lang w:val="en-US"/>
        </w:rPr>
        <w:t xml:space="preserve">période </w:t>
      </w:r>
      <w:r w:rsidRPr="00F46AF1" w:rsidR="00C90C09">
        <w:rPr>
          <w:b/>
          <w:bCs/>
          <w:lang w:val="en-US"/>
        </w:rPr>
        <w:t xml:space="preserve">2025-2030</w:t>
      </w:r>
      <w:r w:rsidRPr="00F46AF1" w:rsidR="001E0D27">
        <w:rPr>
          <w:b/>
          <w:bCs/>
          <w:lang w:val="en-US"/>
        </w:rPr>
        <w:t xml:space="preserve">, en étroite consultation et avec la participation active des personnes handicapées par l'intermédiaire des organisations qui les représentent</w:t>
      </w:r>
      <w:r w:rsidR="009F0BA8">
        <w:rPr>
          <w:b/>
          <w:bCs/>
          <w:lang w:val="en-US"/>
        </w:rPr>
        <w:t xml:space="preserve">, et d'étendre ces </w:t>
      </w:r>
      <w:r w:rsidR="00E559B7">
        <w:rPr>
          <w:b/>
          <w:bCs/>
          <w:lang w:val="en-US"/>
        </w:rPr>
        <w:t xml:space="preserve">nouvelles actions spécifiques, </w:t>
      </w:r>
      <w:r w:rsidR="00E559B7">
        <w:rPr>
          <w:b/>
          <w:bCs/>
          <w:lang w:val="en-US"/>
        </w:rPr>
        <w:t xml:space="preserve">mesures et calendriers </w:t>
      </w:r>
      <w:r w:rsidR="009F0BA8">
        <w:rPr>
          <w:b/>
          <w:bCs/>
          <w:lang w:val="en-US"/>
        </w:rPr>
        <w:t xml:space="preserve">à </w:t>
      </w:r>
      <w:r w:rsidR="005A0CF2">
        <w:rPr>
          <w:b/>
          <w:bCs/>
          <w:lang w:val="en-US"/>
        </w:rPr>
        <w:t xml:space="preserve">toutes les personnes handicapées, y compris les </w:t>
      </w:r>
      <w:r w:rsidRPr="00F46AF1" w:rsidR="00F46AF1">
        <w:rPr>
          <w:b/>
          <w:bCs/>
          <w:lang w:val="en-US"/>
        </w:rPr>
        <w:t xml:space="preserve">personnes atteintes d'infirmité motrice cérébrale, les personnes autistes et les personnes atteintes de démence</w:t>
      </w:r>
      <w:r w:rsidR="00F46AF1">
        <w:rPr>
          <w:lang w:val="en-US"/>
        </w:rPr>
        <w:t xml:space="preserve">. </w:t>
      </w:r>
    </w:p>
    <w:p w:rsidR="009A41BF" w:rsidP="004E0C64" w:rsidRDefault="00705994" w14:paraId="594285EF" w14:textId="7B3B11B3">
      <w:pPr>
        <w:pStyle w:val="SingleTxtG"/>
        <w:numPr>
          <w:ilvl w:val="0"/>
          <w:numId w:val="22"/>
        </w:numPr>
        <w:ind w:start="1134" w:firstLine="0"/>
        <w:rPr>
          <w:lang w:val="en-US"/>
        </w:rPr>
      </w:pPr>
      <w:r>
        <w:rPr>
          <w:lang w:val="en-US"/>
        </w:rPr>
        <w:t xml:space="preserve">Le Comité est préoccupé par l'</w:t>
      </w:r>
      <w:r w:rsidR="000E665B">
        <w:rPr>
          <w:lang w:val="en-US"/>
        </w:rPr>
        <w:t xml:space="preserve">absence de mécanismes efficaces garantissant que les États membres de l'UE allouent les fonds de l'UE en pleine conformité avec les principes et les droits énoncés dans la Convention, et que les personnes handicapées, par l'intermédiaire des organisations qui les représentent, ne sont pas étroitement consultées et activement impliquées dans l'élaboration des conditions d'allocation de ces fonds et des processus de contrôle de leur utilisation</w:t>
      </w:r>
      <w:r>
        <w:rPr>
          <w:lang w:val="en-US"/>
        </w:rPr>
        <w:t xml:space="preserve">. </w:t>
      </w:r>
    </w:p>
    <w:p w:rsidRPr="00F87165" w:rsidR="005718FE" w:rsidP="004E0C64" w:rsidRDefault="00705994" w14:paraId="3BB0EEC1" w14:textId="5E82DE7A">
      <w:pPr>
        <w:pStyle w:val="SingleTxtG"/>
        <w:numPr>
          <w:ilvl w:val="0"/>
          <w:numId w:val="22"/>
        </w:numPr>
        <w:ind w:start="1134" w:firstLine="0"/>
        <w:rPr>
          <w:b/>
          <w:bCs/>
          <w:lang w:val="en-US"/>
        </w:rPr>
      </w:pPr>
      <w:r w:rsidRPr="00705994">
        <w:rPr>
          <w:b/>
          <w:bCs/>
          <w:lang w:val="en-US"/>
        </w:rPr>
        <w:t xml:space="preserve">Le Comité recommande à l'Union européenne </w:t>
      </w:r>
      <w:r w:rsidR="00C66DDD">
        <w:rPr>
          <w:b/>
          <w:bCs/>
          <w:lang w:val="en-US"/>
        </w:rPr>
        <w:t xml:space="preserve">d'exiger la pleine adhésion à la Convention lors de l'</w:t>
      </w:r>
      <w:r w:rsidR="009204A6">
        <w:rPr>
          <w:b/>
          <w:bCs/>
          <w:lang w:val="en-US"/>
        </w:rPr>
        <w:t xml:space="preserve">attribution de fonds européens par ses États membres et de </w:t>
      </w:r>
      <w:r w:rsidR="001F7C09">
        <w:rPr>
          <w:b/>
          <w:bCs/>
          <w:lang w:val="en-US"/>
        </w:rPr>
        <w:t xml:space="preserve">mettre en place des mécanismes de suivi, en consultation étroite et avec la participation active des personnes handicapées, par l'intermédiaire des organisations qui les représentent.</w:t>
      </w:r>
    </w:p>
    <w:p w:rsidR="0040505E" w:rsidP="004E0C64" w:rsidRDefault="0040505E" w14:paraId="07F5489F" w14:textId="040E6733">
      <w:pPr>
        <w:pStyle w:val="SingleTxtG"/>
        <w:numPr>
          <w:ilvl w:val="0"/>
          <w:numId w:val="22"/>
        </w:numPr>
        <w:ind w:start="1134" w:firstLine="0"/>
      </w:pPr>
      <w:r w:rsidRPr="0040505E">
        <w:t xml:space="preserve">Le Comité est préoccupé </w:t>
      </w:r>
      <w:r>
        <w:t xml:space="preserve">par le fait que</w:t>
      </w:r>
    </w:p>
    <w:p w:rsidR="0040505E" w:rsidP="00877F01" w:rsidRDefault="0040505E" w14:paraId="59A38A1D" w14:textId="228C999E">
      <w:pPr>
        <w:pStyle w:val="SingleTxtG"/>
        <w:ind w:firstLine="567"/>
      </w:pPr>
      <w:r>
        <w:t xml:space="preserve">(a)</w:t>
      </w:r>
      <w:r>
        <w:tab/>
      </w:r>
      <w:r w:rsidR="00A06BC5">
        <w:rPr>
          <w:lang w:val="en-US"/>
        </w:rPr>
        <w:t xml:space="preserve">a) Les divers </w:t>
      </w:r>
      <w:r w:rsidR="00457C8B">
        <w:rPr>
          <w:lang w:val="en-US"/>
        </w:rPr>
        <w:t xml:space="preserve">instruments de participation des organisations de personnes handicapées ne sont pas représentatifs des personnes handicapées dans l'Union européenne</w:t>
      </w:r>
      <w:r w:rsidR="0010387B">
        <w:rPr>
          <w:lang w:val="en-US"/>
        </w:rPr>
        <w:t xml:space="preserve">, ne sont pas pleinement informés et accessibles</w:t>
      </w:r>
      <w:r w:rsidR="00457C8B">
        <w:rPr>
          <w:lang w:val="en-US"/>
        </w:rPr>
        <w:t xml:space="preserve">, ne sont pas juridiquement ancrés </w:t>
      </w:r>
      <w:r w:rsidR="0010387B">
        <w:rPr>
          <w:lang w:val="en-US"/>
        </w:rPr>
        <w:t xml:space="preserve">et que </w:t>
      </w:r>
      <w:r w:rsidR="0010387B">
        <w:rPr>
          <w:lang w:val="en-US"/>
        </w:rPr>
        <w:t xml:space="preserve">les vues </w:t>
      </w:r>
      <w:r w:rsidR="00C66DDD">
        <w:rPr>
          <w:lang w:val="en-US"/>
        </w:rPr>
        <w:t xml:space="preserve">des organisations </w:t>
      </w:r>
      <w:r w:rsidR="00C66DDD">
        <w:rPr>
          <w:lang w:val="en-US"/>
        </w:rPr>
        <w:t xml:space="preserve">ne </w:t>
      </w:r>
      <w:r w:rsidR="0010387B">
        <w:rPr>
          <w:lang w:val="en-US"/>
        </w:rPr>
        <w:t xml:space="preserve">sont </w:t>
      </w:r>
      <w:r w:rsidR="00C66DDD">
        <w:rPr>
          <w:lang w:val="en-US"/>
        </w:rPr>
        <w:t xml:space="preserve">pas effectivement </w:t>
      </w:r>
      <w:r w:rsidR="0010387B">
        <w:rPr>
          <w:lang w:val="en-US"/>
        </w:rPr>
        <w:t xml:space="preserve">prises en compte ;</w:t>
      </w:r>
    </w:p>
    <w:p w:rsidRPr="009A3639" w:rsidR="0010387B" w:rsidP="00877F01" w:rsidRDefault="0010387B" w14:paraId="44E8C0CC" w14:textId="43DDC382">
      <w:pPr>
        <w:pStyle w:val="SingleTxtG"/>
        <w:ind w:firstLine="567"/>
        <w:rPr>
          <w:lang w:val="en-US"/>
        </w:rPr>
      </w:pPr>
      <w:r w:rsidRPr="009A3639">
        <w:rPr>
          <w:lang w:val="en-US"/>
        </w:rPr>
        <w:t xml:space="preserve">(b)</w:t>
      </w:r>
      <w:r w:rsidRPr="009A3639">
        <w:rPr>
          <w:lang w:val="en-US"/>
        </w:rPr>
        <w:tab/>
      </w:r>
      <w:r w:rsidRPr="009A3639">
        <w:rPr>
          <w:lang w:val="en-US"/>
        </w:rPr>
        <w:t xml:space="preserve">Les enfants handicapés</w:t>
      </w:r>
      <w:r w:rsidR="00C66DDD">
        <w:rPr>
          <w:lang w:val="en-US"/>
        </w:rPr>
        <w:t xml:space="preserve">, </w:t>
      </w:r>
      <w:r w:rsidR="00C66DDD">
        <w:rPr>
          <w:lang w:val="en-US"/>
        </w:rPr>
        <w:t xml:space="preserve">par l'intermédiaire des organisations qui les représentent, </w:t>
      </w:r>
      <w:r>
        <w:rPr>
          <w:lang w:val="en-US"/>
        </w:rPr>
        <w:t xml:space="preserve">ne sont pas étroitement associés et ne peuvent pas participer activement à la mise en œuvre de la Convention ;</w:t>
      </w:r>
    </w:p>
    <w:p w:rsidR="0013567C" w:rsidP="00877F01" w:rsidRDefault="0040505E" w14:paraId="07B6974F" w14:textId="77777777">
      <w:pPr>
        <w:pStyle w:val="SingleTxtG"/>
        <w:ind w:firstLine="567"/>
      </w:pPr>
      <w:r w:rsidR="0010387B">
        <w:t xml:space="preserve">(c</w:t>
      </w:r>
      <w:r>
        <w:t xml:space="preserve">)</w:t>
      </w:r>
      <w:r w:rsidR="005C3C83">
        <w:tab/>
      </w:r>
      <w:r w:rsidR="0047274E">
        <w:t xml:space="preserve">Le Conseil de </w:t>
      </w:r>
      <w:r w:rsidR="009A41BF">
        <w:t xml:space="preserve">l'Union européenne ne dispose pas de mécanismes permettant une </w:t>
      </w:r>
      <w:r w:rsidR="0010387B">
        <w:t xml:space="preserve">consultation</w:t>
      </w:r>
      <w:r w:rsidR="0010387B">
        <w:t xml:space="preserve"> étroite </w:t>
      </w:r>
      <w:r w:rsidR="0010387B">
        <w:t xml:space="preserve">et une participation active des personnes handicapées, par l'intermédiaire des organisations qui les représentent </w:t>
      </w:r>
      <w:r w:rsidR="0013567C">
        <w:t xml:space="preserve">;</w:t>
      </w:r>
    </w:p>
    <w:p w:rsidR="0040505E" w:rsidP="00FD698F" w:rsidRDefault="00FD698F" w14:paraId="57109EA4" w14:textId="7547B130">
      <w:pPr>
        <w:pStyle w:val="SingleTxtG"/>
        <w:ind w:firstLine="567"/>
        <w:rPr>
          <w:b/>
          <w:bCs/>
        </w:rPr>
      </w:pPr>
      <w:r>
        <w:t xml:space="preserve">(d)</w:t>
      </w:r>
      <w:r>
        <w:tab/>
      </w:r>
      <w:r w:rsidRPr="00FD698F">
        <w:t xml:space="preserve">Les propositions et orientations récentes concernant le financement des activités liées à l'élaboration, à la mise en œuvre, à l'application et au suivi de la législation et des politiques de l'Union européenne pourraient s'appliquer aux organisations de personnes handicapées et restreindre leur capacité à mener des activités de plaidoyer et limiter leur consultation et leur participation véritables au suivi indépendant de la Convention</w:t>
      </w:r>
      <w:r w:rsidR="009A41BF">
        <w:t xml:space="preserve">. </w:t>
      </w:r>
    </w:p>
    <w:p w:rsidR="0040505E" w:rsidP="005C3C83" w:rsidRDefault="003569EC" w14:paraId="1D8A8E7E" w14:textId="0ABF7D99">
      <w:pPr>
        <w:pStyle w:val="SingleTxtG"/>
        <w:numPr>
          <w:ilvl w:val="0"/>
          <w:numId w:val="22"/>
        </w:numPr>
        <w:ind w:start="1134" w:firstLine="0"/>
        <w:rPr>
          <w:b/>
          <w:bCs/>
        </w:rPr>
      </w:pPr>
      <w:r>
        <w:rPr>
          <w:b/>
          <w:bCs/>
        </w:rPr>
        <w:lastRenderedPageBreak/>
      </w:r>
      <w:r w:rsidRPr="00AE57AA" w:rsidR="0040505E">
        <w:rPr>
          <w:b/>
          <w:bCs/>
        </w:rPr>
        <w:t xml:space="preserve">Le Comité recommande à l'</w:t>
      </w:r>
      <w:r w:rsidR="00B81985">
        <w:rPr>
          <w:b/>
          <w:bCs/>
        </w:rPr>
        <w:t xml:space="preserve">Union européenne </w:t>
      </w:r>
      <w:r w:rsidRPr="00AE57AA" w:rsidR="0040505E">
        <w:rPr>
          <w:b/>
          <w:bCs/>
        </w:rPr>
        <w:t xml:space="preserve">de </w:t>
      </w:r>
      <w:r>
        <w:rPr>
          <w:b/>
          <w:bCs/>
        </w:rPr>
        <w:t xml:space="preserve">mettre en place de nouveaux mécanismes de consultation étroite et de participation active des personnes handicapées</w:t>
      </w:r>
      <w:r w:rsidR="008F7AAC">
        <w:rPr>
          <w:b/>
          <w:bCs/>
        </w:rPr>
        <w:t xml:space="preserve">, y compris des enfants handicapés</w:t>
      </w:r>
      <w:r>
        <w:rPr>
          <w:b/>
          <w:bCs/>
        </w:rPr>
        <w:t xml:space="preserve">, par l'intermédiaire des organisations qui les représentent, et de renforcer les </w:t>
      </w:r>
      <w:r w:rsidR="00BA6934">
        <w:rPr>
          <w:b/>
          <w:bCs/>
        </w:rPr>
        <w:t xml:space="preserve">mécanismes</w:t>
      </w:r>
      <w:r>
        <w:rPr>
          <w:b/>
          <w:bCs/>
        </w:rPr>
        <w:t xml:space="preserve"> existants </w:t>
      </w:r>
      <w:r w:rsidRPr="005C3C83" w:rsidR="004E3635">
        <w:rPr>
          <w:b/>
          <w:bCs/>
        </w:rPr>
        <w:t xml:space="preserve">dans tous les domaines de la législation, de la politique et de la programmation de l'UE, y compris dans le cadre de l'action extérieure et au sein du Conseil de l'Union européenne, notamment en les inscrivant dans la loi, en les rendant largement représentatifs des personnes handicapées dans l'Union européenne, en garantissant leur accessibilité et la pleine information de tous les participants, en veillant à ce que les points de vue des personnes handicapées soient effectivement entendus et sérieusement pris en compte, et en apportant un soutien financier suffisant aux organisations de personnes handicapées pour protéger leur indépendance et leur permettre de participer efficacement</w:t>
      </w:r>
      <w:r w:rsidR="004E3635">
        <w:rPr>
          <w:b/>
          <w:bCs/>
        </w:rPr>
        <w:t xml:space="preserve">.</w:t>
      </w:r>
    </w:p>
    <w:p w:rsidRPr="00EC1571" w:rsidR="00A11550" w:rsidP="00877F01" w:rsidRDefault="00EC1571" w14:paraId="13B84C77" w14:textId="52A024E6">
      <w:pPr>
        <w:pStyle w:val="H1G"/>
        <w:numPr>
          <w:ilvl w:val="0"/>
          <w:numId w:val="9"/>
        </w:numPr>
      </w:pPr>
      <w:r w:rsidRPr="00404879">
        <w:tab/>
      </w:r>
      <w:r w:rsidRPr="00404879">
        <w:t xml:space="preserve">Droits spécifiques (articles 5 à 30)</w:t>
      </w:r>
    </w:p>
    <w:p w:rsidRPr="00EC1571" w:rsidR="00983957" w:rsidP="00EC1571" w:rsidRDefault="00EC1571" w14:paraId="5D23BA04" w14:textId="0080ADAF">
      <w:pPr>
        <w:suppressAutoHyphens w:val="0"/>
        <w:spacing w:after="200" w:line="276" w:lineRule="auto"/>
        <w:ind w:start="567" w:firstLine="567"/>
        <w:rPr>
          <w:b/>
          <w:bCs/>
        </w:rPr>
      </w:pPr>
      <w:r w:rsidRPr="00EC1571">
        <w:rPr>
          <w:b/>
          <w:bCs/>
          <w:lang w:val="en-US"/>
        </w:rPr>
        <w:t xml:space="preserve">Égalité et non-discrimination (</w:t>
      </w:r>
      <w:r w:rsidRPr="00EC1571" w:rsidR="00A71DDA">
        <w:rPr>
          <w:b/>
          <w:bCs/>
        </w:rPr>
        <w:t xml:space="preserve">art</w:t>
      </w:r>
      <w:r>
        <w:rPr>
          <w:b/>
          <w:bCs/>
        </w:rPr>
        <w:t xml:space="preserve">. </w:t>
      </w:r>
      <w:r w:rsidRPr="00EC1571" w:rsidR="00A71DDA">
        <w:rPr>
          <w:b/>
          <w:bCs/>
        </w:rPr>
        <w:t xml:space="preserve">5</w:t>
      </w:r>
      <w:r w:rsidRPr="00EC1571" w:rsidR="00A71DDA">
        <w:rPr>
          <w:b/>
          <w:bCs/>
        </w:rPr>
        <w:t xml:space="preserve">) </w:t>
      </w:r>
    </w:p>
    <w:p w:rsidR="0047274E" w:rsidP="005C3C83" w:rsidRDefault="0047274E" w14:paraId="458845EE" w14:textId="79CDB2A8">
      <w:pPr>
        <w:pStyle w:val="SingleTxtG"/>
        <w:numPr>
          <w:ilvl w:val="0"/>
          <w:numId w:val="22"/>
        </w:numPr>
        <w:ind w:start="1134" w:firstLine="0"/>
        <w:rPr>
          <w:lang w:val="en-US"/>
        </w:rPr>
      </w:pPr>
      <w:r>
        <w:rPr>
          <w:lang w:val="en-US"/>
        </w:rPr>
        <w:t xml:space="preserve">Le Comité </w:t>
      </w:r>
      <w:r w:rsidR="0045685B">
        <w:rPr>
          <w:lang w:val="en-US"/>
        </w:rPr>
        <w:t xml:space="preserve">reste préoccupé par</w:t>
      </w:r>
    </w:p>
    <w:p w:rsidR="00040A7B" w:rsidP="00040A7B" w:rsidRDefault="00040A7B" w14:paraId="12BE15C2" w14:textId="405BEE44">
      <w:pPr>
        <w:pStyle w:val="SingleTxtG"/>
        <w:ind w:firstLine="567"/>
        <w:rPr>
          <w:lang w:val="en-US"/>
        </w:rPr>
      </w:pPr>
      <w:r>
        <w:rPr>
          <w:lang w:val="en-US"/>
        </w:rPr>
        <w:t xml:space="preserve">(a)</w:t>
      </w:r>
      <w:r>
        <w:rPr>
          <w:lang w:val="en-US"/>
        </w:rPr>
        <w:tab/>
      </w:r>
      <w:r>
        <w:rPr>
          <w:lang w:val="en-US"/>
        </w:rPr>
        <w:t xml:space="preserve">L'annonce par la Commission européenne </w:t>
      </w:r>
      <w:r w:rsidR="00035DCD">
        <w:rPr>
          <w:lang w:val="en-US"/>
        </w:rPr>
        <w:t xml:space="preserve">du </w:t>
      </w:r>
      <w:r>
        <w:rPr>
          <w:lang w:val="en-US"/>
        </w:rPr>
        <w:t xml:space="preserve">retrait de </w:t>
      </w:r>
      <w:r w:rsidRPr="004864B2">
        <w:rPr>
          <w:lang w:val="en-US"/>
        </w:rPr>
        <w:t xml:space="preserve">la </w:t>
      </w:r>
      <w:r>
        <w:rPr>
          <w:lang w:val="en-US"/>
        </w:rPr>
        <w:t xml:space="preserve">proposition de directive du Conseil </w:t>
      </w:r>
      <w:r w:rsidRPr="004864B2">
        <w:rPr>
          <w:lang w:val="en-US"/>
        </w:rPr>
        <w:t xml:space="preserve">relative à la mise en œuvre du principe de l'</w:t>
      </w:r>
      <w:r>
        <w:rPr>
          <w:lang w:val="en-US"/>
        </w:rPr>
        <w:t xml:space="preserve">égalité de traitement </w:t>
      </w:r>
      <w:r w:rsidRPr="004864B2">
        <w:rPr>
          <w:lang w:val="en-US"/>
        </w:rPr>
        <w:t xml:space="preserve">entre les personnes sans distinction de handicap</w:t>
      </w:r>
      <w:r>
        <w:rPr>
          <w:lang w:val="en-US"/>
        </w:rPr>
        <w:t xml:space="preserve">, de </w:t>
      </w:r>
      <w:r w:rsidRPr="004864B2">
        <w:rPr>
          <w:lang w:val="en-US"/>
        </w:rPr>
        <w:t xml:space="preserve">religion ou de convictions, d'âge ou d'orientation sexuelle </w:t>
      </w:r>
      <w:r>
        <w:rPr>
          <w:lang w:val="en-US"/>
        </w:rPr>
        <w:t xml:space="preserve">(directive relative à l'égalité de traitement) ;</w:t>
      </w:r>
    </w:p>
    <w:p w:rsidR="00040A7B" w:rsidP="00040A7B" w:rsidRDefault="00040A7B" w14:paraId="21557724" w14:textId="77777777">
      <w:pPr>
        <w:pStyle w:val="SingleTxtG"/>
        <w:ind w:firstLine="567"/>
        <w:rPr>
          <w:lang w:val="en-US"/>
        </w:rPr>
      </w:pPr>
      <w:r>
        <w:rPr>
          <w:lang w:val="en-US"/>
        </w:rPr>
        <w:t xml:space="preserve">(b)</w:t>
      </w:r>
      <w:r>
        <w:rPr>
          <w:lang w:val="en-US"/>
        </w:rPr>
        <w:tab/>
      </w:r>
      <w:r>
        <w:rPr>
          <w:lang w:val="en-US"/>
        </w:rPr>
        <w:t xml:space="preserve">La limitation de la </w:t>
      </w:r>
      <w:r>
        <w:rPr>
          <w:lang w:val="en-US"/>
        </w:rPr>
        <w:t xml:space="preserve">législation </w:t>
      </w:r>
      <w:r w:rsidRPr="000627E7">
        <w:rPr>
          <w:lang w:val="en-US"/>
        </w:rPr>
        <w:t xml:space="preserve">anti-discrimination </w:t>
      </w:r>
      <w:r>
        <w:rPr>
          <w:lang w:val="en-US"/>
        </w:rPr>
        <w:t xml:space="preserve">pour les </w:t>
      </w:r>
      <w:r w:rsidRPr="000627E7">
        <w:rPr>
          <w:lang w:val="en-US"/>
        </w:rPr>
        <w:t xml:space="preserve">personnes handicapées à l'emploi et à la formation professionnelle </w:t>
      </w:r>
      <w:r>
        <w:rPr>
          <w:lang w:val="en-US"/>
        </w:rPr>
        <w:t xml:space="preserve">;</w:t>
      </w:r>
    </w:p>
    <w:p w:rsidR="00040A7B" w:rsidP="00040A7B" w:rsidRDefault="00040A7B" w14:paraId="66C85460" w14:textId="3BE25C51">
      <w:pPr>
        <w:pStyle w:val="SingleTxtG"/>
        <w:ind w:firstLine="567"/>
        <w:rPr>
          <w:lang w:val="en-US"/>
        </w:rPr>
      </w:pPr>
      <w:r>
        <w:rPr>
          <w:lang w:val="en-US"/>
        </w:rPr>
        <w:t xml:space="preserve">(c)</w:t>
      </w:r>
      <w:r>
        <w:rPr>
          <w:lang w:val="en-US"/>
        </w:rPr>
        <w:tab/>
      </w:r>
      <w:r>
        <w:rPr>
          <w:lang w:val="en-US"/>
        </w:rPr>
        <w:t xml:space="preserve">La </w:t>
      </w:r>
      <w:r>
        <w:rPr>
          <w:lang w:val="en-US"/>
        </w:rPr>
        <w:t xml:space="preserve">reconnaissance explicite </w:t>
      </w:r>
      <w:r w:rsidR="005C7344">
        <w:rPr>
          <w:lang w:val="en-US"/>
        </w:rPr>
        <w:t xml:space="preserve">très limitée </w:t>
      </w:r>
      <w:r>
        <w:rPr>
          <w:lang w:val="en-US"/>
        </w:rPr>
        <w:t xml:space="preserve">de la discrimination multiple et intersectionnelle sur la base du handicap et d'autres motifs.</w:t>
      </w:r>
    </w:p>
    <w:p w:rsidR="00040A7B" w:rsidP="005C3C83" w:rsidRDefault="00040A7B" w14:paraId="2E59DED6" w14:textId="3DBC93ED">
      <w:pPr>
        <w:pStyle w:val="SingleTxtG"/>
        <w:numPr>
          <w:ilvl w:val="0"/>
          <w:numId w:val="22"/>
        </w:numPr>
        <w:ind w:start="1134" w:firstLine="0"/>
        <w:rPr>
          <w:b/>
          <w:bCs/>
        </w:rPr>
      </w:pPr>
      <w:r>
        <w:rPr>
          <w:b/>
          <w:bCs/>
        </w:rPr>
        <w:t xml:space="preserve">Le Comité rappelle ses précédentes observations finales et recommandations (par. 19) </w:t>
      </w:r>
      <w:r w:rsidR="00785B2B">
        <w:rPr>
          <w:b/>
          <w:bCs/>
        </w:rPr>
        <w:t xml:space="preserve">ainsi que </w:t>
      </w:r>
      <w:r>
        <w:rPr>
          <w:b/>
          <w:bCs/>
        </w:rPr>
        <w:t xml:space="preserve">son Observation générale no 6 (2018) </w:t>
      </w:r>
      <w:r>
        <w:rPr>
          <w:b/>
          <w:bCs/>
        </w:rPr>
        <w:t xml:space="preserve">et recommande à l'Union européenne</w:t>
      </w:r>
    </w:p>
    <w:p w:rsidRPr="005C3C83" w:rsidR="00040A7B" w:rsidP="00040A7B" w:rsidRDefault="00040A7B" w14:paraId="48C68A2A" w14:textId="0683C2EB">
      <w:pPr>
        <w:pStyle w:val="SingleTxtG"/>
        <w:ind w:firstLine="567"/>
        <w:rPr>
          <w:b/>
          <w:bCs/>
        </w:rPr>
      </w:pPr>
      <w:r w:rsidRPr="005C3C83">
        <w:rPr>
          <w:b/>
          <w:bCs/>
        </w:rPr>
        <w:t xml:space="preserve">(a)</w:t>
      </w:r>
      <w:r w:rsidRPr="005C3C83">
        <w:rPr>
          <w:b/>
          <w:bCs/>
        </w:rPr>
        <w:tab/>
      </w:r>
      <w:r w:rsidRPr="005C3C83">
        <w:rPr>
          <w:b/>
          <w:bCs/>
        </w:rPr>
        <w:t xml:space="preserve">De déployer des efforts soutenus pour </w:t>
      </w:r>
      <w:r w:rsidRPr="005C3C83" w:rsidR="000F2C09">
        <w:rPr>
          <w:b/>
          <w:bCs/>
        </w:rPr>
        <w:t xml:space="preserve">susciter </w:t>
      </w:r>
      <w:r w:rsidRPr="005C3C83">
        <w:rPr>
          <w:b/>
          <w:bCs/>
        </w:rPr>
        <w:t xml:space="preserve">le soutien politique nécessaire à l'adoption de la directive relative à l'égalité de traitement ;</w:t>
      </w:r>
    </w:p>
    <w:p w:rsidRPr="005C3C83" w:rsidR="00040A7B" w:rsidP="00040A7B" w:rsidRDefault="00040A7B" w14:paraId="03AF3F9C" w14:textId="00D6A474">
      <w:pPr>
        <w:pStyle w:val="SingleTxtG"/>
        <w:ind w:firstLine="567"/>
        <w:rPr>
          <w:b/>
          <w:bCs/>
        </w:rPr>
      </w:pPr>
      <w:r w:rsidRPr="005C3C83">
        <w:rPr>
          <w:b/>
          <w:bCs/>
        </w:rPr>
        <w:t xml:space="preserve">(b)</w:t>
      </w:r>
      <w:r w:rsidRPr="005C3C83">
        <w:rPr>
          <w:b/>
          <w:bCs/>
        </w:rPr>
        <w:tab/>
      </w:r>
      <w:r w:rsidRPr="005C3C83">
        <w:rPr>
          <w:b/>
          <w:bCs/>
        </w:rPr>
        <w:t xml:space="preserve">Veille à ce que la protection juridique contre la discrimination, y compris le </w:t>
      </w:r>
      <w:r w:rsidRPr="005C3C83" w:rsidR="00B10C12">
        <w:rPr>
          <w:b/>
          <w:bCs/>
        </w:rPr>
        <w:t xml:space="preserve">refus d'</w:t>
      </w:r>
      <w:r w:rsidRPr="005C3C83">
        <w:rPr>
          <w:b/>
          <w:bCs/>
        </w:rPr>
        <w:t xml:space="preserve">aménagements raisonnables, englobe tous les domaines de toutes les compétences de l'Union européenne et toutes les modalités d'action de l'Union européenne ; </w:t>
      </w:r>
    </w:p>
    <w:p w:rsidR="00270E2A" w:rsidP="00040A7B" w:rsidRDefault="00040A7B" w14:paraId="1F57D195" w14:textId="03A3AA3E">
      <w:pPr>
        <w:pStyle w:val="SingleTxtG"/>
        <w:ind w:firstLine="567"/>
      </w:pPr>
      <w:r w:rsidRPr="005C3C83">
        <w:rPr>
          <w:b/>
          <w:bCs/>
        </w:rPr>
        <w:t xml:space="preserve">(c)</w:t>
      </w:r>
      <w:r w:rsidRPr="005C3C83">
        <w:rPr>
          <w:b/>
          <w:bCs/>
        </w:rPr>
        <w:tab/>
      </w:r>
      <w:r w:rsidR="00492B48">
        <w:rPr>
          <w:b/>
          <w:bCs/>
        </w:rPr>
        <w:t xml:space="preserve">Améliorer la </w:t>
      </w:r>
      <w:r w:rsidR="00492B48">
        <w:rPr>
          <w:b/>
          <w:bCs/>
        </w:rPr>
        <w:t xml:space="preserve">protection </w:t>
      </w:r>
      <w:r w:rsidR="00492B48">
        <w:rPr>
          <w:b/>
          <w:bCs/>
        </w:rPr>
        <w:t xml:space="preserve">juridique </w:t>
      </w:r>
      <w:r w:rsidRPr="00A17819">
        <w:rPr>
          <w:b/>
          <w:bCs/>
        </w:rPr>
        <w:t xml:space="preserve">explicite </w:t>
      </w:r>
      <w:r w:rsidR="00492B48">
        <w:rPr>
          <w:b/>
          <w:bCs/>
        </w:rPr>
        <w:t xml:space="preserve">des </w:t>
      </w:r>
      <w:r>
        <w:rPr>
          <w:b/>
          <w:bCs/>
        </w:rPr>
        <w:t xml:space="preserve">personnes handicapées </w:t>
      </w:r>
      <w:r>
        <w:rPr>
          <w:b/>
          <w:bCs/>
        </w:rPr>
        <w:t xml:space="preserve">contre les </w:t>
      </w:r>
      <w:r w:rsidRPr="00A17819">
        <w:rPr>
          <w:b/>
          <w:bCs/>
        </w:rPr>
        <w:t xml:space="preserve">formes multiples et intersectionnelles de discrimination, </w:t>
      </w:r>
      <w:r w:rsidR="00195C6B">
        <w:rPr>
          <w:b/>
          <w:bCs/>
        </w:rPr>
        <w:t xml:space="preserve">dans tous les domaines de la vie, </w:t>
      </w:r>
      <w:r w:rsidRPr="00A17819">
        <w:rPr>
          <w:b/>
          <w:bCs/>
        </w:rPr>
        <w:t xml:space="preserve">y compris la discrimination fondée sur l'intersection entre le handicap et l'âge, le </w:t>
      </w:r>
      <w:r w:rsidR="00B10C12">
        <w:rPr>
          <w:b/>
          <w:bCs/>
        </w:rPr>
        <w:t xml:space="preserve">genre, le </w:t>
      </w:r>
      <w:r w:rsidRPr="00A17819">
        <w:rPr>
          <w:b/>
          <w:bCs/>
        </w:rPr>
        <w:t xml:space="preserve">sexe, le </w:t>
      </w:r>
      <w:r w:rsidRPr="00A17819">
        <w:rPr>
          <w:b/>
          <w:bCs/>
        </w:rPr>
        <w:t xml:space="preserve">statut </w:t>
      </w:r>
      <w:r w:rsidR="00C67C34">
        <w:rPr>
          <w:b/>
          <w:bCs/>
        </w:rPr>
        <w:t xml:space="preserve">LGBTIQ+</w:t>
      </w:r>
      <w:r w:rsidRPr="00A17819">
        <w:rPr>
          <w:b/>
          <w:bCs/>
        </w:rPr>
        <w:t xml:space="preserve">, la </w:t>
      </w:r>
      <w:r w:rsidR="00753765">
        <w:rPr>
          <w:b/>
          <w:bCs/>
        </w:rPr>
        <w:t xml:space="preserve">religion ou les </w:t>
      </w:r>
      <w:r w:rsidR="00F37682">
        <w:rPr>
          <w:b/>
          <w:bCs/>
        </w:rPr>
        <w:t xml:space="preserve">convictions</w:t>
      </w:r>
      <w:r w:rsidR="00753765">
        <w:rPr>
          <w:b/>
          <w:bCs/>
        </w:rPr>
        <w:t xml:space="preserve">, l'</w:t>
      </w:r>
      <w:r w:rsidRPr="00A17819">
        <w:rPr>
          <w:b/>
          <w:bCs/>
        </w:rPr>
        <w:t xml:space="preserve">appartenance ethnique, la situation migratoire, l'origine nationale </w:t>
      </w:r>
      <w:r>
        <w:rPr>
          <w:b/>
          <w:bCs/>
        </w:rPr>
        <w:t xml:space="preserve">et la </w:t>
      </w:r>
      <w:r w:rsidR="00465C04">
        <w:rPr>
          <w:b/>
          <w:bCs/>
        </w:rPr>
        <w:t xml:space="preserve">situation </w:t>
      </w:r>
      <w:r w:rsidRPr="00A17819">
        <w:rPr>
          <w:b/>
          <w:bCs/>
        </w:rPr>
        <w:t xml:space="preserve">économique</w:t>
      </w:r>
      <w:r>
        <w:rPr>
          <w:b/>
          <w:bCs/>
        </w:rPr>
        <w:t xml:space="preserve">.</w:t>
      </w:r>
      <w:r>
        <w:tab/>
      </w:r>
    </w:p>
    <w:p w:rsidRPr="005718FE" w:rsidR="00B81985" w:rsidP="005C3C83" w:rsidRDefault="005C3C83" w14:paraId="3D204D50" w14:textId="598A530A">
      <w:pPr>
        <w:pStyle w:val="H23G"/>
      </w:pPr>
      <w:r>
        <w:tab/>
      </w:r>
      <w:bookmarkStart w:name="_Hlk193805585" w:id="0"/>
      <w:r>
        <w:tab/>
      </w:r>
      <w:bookmarkStart w:name="_Hlk193808773" w:id="1"/>
      <w:r w:rsidRPr="005718FE" w:rsidR="00B81985">
        <w:t xml:space="preserve">Femmes handicapées (art. 6)</w:t>
      </w:r>
    </w:p>
    <w:p w:rsidR="00B81985" w:rsidP="005C3C83" w:rsidRDefault="00B81985" w14:paraId="4BCB81D8" w14:textId="34D94563">
      <w:pPr>
        <w:pStyle w:val="SingleTxtG"/>
        <w:numPr>
          <w:ilvl w:val="0"/>
          <w:numId w:val="22"/>
        </w:numPr>
        <w:ind w:start="1134" w:firstLine="0"/>
      </w:pPr>
      <w:r w:rsidRPr="00B81985">
        <w:t xml:space="preserve">Le Comité est préoccupé par le fait que</w:t>
      </w:r>
    </w:p>
    <w:p w:rsidR="00836B12" w:rsidP="00836B12" w:rsidRDefault="00B81985" w14:paraId="441A8F93" w14:textId="24055754">
      <w:pPr>
        <w:pStyle w:val="SingleTxtG"/>
        <w:ind w:firstLine="567"/>
      </w:pPr>
      <w:r>
        <w:t xml:space="preserve">(a)</w:t>
      </w:r>
      <w:r>
        <w:tab/>
      </w:r>
      <w:r w:rsidRPr="00B81985">
        <w:rPr>
          <w:lang w:val="en-US"/>
        </w:rPr>
        <w:t xml:space="preserve">La législation et les politiques de l'UE en matière d'égalité des sexes et de handicap ne </w:t>
      </w:r>
      <w:r w:rsidR="00C11DE3">
        <w:rPr>
          <w:lang w:val="en-US"/>
        </w:rPr>
        <w:t xml:space="preserve">protègent </w:t>
      </w:r>
      <w:r w:rsidRPr="00B81985">
        <w:rPr>
          <w:lang w:val="en-US"/>
        </w:rPr>
        <w:t xml:space="preserve">pas suffisamment </w:t>
      </w:r>
      <w:r w:rsidR="00C11DE3">
        <w:rPr>
          <w:lang w:val="en-US"/>
        </w:rPr>
        <w:t xml:space="preserve">les </w:t>
      </w:r>
      <w:r w:rsidRPr="00B81985">
        <w:rPr>
          <w:lang w:val="en-US"/>
        </w:rPr>
        <w:t xml:space="preserve">droits des femmes handicapées, en particulier parce que la </w:t>
      </w:r>
      <w:r w:rsidRPr="00B81985">
        <w:t xml:space="preserve">stratégie de l'UE en matière d'égalité des sexes pour 2020-2025 et la stratégie 2021-2030 sur les droits des personnes handicapées ne mettent pas </w:t>
      </w:r>
      <w:r w:rsidR="00C11DE3">
        <w:t xml:space="preserve">l</w:t>
      </w:r>
      <w:r w:rsidRPr="00B81985">
        <w:t xml:space="preserve">'accent sur les droits des femmes handicapées </w:t>
      </w:r>
      <w:r w:rsidR="00836B12">
        <w:t xml:space="preserve">;</w:t>
      </w:r>
    </w:p>
    <w:p w:rsidRPr="00992FC5" w:rsidR="00B81985" w:rsidP="00992FC5" w:rsidRDefault="00B81985" w14:paraId="7EE751F4" w14:textId="16828EDF">
      <w:pPr>
        <w:pStyle w:val="SingleTxtG"/>
        <w:ind w:firstLine="567"/>
      </w:pPr>
      <w:r>
        <w:t xml:space="preserve">(b)</w:t>
      </w:r>
      <w:r>
        <w:tab/>
      </w:r>
      <w:r w:rsidRPr="00992FC5" w:rsidR="00992FC5">
        <w:t xml:space="preserve">la mise en œuvre du plan d'action pour l'égalité entre les femmes et les hommes (PAG III) au </w:t>
      </w:r>
      <w:r w:rsidRPr="00992FC5" w:rsidR="00992FC5">
        <w:t xml:space="preserve">niveau </w:t>
      </w:r>
      <w:r w:rsidR="00C11DE3">
        <w:t xml:space="preserve">des États membres </w:t>
      </w:r>
      <w:r w:rsidRPr="00992FC5" w:rsidR="00992FC5">
        <w:t xml:space="preserve">et </w:t>
      </w:r>
      <w:r w:rsidR="00C11DE3">
        <w:t xml:space="preserve">dans l'</w:t>
      </w:r>
      <w:r w:rsidRPr="00992FC5" w:rsidR="00992FC5">
        <w:t xml:space="preserve">action extérieure de l'UE </w:t>
      </w:r>
      <w:r w:rsidR="00465C04">
        <w:t xml:space="preserve">ne </w:t>
      </w:r>
      <w:r w:rsidR="00465C04">
        <w:t xml:space="preserve">prend </w:t>
      </w:r>
      <w:r w:rsidR="00465C04">
        <w:t xml:space="preserve">pas </w:t>
      </w:r>
      <w:r w:rsidR="00465C04">
        <w:t xml:space="preserve">systématiquement </w:t>
      </w:r>
      <w:r w:rsidR="00465C04">
        <w:t xml:space="preserve">en compte les </w:t>
      </w:r>
      <w:r w:rsidRPr="00992FC5" w:rsidR="00992FC5">
        <w:rPr>
          <w:lang w:val="en-CA"/>
        </w:rPr>
        <w:t xml:space="preserve">expériences de </w:t>
      </w:r>
      <w:r w:rsidRPr="00992FC5" w:rsidR="00992FC5">
        <w:t xml:space="preserve">discrimination multiple et intersectionnelle ;</w:t>
      </w:r>
    </w:p>
    <w:p w:rsidR="00B81985" w:rsidP="00485101" w:rsidRDefault="00B81985" w14:paraId="375CC2F4" w14:textId="74C7E7E9">
      <w:pPr>
        <w:pStyle w:val="SingleTxtG"/>
        <w:ind w:firstLine="567"/>
      </w:pPr>
      <w:r>
        <w:t xml:space="preserve">(c)</w:t>
      </w:r>
      <w:r>
        <w:tab/>
      </w:r>
      <w:r w:rsidR="00465C04">
        <w:t xml:space="preserve">Les points de vue </w:t>
      </w:r>
      <w:r w:rsidR="00D923CA">
        <w:t xml:space="preserve">des femmes et des filles handicapées </w:t>
      </w:r>
      <w:r w:rsidRPr="00B81985">
        <w:t xml:space="preserve">n'ont pas été systématiquement intégrés dans l'élaboration des politiques</w:t>
      </w:r>
      <w:r w:rsidR="00485101">
        <w:t xml:space="preserve">, </w:t>
      </w:r>
      <w:r w:rsidR="00485101">
        <w:rPr>
          <w:color w:val="000000" w:themeColor="text1"/>
        </w:rPr>
        <w:t xml:space="preserve">même lorsqu'elles sont consultées </w:t>
      </w:r>
      <w:r w:rsidRPr="00B81985">
        <w:t xml:space="preserve">; </w:t>
      </w:r>
    </w:p>
    <w:p w:rsidRPr="00B81985" w:rsidR="00A17819" w:rsidP="00AA6319" w:rsidRDefault="00B81985" w14:paraId="7C6AC04D" w14:textId="79BDED54">
      <w:pPr>
        <w:pStyle w:val="SingleTxtG"/>
        <w:ind w:firstLine="567"/>
      </w:pPr>
      <w:r>
        <w:lastRenderedPageBreak/>
      </w:r>
      <w:r>
        <w:t xml:space="preserve">(d)</w:t>
      </w:r>
      <w:r>
        <w:tab/>
      </w:r>
      <w:r w:rsidR="001831C1">
        <w:t xml:space="preserve">Il y a un </w:t>
      </w:r>
      <w:r w:rsidRPr="001831C1" w:rsidR="001831C1">
        <w:t xml:space="preserve">manque de données ventilées sur la participation des femmes handicapées aux postes de décision dans les sphères politiques, économiques et sociales et il </w:t>
      </w:r>
      <w:r w:rsidRPr="00563184" w:rsidR="00563184">
        <w:t xml:space="preserve">y a un manque de </w:t>
      </w:r>
      <w:r w:rsidR="00266ECE">
        <w:t xml:space="preserve">collecte de données </w:t>
      </w:r>
      <w:r w:rsidR="008A3653">
        <w:t xml:space="preserve">sur l'</w:t>
      </w:r>
      <w:r w:rsidR="00DF79C8">
        <w:t xml:space="preserve">inclusion et l'intersectionnalité </w:t>
      </w:r>
      <w:r w:rsidR="005D2E4B">
        <w:t xml:space="preserve">dans l'</w:t>
      </w:r>
      <w:r w:rsidR="00B90957">
        <w:t xml:space="preserve">action extérieure de </w:t>
      </w:r>
      <w:r w:rsidR="005D2E4B">
        <w:t xml:space="preserve">l'UE. </w:t>
      </w:r>
    </w:p>
    <w:p w:rsidR="00B81985" w:rsidP="005C3C83" w:rsidRDefault="00B81985" w14:paraId="6AE57AB4" w14:textId="2A190A33">
      <w:pPr>
        <w:pStyle w:val="SingleTxtG"/>
        <w:numPr>
          <w:ilvl w:val="0"/>
          <w:numId w:val="22"/>
        </w:numPr>
        <w:ind w:start="1134" w:firstLine="0"/>
      </w:pPr>
      <w:r w:rsidRPr="004735A0">
        <w:rPr>
          <w:b/>
          <w:bCs/>
          <w:noProof/>
        </w:rPr>
        <w:t xml:space="preserve">Le Comité, rappelant son Observation générale no 3 (2016) sur les femmes et les filles handicapées, recommande à l'</w:t>
      </w:r>
      <w:r>
        <w:rPr>
          <w:b/>
          <w:bCs/>
          <w:noProof/>
        </w:rPr>
        <w:t xml:space="preserve">Union européenne </w:t>
      </w:r>
      <w:r w:rsidRPr="004735A0">
        <w:rPr>
          <w:b/>
          <w:bCs/>
          <w:noProof/>
        </w:rPr>
        <w:t xml:space="preserve">:</w:t>
      </w:r>
    </w:p>
    <w:p w:rsidRPr="005C3C83" w:rsidR="00B81985" w:rsidP="00B81985" w:rsidRDefault="00B81985" w14:paraId="503116F4" w14:textId="063F2CA8">
      <w:pPr>
        <w:pStyle w:val="SingleTxtG"/>
        <w:ind w:firstLine="567"/>
        <w:rPr>
          <w:b/>
          <w:bCs/>
        </w:rPr>
      </w:pPr>
      <w:r w:rsidRPr="005C3C83">
        <w:rPr>
          <w:b/>
          <w:bCs/>
        </w:rPr>
        <w:t xml:space="preserve">(a)</w:t>
      </w:r>
      <w:r w:rsidRPr="005C3C83">
        <w:rPr>
          <w:b/>
          <w:bCs/>
        </w:rPr>
        <w:tab/>
      </w:r>
      <w:r w:rsidRPr="005C3C83" w:rsidR="0028275E">
        <w:rPr>
          <w:b/>
          <w:bCs/>
        </w:rPr>
        <w:t xml:space="preserve">Intégrer le </w:t>
      </w:r>
      <w:r w:rsidRPr="005C3C83">
        <w:rPr>
          <w:b/>
          <w:bCs/>
        </w:rPr>
        <w:t xml:space="preserve">handicap et le genre dans l'ensemble de la législation, des cadres politiques et des programmes, et élargir le champ d'application de la Stratégie pour l'égalité entre les femmes et les hommes afin d'</w:t>
      </w:r>
      <w:r w:rsidRPr="005C3C83" w:rsidR="008A3653">
        <w:rPr>
          <w:b/>
          <w:bCs/>
        </w:rPr>
        <w:t xml:space="preserve">y inclure les </w:t>
      </w:r>
      <w:r w:rsidRPr="005C3C83">
        <w:rPr>
          <w:b/>
          <w:bCs/>
        </w:rPr>
        <w:t xml:space="preserve">droits des femmes handicapées au travail et à l'emploi, </w:t>
      </w:r>
      <w:r w:rsidRPr="005C3C83" w:rsidR="00956E6D">
        <w:rPr>
          <w:b/>
          <w:bCs/>
        </w:rPr>
        <w:t xml:space="preserve">ainsi que les droits des femmes et des filles handicapées à la </w:t>
      </w:r>
      <w:r w:rsidRPr="005C3C83">
        <w:rPr>
          <w:b/>
          <w:bCs/>
        </w:rPr>
        <w:t xml:space="preserve">participation politique, à </w:t>
      </w:r>
      <w:r w:rsidRPr="005C3C83" w:rsidR="00465C04">
        <w:rPr>
          <w:b/>
          <w:bCs/>
        </w:rPr>
        <w:t xml:space="preserve">un niveau de vie adéquat</w:t>
      </w:r>
      <w:r w:rsidRPr="005C3C83">
        <w:rPr>
          <w:b/>
          <w:bCs/>
        </w:rPr>
        <w:t xml:space="preserve">, à la santé </w:t>
      </w:r>
      <w:r w:rsidRPr="005C3C83" w:rsidR="002E1714">
        <w:rPr>
          <w:b/>
          <w:bCs/>
        </w:rPr>
        <w:t xml:space="preserve">et à l'</w:t>
      </w:r>
      <w:r w:rsidRPr="005C3C83">
        <w:rPr>
          <w:b/>
          <w:bCs/>
        </w:rPr>
        <w:t xml:space="preserve">éducation ;</w:t>
      </w:r>
    </w:p>
    <w:p w:rsidRPr="005C3C83" w:rsidR="00D47469" w:rsidP="00465C04" w:rsidRDefault="00D47469" w14:paraId="38AFDB93" w14:textId="53E85AFD">
      <w:pPr>
        <w:pStyle w:val="SingleTxtG"/>
        <w:ind w:firstLine="567"/>
        <w:rPr>
          <w:b/>
          <w:bCs/>
        </w:rPr>
      </w:pPr>
      <w:bookmarkStart w:name="_Hlk191828123" w:id="2"/>
      <w:r w:rsidRPr="005C3C83">
        <w:rPr>
          <w:b/>
          <w:bCs/>
        </w:rPr>
        <w:t xml:space="preserve">(b)</w:t>
      </w:r>
      <w:r w:rsidRPr="005C3C83">
        <w:rPr>
          <w:b/>
          <w:bCs/>
        </w:rPr>
        <w:tab/>
      </w:r>
      <w:r w:rsidRPr="005C3C83">
        <w:rPr>
          <w:b/>
          <w:bCs/>
        </w:rPr>
        <w:t xml:space="preserve">renforcer la coopération entre l'Institut européen pour l'égalité entre les hommes et les femmes et les programmes nationaux des États membres pour la promotion des femmes et des filles afin de lutter efficacement contre la discrimination multiple et intersectionnelle à l'encontre des femmes et des filles handicapées</w:t>
      </w:r>
      <w:r w:rsidRPr="005C3C83" w:rsidR="00465C04">
        <w:rPr>
          <w:b/>
          <w:bCs/>
        </w:rPr>
        <w:t xml:space="preserve">, et </w:t>
      </w:r>
      <w:r w:rsidRPr="005C3C83">
        <w:rPr>
          <w:b/>
          <w:bCs/>
        </w:rPr>
        <w:t xml:space="preserve">veiller à ce que toute la coopération internationale tienne compte du handicap et du genre et protège les femmes et les filles handicapées dans les institutions</w:t>
      </w:r>
      <w:r w:rsidRPr="005C3C83" w:rsidR="00465C04">
        <w:rPr>
          <w:b/>
          <w:bCs/>
        </w:rPr>
        <w:t xml:space="preserve">, appartenant à des minorités ethniques </w:t>
      </w:r>
      <w:r w:rsidRPr="005C3C83" w:rsidR="00465C04">
        <w:rPr>
          <w:b/>
          <w:bCs/>
        </w:rPr>
        <w:t xml:space="preserve">et </w:t>
      </w:r>
      <w:r w:rsidRPr="005C3C83">
        <w:rPr>
          <w:b/>
          <w:bCs/>
        </w:rPr>
        <w:t xml:space="preserve">en situation de migration ;</w:t>
      </w:r>
    </w:p>
    <w:p w:rsidRPr="00B81985" w:rsidR="00D47469" w:rsidP="00D47469" w:rsidRDefault="00D47469" w14:paraId="4D8760F5" w14:textId="5BA73457">
      <w:pPr>
        <w:pStyle w:val="SingleTxtG"/>
        <w:ind w:firstLine="567"/>
        <w:rPr>
          <w:b/>
          <w:bCs/>
        </w:rPr>
      </w:pPr>
      <w:r w:rsidRPr="005C3C83">
        <w:rPr>
          <w:b/>
          <w:bCs/>
        </w:rPr>
        <w:t xml:space="preserve">(c)</w:t>
      </w:r>
      <w:r w:rsidRPr="005C3C83">
        <w:rPr>
          <w:b/>
          <w:bCs/>
        </w:rPr>
        <w:tab/>
      </w:r>
      <w:r w:rsidRPr="005C3C83">
        <w:rPr>
          <w:b/>
          <w:bCs/>
          <w:lang w:val="en-US"/>
        </w:rPr>
        <w:t xml:space="preserve">Assurer une </w:t>
      </w:r>
      <w:r w:rsidRPr="005C3C83">
        <w:rPr>
          <w:b/>
          <w:bCs/>
        </w:rPr>
        <w:t xml:space="preserve">consultation étroite et une participation active des femmes </w:t>
      </w:r>
      <w:r w:rsidRPr="005C3C83">
        <w:rPr>
          <w:b/>
          <w:bCs/>
          <w:lang w:val="en-US"/>
        </w:rPr>
        <w:t xml:space="preserve">et des filles </w:t>
      </w:r>
      <w:r w:rsidRPr="005C3C83">
        <w:rPr>
          <w:b/>
          <w:bCs/>
        </w:rPr>
        <w:t xml:space="preserve">handicapées, par l'intermédiaire des </w:t>
      </w:r>
      <w:r w:rsidRPr="00434A91">
        <w:rPr>
          <w:b/>
          <w:bCs/>
        </w:rPr>
        <w:t xml:space="preserve">organisations qui les représentent, à </w:t>
      </w:r>
      <w:r>
        <w:rPr>
          <w:b/>
          <w:bCs/>
          <w:lang w:val="en-US"/>
        </w:rPr>
        <w:t xml:space="preserve">la </w:t>
      </w:r>
      <w:r w:rsidRPr="00434A91">
        <w:rPr>
          <w:b/>
          <w:bCs/>
        </w:rPr>
        <w:t xml:space="preserve">préparation et à la mise en œuvre des politiques et des programmes de l'UE </w:t>
      </w:r>
      <w:r>
        <w:rPr>
          <w:b/>
          <w:bCs/>
          <w:lang w:val="en-CA"/>
        </w:rPr>
        <w:t xml:space="preserve">;</w:t>
      </w:r>
    </w:p>
    <w:bookmarkEnd w:id="0"/>
    <w:p w:rsidRPr="00B81985" w:rsidR="006D506E" w:rsidP="00D47469" w:rsidRDefault="00D47469" w14:paraId="3050C0A6" w14:textId="42AD0237">
      <w:pPr>
        <w:pStyle w:val="SingleTxtG"/>
        <w:ind w:firstLine="567"/>
        <w:rPr>
          <w:b/>
          <w:bCs/>
        </w:rPr>
      </w:pPr>
      <w:r w:rsidRPr="005C3C83">
        <w:rPr>
          <w:b/>
          <w:bCs/>
        </w:rPr>
        <w:t xml:space="preserve">(d)</w:t>
      </w:r>
      <w:r w:rsidRPr="005C3C83">
        <w:rPr>
          <w:b/>
          <w:bCs/>
        </w:rPr>
        <w:tab/>
      </w:r>
      <w:r w:rsidRPr="00C5609C">
        <w:rPr>
          <w:b/>
          <w:bCs/>
        </w:rPr>
        <w:t xml:space="preserve">Améliorer la collecte de données ventilées </w:t>
      </w:r>
      <w:r w:rsidR="005C7344">
        <w:rPr>
          <w:b/>
          <w:bCs/>
        </w:rPr>
        <w:t xml:space="preserve">sur la </w:t>
      </w:r>
      <w:r w:rsidRPr="00483219" w:rsidR="00A457AC">
        <w:rPr>
          <w:b/>
          <w:bCs/>
        </w:rPr>
        <w:t xml:space="preserve">participation des femmes et des filles handicapées dans les sphères politique, économique et sociale </w:t>
      </w:r>
      <w:r w:rsidR="005B7994">
        <w:rPr>
          <w:b/>
          <w:bCs/>
        </w:rPr>
        <w:t xml:space="preserve">et sur l'</w:t>
      </w:r>
      <w:r w:rsidR="005C7344">
        <w:rPr>
          <w:b/>
          <w:bCs/>
        </w:rPr>
        <w:t xml:space="preserve">inclusion et l'intersectionnalité </w:t>
      </w:r>
      <w:r w:rsidR="00F03C18">
        <w:rPr>
          <w:b/>
          <w:bCs/>
        </w:rPr>
        <w:t xml:space="preserve">dans l'</w:t>
      </w:r>
      <w:r w:rsidRPr="00C814AA">
        <w:rPr>
          <w:b/>
          <w:bCs/>
        </w:rPr>
        <w:t xml:space="preserve">action extérieure de l'UE dans les pays partenaires</w:t>
      </w:r>
      <w:r w:rsidRPr="00C5609C">
        <w:rPr>
          <w:b/>
          <w:bCs/>
        </w:rPr>
        <w:t xml:space="preserve">, et consulter étroitement et impliquer activement leurs organisations représentatives</w:t>
      </w:r>
      <w:r>
        <w:rPr>
          <w:b/>
          <w:bCs/>
        </w:rPr>
        <w:t xml:space="preserve">, </w:t>
      </w:r>
      <w:r>
        <w:rPr>
          <w:b/>
          <w:bCs/>
        </w:rPr>
        <w:t xml:space="preserve">dans l'UE et dans les pays partenaires</w:t>
      </w:r>
      <w:r w:rsidR="00F03C18">
        <w:rPr>
          <w:b/>
          <w:bCs/>
        </w:rPr>
        <w:t xml:space="preserve">, </w:t>
      </w:r>
      <w:r w:rsidRPr="00C5609C">
        <w:rPr>
          <w:b/>
          <w:bCs/>
        </w:rPr>
        <w:t xml:space="preserve">dans le </w:t>
      </w:r>
      <w:r>
        <w:rPr>
          <w:b/>
          <w:bCs/>
        </w:rPr>
        <w:t xml:space="preserve">développement </w:t>
      </w:r>
      <w:r w:rsidR="00F03C18">
        <w:rPr>
          <w:b/>
          <w:bCs/>
        </w:rPr>
        <w:t xml:space="preserve">de </w:t>
      </w:r>
      <w:r w:rsidRPr="00C5609C">
        <w:rPr>
          <w:b/>
          <w:bCs/>
        </w:rPr>
        <w:t xml:space="preserve">systèmes de collecte de données qui identifient la </w:t>
      </w:r>
      <w:r w:rsidRPr="00C5609C">
        <w:rPr>
          <w:b/>
          <w:bCs/>
        </w:rPr>
        <w:t xml:space="preserve">diversité de </w:t>
      </w:r>
      <w:r w:rsidR="00F03C18">
        <w:rPr>
          <w:b/>
          <w:bCs/>
        </w:rPr>
        <w:t xml:space="preserve">leurs </w:t>
      </w:r>
      <w:r w:rsidRPr="00C5609C">
        <w:rPr>
          <w:b/>
          <w:bCs/>
        </w:rPr>
        <w:t xml:space="preserve">expériences vécues.</w:t>
      </w:r>
    </w:p>
    <w:bookmarkEnd w:id="2"/>
    <w:p w:rsidRPr="00664273" w:rsidR="00664273" w:rsidP="00664273" w:rsidRDefault="00664273" w14:paraId="12EE30DB" w14:textId="78F7C26F">
      <w:pPr>
        <w:keepNext/>
        <w:keepLines/>
        <w:tabs>
          <w:tab w:val="right" w:pos="851"/>
        </w:tabs>
        <w:spacing w:before="240" w:after="120" w:line="240" w:lineRule="exact"/>
        <w:ind w:start="1134" w:end="1134" w:hanging="1134"/>
        <w:rPr>
          <w:rFonts w:eastAsia="SimSun"/>
          <w:b/>
          <w:lang w:eastAsia="zh-CN"/>
        </w:rPr>
      </w:pPr>
      <w:r>
        <w:rPr>
          <w:rFonts w:eastAsia="SimSun"/>
          <w:b/>
          <w:lang w:eastAsia="zh-CN"/>
        </w:rPr>
        <w:tab/>
      </w:r>
      <w:r>
        <w:rPr>
          <w:rFonts w:eastAsia="SimSun"/>
          <w:b/>
          <w:lang w:eastAsia="zh-CN"/>
        </w:rPr>
        <w:tab/>
      </w:r>
      <w:r w:rsidRPr="00664273">
        <w:rPr>
          <w:rFonts w:eastAsia="SimSun"/>
          <w:b/>
          <w:lang w:eastAsia="zh-CN"/>
        </w:rPr>
        <w:t xml:space="preserve">Enfants handicapés (art. 7)</w:t>
      </w:r>
    </w:p>
    <w:p w:rsidR="00B81985" w:rsidP="005C3C83" w:rsidRDefault="00664273" w14:paraId="0564A58B" w14:textId="40C1FD53">
      <w:pPr>
        <w:pStyle w:val="SingleTxtG"/>
        <w:numPr>
          <w:ilvl w:val="0"/>
          <w:numId w:val="22"/>
        </w:numPr>
        <w:ind w:start="1134" w:firstLine="0"/>
        <w:rPr>
          <w:rFonts w:eastAsia="SimSun"/>
        </w:rPr>
      </w:pPr>
      <w:r w:rsidRPr="00664273">
        <w:rPr>
          <w:rFonts w:eastAsia="SimSun"/>
        </w:rPr>
        <w:t xml:space="preserve">Le Comité est préoccupé </w:t>
      </w:r>
      <w:r w:rsidR="00A557D6">
        <w:rPr>
          <w:rFonts w:eastAsia="SimSun"/>
        </w:rPr>
        <w:t xml:space="preserve">par</w:t>
      </w:r>
    </w:p>
    <w:p w:rsidR="00D13011" w:rsidP="00A557D6" w:rsidRDefault="00A557D6" w14:paraId="66B8C5BE" w14:textId="77777777">
      <w:pPr>
        <w:pStyle w:val="SingleTxtG"/>
        <w:ind w:firstLine="567"/>
        <w:rPr>
          <w:rFonts w:eastAsia="SimSun"/>
          <w:lang w:val="en-US"/>
        </w:rPr>
      </w:pPr>
      <w:r w:rsidRPr="00A557D6">
        <w:rPr>
          <w:rFonts w:eastAsia="SimSun"/>
        </w:rPr>
        <w:t xml:space="preserve">(a)</w:t>
      </w:r>
      <w:r w:rsidRPr="00A557D6">
        <w:rPr>
          <w:rFonts w:eastAsia="SimSun"/>
        </w:rPr>
        <w:tab/>
      </w:r>
      <w:r w:rsidRPr="00A557D6">
        <w:rPr>
          <w:rFonts w:eastAsia="SimSun"/>
        </w:rPr>
        <w:t xml:space="preserve">L'institutionnalisation, la violence et l'exclusion </w:t>
      </w:r>
      <w:r w:rsidR="001221C2">
        <w:rPr>
          <w:rFonts w:eastAsia="SimSun"/>
        </w:rPr>
        <w:t xml:space="preserve">des </w:t>
      </w:r>
      <w:r w:rsidRPr="00A557D6">
        <w:rPr>
          <w:rFonts w:eastAsia="SimSun"/>
        </w:rPr>
        <w:t xml:space="preserve">enfants handicapés dans les </w:t>
      </w:r>
      <w:r w:rsidRPr="00A557D6">
        <w:rPr>
          <w:rFonts w:eastAsia="SimSun"/>
        </w:rPr>
        <w:t xml:space="preserve">États membres de l</w:t>
      </w:r>
      <w:r w:rsidRPr="00A557D6">
        <w:rPr>
          <w:rFonts w:eastAsia="SimSun"/>
        </w:rPr>
        <w:t xml:space="preserve">'UE</w:t>
      </w:r>
      <w:r w:rsidRPr="00AD7122" w:rsidR="00892B00">
        <w:rPr>
          <w:rFonts w:eastAsia="SimSun"/>
          <w:lang w:val="en-US"/>
        </w:rPr>
        <w:t xml:space="preserve">, </w:t>
      </w:r>
      <w:r w:rsidRPr="00A557D6">
        <w:rPr>
          <w:rFonts w:eastAsia="SimSun"/>
        </w:rPr>
        <w:t xml:space="preserve">et l'intégration insuffisante des droits des enfants handicapés dans la </w:t>
      </w:r>
      <w:r w:rsidRPr="00AD7122" w:rsidR="00892B00">
        <w:rPr>
          <w:rFonts w:eastAsia="SimSun"/>
          <w:lang w:val="en-US"/>
        </w:rPr>
        <w:t xml:space="preserve">législation</w:t>
      </w:r>
      <w:r w:rsidRPr="00A557D6">
        <w:rPr>
          <w:rFonts w:eastAsia="SimSun"/>
        </w:rPr>
        <w:t xml:space="preserve"> de l'UE </w:t>
      </w:r>
      <w:r w:rsidR="00892B00">
        <w:rPr>
          <w:rFonts w:eastAsia="SimSun"/>
          <w:lang w:val="en-US"/>
        </w:rPr>
        <w:t xml:space="preserve">et dans la législation </w:t>
      </w:r>
      <w:r w:rsidR="001221C2">
        <w:rPr>
          <w:rFonts w:eastAsia="SimSun"/>
          <w:lang w:val="en-US"/>
        </w:rPr>
        <w:t xml:space="preserve">des </w:t>
      </w:r>
      <w:r w:rsidR="00892B00">
        <w:rPr>
          <w:rFonts w:eastAsia="SimSun"/>
          <w:lang w:val="en-US"/>
        </w:rPr>
        <w:t xml:space="preserve">États membres qui transposent la législation de l'UE ;</w:t>
      </w:r>
    </w:p>
    <w:p w:rsidRPr="00A557D6" w:rsidR="00A557D6" w:rsidP="00A557D6" w:rsidRDefault="00A557D6" w14:paraId="00788ECF" w14:textId="598707AD">
      <w:pPr>
        <w:pStyle w:val="SingleTxtG"/>
        <w:ind w:firstLine="567"/>
        <w:rPr>
          <w:rFonts w:eastAsia="SimSun"/>
        </w:rPr>
      </w:pPr>
      <w:r w:rsidR="008F7AAC">
        <w:rPr>
          <w:rFonts w:eastAsia="SimSun"/>
        </w:rPr>
        <w:t xml:space="preserve">(b</w:t>
      </w:r>
      <w:r w:rsidRPr="00A557D6">
        <w:rPr>
          <w:rFonts w:eastAsia="SimSun"/>
        </w:rPr>
        <w:t xml:space="preserve">)</w:t>
      </w:r>
      <w:r w:rsidRPr="00A557D6">
        <w:rPr>
          <w:rFonts w:eastAsia="SimSun"/>
        </w:rPr>
        <w:tab/>
      </w:r>
      <w:r w:rsidRPr="00A557D6">
        <w:rPr>
          <w:rFonts w:eastAsia="SimSun"/>
        </w:rPr>
        <w:t xml:space="preserve">la </w:t>
      </w:r>
      <w:r w:rsidR="00892B00">
        <w:rPr>
          <w:rFonts w:eastAsia="SimSun"/>
          <w:lang w:val="en-US"/>
        </w:rPr>
        <w:t xml:space="preserve">disponibilité </w:t>
      </w:r>
      <w:r w:rsidRPr="00A557D6">
        <w:rPr>
          <w:rFonts w:eastAsia="SimSun"/>
        </w:rPr>
        <w:t xml:space="preserve">limitée </w:t>
      </w:r>
      <w:r w:rsidR="00892B00">
        <w:rPr>
          <w:rFonts w:eastAsia="SimSun"/>
          <w:lang w:val="en-US"/>
        </w:rPr>
        <w:t xml:space="preserve">de </w:t>
      </w:r>
      <w:r w:rsidRPr="00A557D6">
        <w:rPr>
          <w:rFonts w:eastAsia="SimSun"/>
        </w:rPr>
        <w:t xml:space="preserve">données ventilées sur la situation des enfants handicapés, y compris les enfants souffrant de </w:t>
      </w:r>
      <w:r w:rsidRPr="00A557D6">
        <w:rPr>
          <w:rFonts w:eastAsia="SimSun"/>
        </w:rPr>
        <w:t xml:space="preserve">handicaps </w:t>
      </w:r>
      <w:r w:rsidRPr="00A557D6">
        <w:rPr>
          <w:rFonts w:eastAsia="SimSun"/>
        </w:rPr>
        <w:t xml:space="preserve">intellectuels </w:t>
      </w:r>
      <w:r w:rsidR="00C35D44">
        <w:rPr>
          <w:rFonts w:eastAsia="SimSun"/>
        </w:rPr>
        <w:t xml:space="preserve">et/ou psychosociaux</w:t>
      </w:r>
      <w:r w:rsidRPr="00A557D6">
        <w:rPr>
          <w:rFonts w:eastAsia="SimSun"/>
        </w:rPr>
        <w:t xml:space="preserve">, les enfants autistes, les enfants placés en institution </w:t>
      </w:r>
      <w:r w:rsidR="00C35D44">
        <w:rPr>
          <w:rFonts w:eastAsia="SimSun"/>
        </w:rPr>
        <w:t xml:space="preserve">et les </w:t>
      </w:r>
      <w:r w:rsidRPr="00A557D6">
        <w:rPr>
          <w:rFonts w:eastAsia="SimSun"/>
        </w:rPr>
        <w:t xml:space="preserve">enfants </w:t>
      </w:r>
      <w:r w:rsidRPr="00A557D6">
        <w:rPr>
          <w:rFonts w:eastAsia="SimSun"/>
        </w:rPr>
        <w:t xml:space="preserve">en situation de migration ;</w:t>
      </w:r>
    </w:p>
    <w:p w:rsidRPr="00B81985" w:rsidR="00A557D6" w:rsidP="005C3C83" w:rsidRDefault="00A557D6" w14:paraId="1E1A840A" w14:textId="2643993F">
      <w:pPr>
        <w:pStyle w:val="SingleTxtG"/>
        <w:numPr>
          <w:ilvl w:val="0"/>
          <w:numId w:val="22"/>
        </w:numPr>
        <w:ind w:start="1134" w:firstLine="0"/>
        <w:rPr>
          <w:b/>
          <w:bCs/>
        </w:rPr>
      </w:pPr>
      <w:r>
        <w:rPr>
          <w:b/>
          <w:bCs/>
        </w:rPr>
        <w:t xml:space="preserve">Rappelant sa déclaration commune avec le Comité des droits de l'enfant et le Comité des droits des personnes handicapées sur les droits des enfants handicapés, le </w:t>
      </w:r>
      <w:r w:rsidRPr="002378C5">
        <w:rPr>
          <w:b/>
          <w:bCs/>
        </w:rPr>
        <w:t xml:space="preserve">Comité recommande à l'</w:t>
      </w:r>
      <w:r>
        <w:rPr>
          <w:b/>
          <w:bCs/>
        </w:rPr>
        <w:t xml:space="preserve">Union européenne :</w:t>
      </w:r>
    </w:p>
    <w:p w:rsidRPr="005C3C83" w:rsidR="007A11D8" w:rsidP="004236FF" w:rsidRDefault="00A557D6" w14:paraId="1ED82B28" w14:textId="71AE3CAD">
      <w:pPr>
        <w:pStyle w:val="SingleTxtG"/>
        <w:ind w:firstLine="567"/>
        <w:rPr>
          <w:b/>
          <w:bCs/>
        </w:rPr>
      </w:pPr>
      <w:r w:rsidRPr="005C3C83">
        <w:rPr>
          <w:b/>
          <w:bCs/>
          <w:lang w:val="en-US"/>
        </w:rPr>
        <w:t xml:space="preserve">(a)</w:t>
      </w:r>
      <w:r w:rsidRPr="005C3C83">
        <w:rPr>
          <w:b/>
          <w:bCs/>
          <w:lang w:val="en-US"/>
        </w:rPr>
        <w:tab/>
      </w:r>
      <w:r w:rsidRPr="005C3C83" w:rsidR="008F7AAC">
        <w:rPr>
          <w:b/>
          <w:bCs/>
          <w:lang w:val="en-US"/>
        </w:rPr>
        <w:t xml:space="preserve">D'intégrer systématiquement les </w:t>
      </w:r>
      <w:r w:rsidRPr="005C3C83">
        <w:rPr>
          <w:b/>
          <w:bCs/>
          <w:lang w:val="en-US"/>
        </w:rPr>
        <w:t xml:space="preserve">droits des enfants handicapés dans l'</w:t>
      </w:r>
      <w:r w:rsidRPr="005C3C83" w:rsidR="00846795">
        <w:rPr>
          <w:b/>
          <w:bCs/>
          <w:lang w:val="en-US"/>
        </w:rPr>
        <w:t xml:space="preserve">ensemble de la </w:t>
      </w:r>
      <w:r w:rsidRPr="005C3C83">
        <w:rPr>
          <w:b/>
          <w:bCs/>
          <w:lang w:val="en-US"/>
        </w:rPr>
        <w:t xml:space="preserve">législation, des </w:t>
      </w:r>
      <w:r w:rsidRPr="005C3C83" w:rsidR="008F7AAC">
        <w:rPr>
          <w:b/>
          <w:bCs/>
          <w:lang w:val="en-US"/>
        </w:rPr>
        <w:t xml:space="preserve">politiques </w:t>
      </w:r>
      <w:r w:rsidRPr="005C3C83">
        <w:rPr>
          <w:b/>
          <w:bCs/>
          <w:lang w:val="en-US"/>
        </w:rPr>
        <w:t xml:space="preserve">et des </w:t>
      </w:r>
      <w:r w:rsidRPr="005C3C83" w:rsidR="008F7AAC">
        <w:rPr>
          <w:b/>
          <w:bCs/>
          <w:lang w:val="en-US"/>
        </w:rPr>
        <w:t xml:space="preserve">projets </w:t>
      </w:r>
      <w:r w:rsidRPr="005C3C83">
        <w:rPr>
          <w:b/>
          <w:bCs/>
          <w:lang w:val="en-US"/>
        </w:rPr>
        <w:t xml:space="preserve">relatifs aux droits de l'enfant, </w:t>
      </w:r>
      <w:r w:rsidRPr="005C3C83" w:rsidR="008F7AAC">
        <w:rPr>
          <w:b/>
          <w:bCs/>
          <w:lang w:val="en-US"/>
        </w:rPr>
        <w:t xml:space="preserve">et d'</w:t>
      </w:r>
      <w:r w:rsidRPr="005C3C83">
        <w:rPr>
          <w:b/>
          <w:bCs/>
          <w:lang w:val="en-US"/>
        </w:rPr>
        <w:t xml:space="preserve">introduire des </w:t>
      </w:r>
      <w:r w:rsidRPr="005C3C83">
        <w:rPr>
          <w:b/>
          <w:bCs/>
          <w:lang w:val="en-US"/>
        </w:rPr>
        <w:t xml:space="preserve">mesures </w:t>
      </w:r>
      <w:r w:rsidRPr="005C3C83" w:rsidR="00846795">
        <w:rPr>
          <w:b/>
          <w:bCs/>
          <w:lang w:val="en-US"/>
        </w:rPr>
        <w:t xml:space="preserve">efficaces </w:t>
      </w:r>
      <w:r w:rsidRPr="005C3C83" w:rsidR="00846795">
        <w:rPr>
          <w:b/>
          <w:bCs/>
          <w:lang w:val="en-US"/>
        </w:rPr>
        <w:t xml:space="preserve">contre le </w:t>
      </w:r>
      <w:r w:rsidRPr="005C3C83">
        <w:rPr>
          <w:b/>
          <w:bCs/>
        </w:rPr>
        <w:t xml:space="preserve">placement en institution </w:t>
      </w:r>
      <w:r w:rsidRPr="005C3C83" w:rsidR="008F7AAC">
        <w:rPr>
          <w:b/>
          <w:bCs/>
        </w:rPr>
        <w:t xml:space="preserve">dans </w:t>
      </w:r>
      <w:r w:rsidRPr="005C3C83">
        <w:rPr>
          <w:b/>
          <w:bCs/>
        </w:rPr>
        <w:t xml:space="preserve">son action interne et externe et dans la mise en œuvre de la Stratégie pour les droits de l'enfant, de la Garantie européenne pour l'enfant vulnérable et de la Recommandation de la Commission de 2024 sur le développement et le renforcement des systèmes intégrés de protection de l'enfance dans l'intérêt supérieur de l'enfant </w:t>
      </w:r>
      <w:r w:rsidRPr="005C3C83" w:rsidR="007C7680">
        <w:rPr>
          <w:b/>
          <w:bCs/>
        </w:rPr>
        <w:t xml:space="preserve">;</w:t>
      </w:r>
    </w:p>
    <w:p w:rsidRPr="004236FF" w:rsidR="00301E53" w:rsidP="004236FF" w:rsidRDefault="00A557D6" w14:paraId="07BE53E0" w14:textId="37C1BF64">
      <w:pPr>
        <w:pStyle w:val="SingleTxtG"/>
        <w:ind w:firstLine="567"/>
        <w:rPr>
          <w:b/>
          <w:bCs/>
        </w:rPr>
      </w:pPr>
      <w:r w:rsidRPr="005C3C83" w:rsidR="004609C7">
        <w:rPr>
          <w:b/>
          <w:bCs/>
        </w:rPr>
        <w:t xml:space="preserve">(b</w:t>
      </w:r>
      <w:r w:rsidRPr="005C3C83">
        <w:rPr>
          <w:b/>
          <w:bCs/>
        </w:rPr>
        <w:t xml:space="preserve">)</w:t>
      </w:r>
      <w:r w:rsidRPr="005C3C83">
        <w:rPr>
          <w:b/>
          <w:bCs/>
        </w:rPr>
        <w:tab/>
      </w:r>
      <w:r w:rsidRPr="005C3C83">
        <w:rPr>
          <w:b/>
          <w:bCs/>
        </w:rPr>
        <w:t xml:space="preserve">Renforcer </w:t>
      </w:r>
      <w:r w:rsidRPr="005C3C83" w:rsidR="00D0328B">
        <w:rPr>
          <w:b/>
          <w:bCs/>
          <w:lang w:val="en-US"/>
        </w:rPr>
        <w:t xml:space="preserve">la </w:t>
      </w:r>
      <w:r w:rsidRPr="005C3C83">
        <w:rPr>
          <w:b/>
          <w:bCs/>
        </w:rPr>
        <w:t xml:space="preserve">collecte de données ventilées sur les enfants handicapés, y compris les </w:t>
      </w:r>
      <w:r w:rsidRPr="00A557D6">
        <w:rPr>
          <w:b/>
          <w:bCs/>
        </w:rPr>
        <w:t xml:space="preserve">enfants souffrant de handicaps intellectuels et/ou psychosociaux, vivant en institution </w:t>
      </w:r>
      <w:r w:rsidR="004609C7">
        <w:rPr>
          <w:b/>
          <w:bCs/>
        </w:rPr>
        <w:t xml:space="preserve">et en </w:t>
      </w:r>
      <w:r w:rsidR="004609C7">
        <w:rPr>
          <w:b/>
          <w:bCs/>
        </w:rPr>
        <w:t xml:space="preserve">situation de </w:t>
      </w:r>
      <w:r w:rsidRPr="00A557D6">
        <w:rPr>
          <w:b/>
          <w:bCs/>
        </w:rPr>
        <w:t xml:space="preserve">migration</w:t>
      </w:r>
      <w:r w:rsidR="004609C7">
        <w:rPr>
          <w:b/>
          <w:bCs/>
        </w:rPr>
        <w:t xml:space="preserve">, </w:t>
      </w:r>
      <w:r w:rsidRPr="00A557D6">
        <w:rPr>
          <w:b/>
          <w:bCs/>
        </w:rPr>
        <w:t xml:space="preserve">afin d'étayer les mesures législatives, politiques et financières visant à lutter contre la discrimination multiple et intersectionnelle à l'égard des enfants handicapés</w:t>
      </w:r>
      <w:r w:rsidR="00301E53">
        <w:rPr>
          <w:b/>
          <w:bCs/>
        </w:rPr>
        <w:t xml:space="preserve">.</w:t>
      </w:r>
    </w:p>
    <w:bookmarkEnd w:id="1"/>
    <w:p w:rsidRPr="00A17819" w:rsidR="00A17819" w:rsidP="00694FEE" w:rsidRDefault="00694FEE" w14:paraId="55068646" w14:textId="76B1FCF6">
      <w:pPr>
        <w:pStyle w:val="H23G"/>
      </w:pPr>
      <w:r>
        <w:tab/>
      </w:r>
      <w:r>
        <w:tab/>
      </w:r>
      <w:r w:rsidRPr="00A17819" w:rsidR="00A17819">
        <w:t xml:space="preserve">Sensibilisation </w:t>
      </w:r>
      <w:r w:rsidR="00EC22DC">
        <w:t xml:space="preserve">(art. 8)</w:t>
      </w:r>
    </w:p>
    <w:p w:rsidR="00EC22DC" w:rsidP="00694FEE" w:rsidRDefault="00EC22DC" w14:paraId="24B978EF" w14:textId="22A94CEA">
      <w:pPr>
        <w:pStyle w:val="SingleTxtG"/>
        <w:numPr>
          <w:ilvl w:val="0"/>
          <w:numId w:val="22"/>
        </w:numPr>
        <w:ind w:start="1134" w:firstLine="0"/>
        <w:rPr>
          <w:lang w:val="en-US"/>
        </w:rPr>
      </w:pPr>
      <w:r>
        <w:rPr>
          <w:lang w:val="en-US"/>
        </w:rPr>
        <w:t xml:space="preserve">Le Comité note avec préoccupation</w:t>
      </w:r>
    </w:p>
    <w:p w:rsidR="00FB4661" w:rsidP="00FB4661" w:rsidRDefault="00EC22DC" w14:paraId="00E4F554" w14:textId="5398FDFE">
      <w:pPr>
        <w:pStyle w:val="SingleTxtG"/>
        <w:ind w:firstLine="567"/>
      </w:pPr>
      <w:r>
        <w:rPr>
          <w:lang w:val="en-US"/>
        </w:rPr>
        <w:t xml:space="preserve">(a)</w:t>
      </w:r>
      <w:r>
        <w:rPr>
          <w:lang w:val="en-US"/>
        </w:rPr>
        <w:tab/>
      </w:r>
      <w:r w:rsidR="00FB4661">
        <w:rPr>
          <w:lang w:val="en-US"/>
        </w:rPr>
        <w:t xml:space="preserve">L'absence </w:t>
      </w:r>
      <w:r w:rsidR="006E74E9">
        <w:rPr>
          <w:lang w:val="en-US"/>
        </w:rPr>
        <w:t xml:space="preserve">de </w:t>
      </w:r>
      <w:r w:rsidR="00B812A6">
        <w:rPr>
          <w:lang w:val="en-US"/>
        </w:rPr>
        <w:t xml:space="preserve">protection juridique contre les </w:t>
      </w:r>
      <w:r w:rsidR="006E74E9">
        <w:rPr>
          <w:lang w:val="en-US"/>
        </w:rPr>
        <w:t xml:space="preserve">discours et les </w:t>
      </w:r>
      <w:r w:rsidRPr="00A17819" w:rsidR="00FB4661">
        <w:t xml:space="preserve">crimes de haine fondés sur le handicap. </w:t>
      </w:r>
    </w:p>
    <w:p w:rsidR="002F5629" w:rsidP="00EC22DC" w:rsidRDefault="00FB4661" w14:paraId="0BFC0EC7" w14:textId="52AE763C">
      <w:pPr>
        <w:pStyle w:val="SingleTxtG"/>
        <w:ind w:firstLine="567"/>
        <w:rPr>
          <w:lang w:val="en-US"/>
        </w:rPr>
      </w:pPr>
      <w:r>
        <w:rPr>
          <w:lang w:val="en-US"/>
        </w:rPr>
        <w:lastRenderedPageBreak/>
      </w:r>
      <w:r>
        <w:rPr>
          <w:lang w:val="en-US"/>
        </w:rPr>
        <w:t xml:space="preserve">(b)</w:t>
      </w:r>
      <w:r>
        <w:rPr>
          <w:lang w:val="en-US"/>
        </w:rPr>
        <w:tab/>
      </w:r>
      <w:r w:rsidR="007B7437">
        <w:rPr>
          <w:lang w:val="en-US"/>
        </w:rPr>
        <w:t xml:space="preserve">La </w:t>
      </w:r>
      <w:r w:rsidR="00A76B7A">
        <w:rPr>
          <w:lang w:val="en-US"/>
        </w:rPr>
        <w:t xml:space="preserve">stigmatisation</w:t>
      </w:r>
      <w:r w:rsidR="00D94FAA">
        <w:rPr>
          <w:lang w:val="en-US"/>
        </w:rPr>
        <w:t xml:space="preserve">, les attitudes incapables, les </w:t>
      </w:r>
      <w:r w:rsidR="004C7147">
        <w:rPr>
          <w:lang w:val="en-US"/>
        </w:rPr>
        <w:t xml:space="preserve">stéréotypes </w:t>
      </w:r>
      <w:r w:rsidR="00D94FAA">
        <w:rPr>
          <w:lang w:val="en-US"/>
        </w:rPr>
        <w:t xml:space="preserve">nuisibles </w:t>
      </w:r>
      <w:r w:rsidR="00D94FAA">
        <w:rPr>
          <w:lang w:val="en-US"/>
        </w:rPr>
        <w:t xml:space="preserve">et les préjugés </w:t>
      </w:r>
      <w:r w:rsidR="00A76B7A">
        <w:rPr>
          <w:lang w:val="en-US"/>
        </w:rPr>
        <w:t xml:space="preserve">à l'encontre des personnes handicapées, </w:t>
      </w:r>
      <w:r w:rsidR="00D94FAA">
        <w:rPr>
          <w:lang w:val="en-US"/>
        </w:rPr>
        <w:t xml:space="preserve">y compris les personnes autistes </w:t>
      </w:r>
      <w:r w:rsidR="002F5629">
        <w:rPr>
          <w:lang w:val="en-US"/>
        </w:rPr>
        <w:t xml:space="preserve">;</w:t>
      </w:r>
    </w:p>
    <w:p w:rsidRPr="00FB4661" w:rsidR="00A17819" w:rsidP="00D94FAA" w:rsidRDefault="002F5629" w14:paraId="3420FE18" w14:textId="1790FE1C">
      <w:pPr>
        <w:pStyle w:val="SingleTxtG"/>
        <w:ind w:firstLine="567"/>
        <w:rPr>
          <w:lang w:val="en-US"/>
        </w:rPr>
      </w:pPr>
      <w:r>
        <w:rPr>
          <w:lang w:val="en-US"/>
        </w:rPr>
        <w:t xml:space="preserve">(c)</w:t>
      </w:r>
      <w:r>
        <w:rPr>
          <w:lang w:val="en-US"/>
        </w:rPr>
        <w:tab/>
      </w:r>
      <w:r w:rsidR="00EC22DC">
        <w:t xml:space="preserve">Les attitudes eugéniques discriminatoires à l'égard des personnes handicapées </w:t>
      </w:r>
      <w:r w:rsidR="00E52A40">
        <w:t xml:space="preserve">dans le cadre du diagnostic médical prénatal des déficiences</w:t>
      </w:r>
      <w:r w:rsidR="001A0D0E">
        <w:rPr>
          <w:lang w:val="en-US"/>
        </w:rPr>
        <w:t xml:space="preserve">, affectant en particulier les personnes présentant des déficiences intellectuelles et/ou psychosociales et les personnes autistes</w:t>
      </w:r>
      <w:r w:rsidRPr="00A17819" w:rsidR="00A17819">
        <w:t xml:space="preserve">. </w:t>
      </w:r>
    </w:p>
    <w:p w:rsidR="00F67499" w:rsidP="00694FEE" w:rsidRDefault="00F67499" w14:paraId="5E1F057F" w14:textId="4395CBD8">
      <w:pPr>
        <w:pStyle w:val="SingleTxtG"/>
        <w:numPr>
          <w:ilvl w:val="0"/>
          <w:numId w:val="22"/>
        </w:numPr>
        <w:ind w:start="1134" w:firstLine="0"/>
        <w:rPr>
          <w:b/>
          <w:bCs/>
        </w:rPr>
      </w:pPr>
      <w:r w:rsidRPr="002378C5">
        <w:rPr>
          <w:b/>
          <w:bCs/>
        </w:rPr>
        <w:t xml:space="preserve">Le Comité recommande à </w:t>
      </w:r>
      <w:r w:rsidRPr="002378C5">
        <w:rPr>
          <w:b/>
          <w:bCs/>
        </w:rPr>
        <w:t xml:space="preserve">l'</w:t>
      </w:r>
      <w:r>
        <w:rPr>
          <w:b/>
          <w:bCs/>
        </w:rPr>
        <w:t xml:space="preserve">Union européenne, en étroite consultation et avec la participation active des personnes handicapées</w:t>
      </w:r>
      <w:r w:rsidR="00AE5744">
        <w:rPr>
          <w:b/>
          <w:bCs/>
        </w:rPr>
        <w:t xml:space="preserve">, y compris les enfants handicapés</w:t>
      </w:r>
      <w:r>
        <w:rPr>
          <w:b/>
          <w:bCs/>
        </w:rPr>
        <w:t xml:space="preserve">, par l'intermédiaire des organisations qui les représentent </w:t>
      </w:r>
      <w:r w:rsidRPr="002378C5">
        <w:rPr>
          <w:b/>
          <w:bCs/>
        </w:rPr>
        <w:t xml:space="preserve">:</w:t>
      </w:r>
    </w:p>
    <w:p w:rsidRPr="00694FEE" w:rsidR="00273048" w:rsidP="00273048" w:rsidRDefault="00F67499" w14:paraId="27BCDB2B" w14:textId="151FD538">
      <w:pPr>
        <w:pStyle w:val="SingleTxtG"/>
        <w:ind w:firstLine="567"/>
        <w:rPr>
          <w:b/>
          <w:bCs/>
        </w:rPr>
      </w:pPr>
      <w:r w:rsidRPr="00694FEE">
        <w:rPr>
          <w:b/>
          <w:bCs/>
        </w:rPr>
        <w:t xml:space="preserve">(a)</w:t>
      </w:r>
      <w:r w:rsidRPr="00694FEE" w:rsidR="00C5073D">
        <w:rPr>
          <w:b/>
          <w:bCs/>
        </w:rPr>
        <w:tab/>
      </w:r>
      <w:r w:rsidR="006F4A59">
        <w:rPr>
          <w:b/>
          <w:bCs/>
        </w:rPr>
        <w:t xml:space="preserve">Poursuivre les efforts existants pour </w:t>
      </w:r>
      <w:r w:rsidRPr="00694FEE" w:rsidR="00273048">
        <w:rPr>
          <w:b/>
          <w:bCs/>
        </w:rPr>
        <w:t xml:space="preserve">lutter contre les discours de haine à l'encontre des personnes handicapées, y compris les personnes handicapées appartenant à des groupes marginalisés </w:t>
      </w:r>
      <w:r w:rsidRPr="00694FEE" w:rsidR="00905461">
        <w:rPr>
          <w:b/>
          <w:bCs/>
        </w:rPr>
        <w:t xml:space="preserve">et </w:t>
      </w:r>
      <w:r w:rsidRPr="00694FEE" w:rsidR="00273048">
        <w:rPr>
          <w:b/>
          <w:bCs/>
        </w:rPr>
        <w:t xml:space="preserve">en situation de migration</w:t>
      </w:r>
      <w:r w:rsidRPr="00694FEE" w:rsidR="00905461">
        <w:rPr>
          <w:b/>
          <w:bCs/>
        </w:rPr>
        <w:t xml:space="preserve">, et </w:t>
      </w:r>
      <w:r w:rsidR="006F4A59">
        <w:rPr>
          <w:b/>
          <w:bCs/>
        </w:rPr>
        <w:t xml:space="preserve">pour </w:t>
      </w:r>
      <w:r w:rsidRPr="00694FEE" w:rsidR="00016A7B">
        <w:rPr>
          <w:b/>
          <w:bCs/>
        </w:rPr>
        <w:t xml:space="preserve">étendre les dispositions pénales contre les crimes de haine au handicap</w:t>
      </w:r>
      <w:r w:rsidR="006F4A59">
        <w:rPr>
          <w:b/>
          <w:bCs/>
        </w:rPr>
        <w:t xml:space="preserve">, et les mener à bien </w:t>
      </w:r>
      <w:r w:rsidRPr="00694FEE" w:rsidR="00273048">
        <w:rPr>
          <w:b/>
          <w:bCs/>
        </w:rPr>
        <w:t xml:space="preserve">;  </w:t>
      </w:r>
    </w:p>
    <w:p w:rsidRPr="00694FEE" w:rsidR="000F6513" w:rsidP="000F6513" w:rsidRDefault="002F5629" w14:paraId="1094F3BE" w14:textId="73F5DFF3">
      <w:pPr>
        <w:pStyle w:val="SingleTxtG"/>
        <w:ind w:firstLine="567"/>
        <w:rPr>
          <w:b/>
          <w:bCs/>
        </w:rPr>
      </w:pPr>
      <w:r w:rsidRPr="00694FEE">
        <w:rPr>
          <w:b/>
          <w:bCs/>
        </w:rPr>
        <w:t xml:space="preserve">(b)</w:t>
      </w:r>
      <w:r w:rsidRPr="00694FEE">
        <w:rPr>
          <w:b/>
          <w:bCs/>
        </w:rPr>
        <w:tab/>
      </w:r>
      <w:r w:rsidRPr="00694FEE" w:rsidR="00C5073D">
        <w:rPr>
          <w:b/>
          <w:bCs/>
        </w:rPr>
        <w:t xml:space="preserve">Adopter une </w:t>
      </w:r>
      <w:r w:rsidRPr="00694FEE" w:rsidR="00C5073D">
        <w:rPr>
          <w:b/>
          <w:bCs/>
        </w:rPr>
        <w:t xml:space="preserve">stratégie </w:t>
      </w:r>
      <w:r w:rsidRPr="00694FEE" w:rsidR="007E6DB4">
        <w:rPr>
          <w:b/>
          <w:bCs/>
        </w:rPr>
        <w:t xml:space="preserve">de </w:t>
      </w:r>
      <w:r w:rsidRPr="00694FEE" w:rsidR="00C5073D">
        <w:rPr>
          <w:b/>
          <w:bCs/>
        </w:rPr>
        <w:t xml:space="preserve">sensibilisation aux droits des personnes </w:t>
      </w:r>
      <w:r w:rsidRPr="00694FEE" w:rsidR="000F6513">
        <w:rPr>
          <w:b/>
          <w:bCs/>
        </w:rPr>
        <w:t xml:space="preserve">handicapées</w:t>
      </w:r>
      <w:r w:rsidRPr="00694FEE" w:rsidR="004D2BA9">
        <w:rPr>
          <w:b/>
          <w:bCs/>
        </w:rPr>
        <w:t xml:space="preserve">, y compris des personnes ayant un handicap intellectuel et/ou psychosocial et des personnes autistes</w:t>
      </w:r>
      <w:r w:rsidRPr="00694FEE" w:rsidR="00C5073D">
        <w:rPr>
          <w:b/>
          <w:bCs/>
        </w:rPr>
        <w:t xml:space="preserve">, </w:t>
      </w:r>
      <w:r w:rsidRPr="00694FEE" w:rsidR="000F6513">
        <w:rPr>
          <w:b/>
          <w:bCs/>
        </w:rPr>
        <w:t xml:space="preserve">qui</w:t>
      </w:r>
      <w:r w:rsidRPr="00694FEE" w:rsidR="00C5073D">
        <w:rPr>
          <w:b/>
          <w:bCs/>
        </w:rPr>
        <w:t xml:space="preserve"> soit </w:t>
      </w:r>
      <w:r w:rsidRPr="00694FEE" w:rsidR="00AE5744">
        <w:rPr>
          <w:b/>
          <w:bCs/>
        </w:rPr>
        <w:t xml:space="preserve">suffisamment dotée</w:t>
      </w:r>
      <w:r w:rsidRPr="00694FEE" w:rsidR="00AE5744">
        <w:rPr>
          <w:b/>
          <w:bCs/>
        </w:rPr>
        <w:t xml:space="preserve">, qui mette en évidence </w:t>
      </w:r>
      <w:r w:rsidRPr="00694FEE" w:rsidR="000F6513">
        <w:rPr>
          <w:b/>
          <w:bCs/>
        </w:rPr>
        <w:t xml:space="preserve">la dignité des </w:t>
      </w:r>
      <w:r w:rsidRPr="00694FEE" w:rsidR="00B56952">
        <w:rPr>
          <w:b/>
          <w:bCs/>
        </w:rPr>
        <w:t xml:space="preserve">personnes handicapées </w:t>
      </w:r>
      <w:r w:rsidRPr="00694FEE" w:rsidR="000F6513">
        <w:rPr>
          <w:b/>
          <w:bCs/>
        </w:rPr>
        <w:t xml:space="preserve">et </w:t>
      </w:r>
      <w:r w:rsidRPr="00694FEE" w:rsidR="00B56952">
        <w:rPr>
          <w:b/>
          <w:bCs/>
        </w:rPr>
        <w:t xml:space="preserve">leur </w:t>
      </w:r>
      <w:r w:rsidRPr="00694FEE" w:rsidR="000F6513">
        <w:rPr>
          <w:b/>
          <w:bCs/>
        </w:rPr>
        <w:t xml:space="preserve">contribution à </w:t>
      </w:r>
      <w:r w:rsidRPr="00694FEE" w:rsidR="00B56952">
        <w:rPr>
          <w:b/>
          <w:bCs/>
        </w:rPr>
        <w:t xml:space="preserve">la </w:t>
      </w:r>
      <w:r w:rsidRPr="00694FEE" w:rsidR="000F6513">
        <w:rPr>
          <w:b/>
          <w:bCs/>
        </w:rPr>
        <w:t xml:space="preserve">société, </w:t>
      </w:r>
      <w:r w:rsidRPr="00694FEE" w:rsidR="00AE5744">
        <w:rPr>
          <w:b/>
          <w:bCs/>
        </w:rPr>
        <w:t xml:space="preserve">et qui </w:t>
      </w:r>
      <w:r w:rsidRPr="00694FEE" w:rsidR="00B02B96">
        <w:rPr>
          <w:b/>
          <w:bCs/>
        </w:rPr>
        <w:t xml:space="preserve">consulte </w:t>
      </w:r>
      <w:r w:rsidRPr="00694FEE" w:rsidR="00AE5744">
        <w:rPr>
          <w:b/>
          <w:bCs/>
        </w:rPr>
        <w:t xml:space="preserve">étroitement </w:t>
      </w:r>
      <w:r w:rsidRPr="00694FEE" w:rsidR="00332ABE">
        <w:rPr>
          <w:b/>
          <w:bCs/>
        </w:rPr>
        <w:t xml:space="preserve">et </w:t>
      </w:r>
      <w:r w:rsidRPr="00694FEE" w:rsidR="00AE5744">
        <w:rPr>
          <w:b/>
          <w:bCs/>
        </w:rPr>
        <w:t xml:space="preserve">fasse participer </w:t>
      </w:r>
      <w:r w:rsidRPr="00694FEE" w:rsidR="00AE5744">
        <w:rPr>
          <w:b/>
          <w:bCs/>
        </w:rPr>
        <w:t xml:space="preserve">activement </w:t>
      </w:r>
      <w:r w:rsidRPr="00694FEE" w:rsidR="00AE5744">
        <w:rPr>
          <w:b/>
          <w:bCs/>
        </w:rPr>
        <w:t xml:space="preserve">les </w:t>
      </w:r>
      <w:r w:rsidRPr="00694FEE" w:rsidR="000F6513">
        <w:rPr>
          <w:b/>
          <w:bCs/>
        </w:rPr>
        <w:t xml:space="preserve">organisations de personnes </w:t>
      </w:r>
      <w:r w:rsidRPr="00694FEE" w:rsidR="00332ABE">
        <w:rPr>
          <w:b/>
          <w:bCs/>
        </w:rPr>
        <w:t xml:space="preserve">handicapées, y compris les organisations de personnes ayant un </w:t>
      </w:r>
      <w:r w:rsidRPr="00694FEE" w:rsidR="000F6513">
        <w:rPr>
          <w:b/>
          <w:bCs/>
        </w:rPr>
        <w:t xml:space="preserve">handicap intellectuel et/ou psychosocial </w:t>
      </w:r>
      <w:r w:rsidRPr="00694FEE" w:rsidR="004D2BA9">
        <w:rPr>
          <w:b/>
          <w:bCs/>
        </w:rPr>
        <w:t xml:space="preserve">et les organisations de personnes autistes </w:t>
      </w:r>
      <w:r w:rsidRPr="00694FEE" w:rsidR="000F6513">
        <w:rPr>
          <w:b/>
          <w:bCs/>
        </w:rPr>
        <w:t xml:space="preserve">;</w:t>
      </w:r>
    </w:p>
    <w:p w:rsidRPr="00B95E4E" w:rsidR="00F67499" w:rsidP="00694FEE" w:rsidRDefault="000F6513" w14:paraId="6B6040AC" w14:textId="051237D6">
      <w:pPr>
        <w:pStyle w:val="SingleTxtG"/>
        <w:ind w:firstLine="567"/>
        <w:rPr>
          <w:b/>
          <w:bCs/>
        </w:rPr>
      </w:pPr>
      <w:r w:rsidRPr="00694FEE">
        <w:rPr>
          <w:b/>
          <w:bCs/>
        </w:rPr>
        <w:tab/>
      </w:r>
      <w:r w:rsidRPr="00694FEE">
        <w:rPr>
          <w:b/>
          <w:bCs/>
        </w:rPr>
        <w:t xml:space="preserve">(</w:t>
      </w:r>
      <w:r w:rsidRPr="00694FEE" w:rsidR="002F5629">
        <w:rPr>
          <w:b/>
          <w:bCs/>
        </w:rPr>
        <w:t xml:space="preserve">c</w:t>
      </w:r>
      <w:r w:rsidRPr="00694FEE">
        <w:rPr>
          <w:b/>
          <w:bCs/>
        </w:rPr>
        <w:t xml:space="preserve">)</w:t>
      </w:r>
      <w:r w:rsidRPr="00694FEE">
        <w:rPr>
          <w:b/>
          <w:bCs/>
        </w:rPr>
        <w:tab/>
      </w:r>
      <w:r w:rsidRPr="00694FEE" w:rsidR="004C7314">
        <w:rPr>
          <w:b/>
          <w:bCs/>
        </w:rPr>
        <w:t xml:space="preserve">Prendre des mesures soutenues pour lutter contre la </w:t>
      </w:r>
      <w:r w:rsidRPr="00694FEE" w:rsidR="00C5073D">
        <w:rPr>
          <w:b/>
          <w:bCs/>
        </w:rPr>
        <w:t xml:space="preserve">stigmatisation, le capacitisme et la discrimination dans le </w:t>
      </w:r>
      <w:r w:rsidRPr="00694FEE" w:rsidR="004C7314">
        <w:rPr>
          <w:b/>
          <w:bCs/>
        </w:rPr>
        <w:t xml:space="preserve">diagnostic prénatal </w:t>
      </w:r>
      <w:r w:rsidR="004C7314">
        <w:rPr>
          <w:b/>
          <w:bCs/>
        </w:rPr>
        <w:t xml:space="preserve">des déficiences</w:t>
      </w:r>
      <w:r w:rsidRPr="00B95E4E" w:rsidR="00C5073D">
        <w:rPr>
          <w:b/>
          <w:bCs/>
        </w:rPr>
        <w:t xml:space="preserve">, et fournir aux personnes handicapées </w:t>
      </w:r>
      <w:r w:rsidRPr="00B95E4E">
        <w:rPr>
          <w:b/>
          <w:bCs/>
        </w:rPr>
        <w:t xml:space="preserve">et aux parents d'enfants handicapés un soutien adéquat pour élever leurs enfants au sein de la communauté</w:t>
      </w:r>
      <w:r w:rsidR="000E375A">
        <w:rPr>
          <w:b/>
          <w:bCs/>
        </w:rPr>
        <w:t xml:space="preserve">.</w:t>
      </w:r>
    </w:p>
    <w:p w:rsidRPr="00E20847" w:rsidR="00F72F85" w:rsidP="00F72F85" w:rsidRDefault="00F72F85" w14:paraId="2CE5A328" w14:textId="20D7BDBC">
      <w:pPr>
        <w:pStyle w:val="H23G"/>
      </w:pPr>
      <w:bookmarkStart w:name="_Hlk193801776" w:id="3"/>
      <w:r>
        <w:tab/>
      </w:r>
      <w:r>
        <w:tab/>
      </w:r>
      <w:bookmarkStart w:name="_Hlk193804106" w:id="4"/>
      <w:r w:rsidRPr="004C7147">
        <w:t xml:space="preserve">Accessibilité (art. 9)</w:t>
      </w:r>
    </w:p>
    <w:p w:rsidR="0067756F" w:rsidP="00694FEE" w:rsidRDefault="0067756F" w14:paraId="022F094F" w14:textId="1BA8B68B">
      <w:pPr>
        <w:pStyle w:val="SingleTxtG"/>
        <w:numPr>
          <w:ilvl w:val="0"/>
          <w:numId w:val="22"/>
        </w:numPr>
        <w:ind w:start="1134" w:firstLine="0"/>
      </w:pPr>
      <w:r w:rsidRPr="00E20847">
        <w:t xml:space="preserve">Le Comité est préoccupé </w:t>
      </w:r>
      <w:r>
        <w:t xml:space="preserve">par</w:t>
      </w:r>
    </w:p>
    <w:p w:rsidRPr="005D6A8C" w:rsidR="0067756F" w:rsidP="0067756F" w:rsidRDefault="0067756F" w14:paraId="6184C163" w14:textId="253D06D9">
      <w:pPr>
        <w:pStyle w:val="SingleTxtG"/>
        <w:ind w:firstLine="567"/>
        <w:rPr>
          <w:lang w:val="en-US"/>
        </w:rPr>
      </w:pPr>
      <w:r w:rsidRPr="005D6A8C">
        <w:rPr>
          <w:lang w:val="en-US"/>
        </w:rPr>
        <w:t xml:space="preserve">(a)</w:t>
      </w:r>
      <w:r w:rsidRPr="005D6A8C">
        <w:rPr>
          <w:lang w:val="en-US"/>
        </w:rPr>
        <w:tab/>
      </w:r>
      <w:r w:rsidRPr="005D6A8C">
        <w:rPr>
          <w:lang w:val="en-US"/>
        </w:rPr>
        <w:t xml:space="preserve">Le champ d'application limité de l'Acte européen sur l'accessibilité, qui n'inclut l'environnement bâti qu'en tant que clause volontaire pour les États membres</w:t>
      </w:r>
      <w:r>
        <w:rPr>
          <w:lang w:val="en-US"/>
        </w:rPr>
        <w:t xml:space="preserve">, </w:t>
      </w:r>
      <w:r w:rsidRPr="005D6A8C">
        <w:rPr>
          <w:lang w:val="en-US"/>
        </w:rPr>
        <w:t xml:space="preserve">ne couvre pas les produits essentiels tels que les appareils ménagers, et ne traite pas suffisamment de l'accessibilité de l'information ;</w:t>
      </w:r>
    </w:p>
    <w:p w:rsidR="0067756F" w:rsidP="0067756F" w:rsidRDefault="0067756F" w14:paraId="3CFBDAD1" w14:textId="0A7E5EDE">
      <w:pPr>
        <w:pStyle w:val="SingleTxtG"/>
        <w:ind w:firstLine="567"/>
        <w:rPr>
          <w:lang w:val="en-US"/>
        </w:rPr>
      </w:pPr>
      <w:r w:rsidRPr="005D6A8C">
        <w:rPr>
          <w:lang w:val="en-US"/>
        </w:rPr>
        <w:t xml:space="preserve">(b)</w:t>
      </w:r>
      <w:r w:rsidRPr="005D6A8C">
        <w:rPr>
          <w:lang w:val="en-US"/>
        </w:rPr>
        <w:tab/>
      </w:r>
      <w:r w:rsidRPr="005D6A8C">
        <w:rPr>
          <w:lang w:val="en-US"/>
        </w:rPr>
        <w:t xml:space="preserve">Les retards dans la transposition de l'Acte européen sur l'accessibilité </w:t>
      </w:r>
      <w:r>
        <w:rPr>
          <w:lang w:val="en-US"/>
        </w:rPr>
        <w:t xml:space="preserve">par les États membres</w:t>
      </w:r>
      <w:r w:rsidRPr="005D6A8C">
        <w:rPr>
          <w:lang w:val="en-US"/>
        </w:rPr>
        <w:t xml:space="preserve">, y compris les dérogations </w:t>
      </w:r>
      <w:r w:rsidR="00450A52">
        <w:rPr>
          <w:lang w:val="en-US"/>
        </w:rPr>
        <w:t xml:space="preserve">pour les </w:t>
      </w:r>
      <w:r w:rsidRPr="005D6A8C">
        <w:rPr>
          <w:lang w:val="en-US"/>
        </w:rPr>
        <w:t xml:space="preserve">délais d'application, permettant au numéro d'urgence "112" de rester inaccessible jusqu'en 2027 et à </w:t>
      </w:r>
      <w:r w:rsidR="00450A52">
        <w:rPr>
          <w:lang w:val="en-US"/>
        </w:rPr>
        <w:t xml:space="preserve">certains </w:t>
      </w:r>
      <w:r w:rsidRPr="005D6A8C">
        <w:rPr>
          <w:lang w:val="en-US"/>
        </w:rPr>
        <w:t xml:space="preserve">terminaux en libre-service jusqu'en 2045 ;</w:t>
      </w:r>
    </w:p>
    <w:p w:rsidRPr="005D6A8C" w:rsidR="0011529C" w:rsidP="0067756F" w:rsidRDefault="0011529C" w14:paraId="37DBECFC" w14:textId="7DCAE70E">
      <w:pPr>
        <w:pStyle w:val="SingleTxtG"/>
        <w:ind w:firstLine="567"/>
        <w:rPr>
          <w:lang w:val="en-US"/>
        </w:rPr>
      </w:pPr>
      <w:r>
        <w:rPr>
          <w:lang w:val="en-US"/>
        </w:rPr>
        <w:t xml:space="preserve">(c)</w:t>
      </w:r>
      <w:r>
        <w:rPr>
          <w:lang w:val="en-US"/>
        </w:rPr>
        <w:tab/>
      </w:r>
      <w:r w:rsidRPr="00664416">
        <w:t xml:space="preserve">Le </w:t>
      </w:r>
      <w:r w:rsidRPr="00664416">
        <w:t xml:space="preserve">règlement 2024/1670 </w:t>
      </w:r>
      <w:r w:rsidRPr="002645B0">
        <w:t xml:space="preserve">sur les réseaux transeuropéens (RTE-T) </w:t>
      </w:r>
      <w:r w:rsidRPr="00664416">
        <w:t xml:space="preserve">manque de clarté quant à sa mise en œuvre</w:t>
      </w:r>
      <w:r>
        <w:t xml:space="preserve">, </w:t>
      </w:r>
      <w:r>
        <w:t xml:space="preserve">ne</w:t>
      </w:r>
      <w:r w:rsidRPr="00664416">
        <w:t xml:space="preserve"> fait pas </w:t>
      </w:r>
      <w:r w:rsidRPr="00664416">
        <w:t xml:space="preserve">référence à l'Acte européen sur l'accessibilité, </w:t>
      </w:r>
      <w:r w:rsidR="00450A52">
        <w:t xml:space="preserve">n'</w:t>
      </w:r>
      <w:r w:rsidRPr="00664416">
        <w:t xml:space="preserve">impose </w:t>
      </w:r>
      <w:r w:rsidR="00450A52">
        <w:t xml:space="preserve">pas </w:t>
      </w:r>
      <w:r w:rsidRPr="00664416">
        <w:t xml:space="preserve">la consultation d'experts </w:t>
      </w:r>
      <w:r w:rsidR="00450A52">
        <w:t xml:space="preserve">et </w:t>
      </w:r>
      <w:r w:rsidR="00450A52">
        <w:t xml:space="preserve">n'</w:t>
      </w:r>
      <w:r w:rsidRPr="00664416">
        <w:t xml:space="preserve">intègre </w:t>
      </w:r>
      <w:r w:rsidR="00450A52">
        <w:t xml:space="preserve">pas </w:t>
      </w:r>
      <w:r w:rsidRPr="00664416">
        <w:t xml:space="preserve">l'accessibilité dans </w:t>
      </w:r>
      <w:r w:rsidR="00450A52">
        <w:t xml:space="preserve">son </w:t>
      </w:r>
      <w:r w:rsidRPr="00664416">
        <w:t xml:space="preserve">suivi </w:t>
      </w:r>
      <w:r>
        <w:t xml:space="preserve">;</w:t>
      </w:r>
    </w:p>
    <w:p w:rsidRPr="005D6A8C" w:rsidR="0067756F" w:rsidP="0067756F" w:rsidRDefault="0067756F" w14:paraId="25066B54" w14:textId="313C67E2">
      <w:pPr>
        <w:pStyle w:val="SingleTxtG"/>
        <w:ind w:firstLine="567"/>
        <w:rPr>
          <w:lang w:val="en-US"/>
        </w:rPr>
      </w:pPr>
      <w:r w:rsidRPr="005D6A8C">
        <w:rPr>
          <w:lang w:val="en-US"/>
        </w:rPr>
        <w:t xml:space="preserve">(</w:t>
      </w:r>
      <w:r w:rsidR="002D24A5">
        <w:rPr>
          <w:lang w:val="en-US"/>
        </w:rPr>
        <w:t xml:space="preserve">d</w:t>
      </w:r>
      <w:r w:rsidRPr="005D6A8C">
        <w:rPr>
          <w:lang w:val="en-US"/>
        </w:rPr>
        <w:t xml:space="preserve">)</w:t>
      </w:r>
      <w:r w:rsidRPr="005D6A8C">
        <w:rPr>
          <w:lang w:val="en-US"/>
        </w:rPr>
        <w:tab/>
      </w:r>
      <w:r w:rsidRPr="005D6A8C">
        <w:rPr>
          <w:lang w:val="en-US"/>
        </w:rPr>
        <w:t xml:space="preserve">Le respect limité par les États membres de la directive sur l'accessibilité du web</w:t>
      </w:r>
      <w:r w:rsidR="00450A52">
        <w:rPr>
          <w:lang w:val="en-US"/>
        </w:rPr>
        <w:t xml:space="preserve">, l</w:t>
      </w:r>
      <w:r w:rsidRPr="005D6A8C">
        <w:rPr>
          <w:lang w:val="en-US"/>
        </w:rPr>
        <w:t xml:space="preserve">'</w:t>
      </w:r>
      <w:r w:rsidR="00450A52">
        <w:rPr>
          <w:lang w:val="en-US"/>
        </w:rPr>
        <w:t xml:space="preserve">exclusion des </w:t>
      </w:r>
      <w:r w:rsidRPr="005D6A8C">
        <w:rPr>
          <w:lang w:val="en-US"/>
        </w:rPr>
        <w:t xml:space="preserve">extranets et des intranets </w:t>
      </w:r>
      <w:r w:rsidR="00450A52">
        <w:rPr>
          <w:lang w:val="en-US"/>
        </w:rPr>
        <w:t xml:space="preserve">de son champ d'application </w:t>
      </w:r>
      <w:r w:rsidRPr="005D6A8C">
        <w:rPr>
          <w:lang w:val="en-US"/>
        </w:rPr>
        <w:t xml:space="preserve">et </w:t>
      </w:r>
      <w:r w:rsidR="00450A52">
        <w:rPr>
          <w:lang w:val="en-US"/>
        </w:rPr>
        <w:t xml:space="preserve">sa disposition de non-participation </w:t>
      </w:r>
      <w:r w:rsidR="00450A52">
        <w:rPr>
          <w:lang w:val="en-US"/>
        </w:rPr>
        <w:t xml:space="preserve">pour les </w:t>
      </w:r>
      <w:r w:rsidRPr="005D6A8C">
        <w:rPr>
          <w:lang w:val="en-US"/>
        </w:rPr>
        <w:t xml:space="preserve">sites web et les </w:t>
      </w:r>
      <w:r>
        <w:rPr>
          <w:lang w:val="en-US"/>
        </w:rPr>
        <w:t xml:space="preserve">applications</w:t>
      </w:r>
      <w:r w:rsidRPr="005D6A8C">
        <w:rPr>
          <w:lang w:val="en-US"/>
        </w:rPr>
        <w:t xml:space="preserve"> mobiles </w:t>
      </w:r>
      <w:r w:rsidRPr="005D6A8C">
        <w:rPr>
          <w:lang w:val="en-US"/>
        </w:rPr>
        <w:t xml:space="preserve">des écoles, des jardins d'enfants ou des crèches ;</w:t>
      </w:r>
    </w:p>
    <w:p w:rsidR="003B09C3" w:rsidP="00694FEE" w:rsidRDefault="0067756F" w14:paraId="0BDDF413" w14:textId="4684477C">
      <w:pPr>
        <w:pStyle w:val="SingleTxtG"/>
        <w:ind w:firstLine="567"/>
        <w:rPr>
          <w:lang w:val="en-US"/>
        </w:rPr>
      </w:pPr>
      <w:r w:rsidRPr="005D6A8C">
        <w:rPr>
          <w:lang w:val="en-US"/>
        </w:rPr>
        <w:t xml:space="preserve">(</w:t>
      </w:r>
      <w:r w:rsidR="002D24A5">
        <w:rPr>
          <w:lang w:val="en-US"/>
        </w:rPr>
        <w:t xml:space="preserve">e</w:t>
      </w:r>
      <w:r w:rsidRPr="005D6A8C">
        <w:rPr>
          <w:lang w:val="en-US"/>
        </w:rPr>
        <w:t xml:space="preserve">)</w:t>
      </w:r>
      <w:r w:rsidRPr="005D6A8C">
        <w:rPr>
          <w:lang w:val="en-US"/>
        </w:rPr>
        <w:tab/>
      </w:r>
      <w:r w:rsidRPr="005D6A8C">
        <w:rPr>
          <w:lang w:val="en-US"/>
        </w:rPr>
        <w:t xml:space="preserve">Les </w:t>
      </w:r>
      <w:r w:rsidR="00EF609D">
        <w:rPr>
          <w:lang w:val="en-US"/>
        </w:rPr>
        <w:t xml:space="preserve">lacunes </w:t>
      </w:r>
      <w:r w:rsidR="00EF609D">
        <w:rPr>
          <w:lang w:val="en-US"/>
        </w:rPr>
        <w:t xml:space="preserve">des exigences en matière d'</w:t>
      </w:r>
      <w:r w:rsidRPr="005D6A8C">
        <w:rPr>
          <w:lang w:val="en-US"/>
        </w:rPr>
        <w:t xml:space="preserve">accessibilité </w:t>
      </w:r>
      <w:r w:rsidRPr="005D6A8C">
        <w:rPr>
          <w:lang w:val="en-US"/>
        </w:rPr>
        <w:t xml:space="preserve">dans la législation numérique, comme dans la loi sur les services numériques, </w:t>
      </w:r>
      <w:r w:rsidR="00450A52">
        <w:rPr>
          <w:lang w:val="en-US"/>
        </w:rPr>
        <w:t xml:space="preserve">qui considère l'</w:t>
      </w:r>
      <w:r w:rsidRPr="005D6A8C">
        <w:rPr>
          <w:lang w:val="en-US"/>
        </w:rPr>
        <w:t xml:space="preserve">accessibilité comme une bonne pratique volontaire</w:t>
      </w:r>
      <w:r>
        <w:rPr>
          <w:lang w:val="en-US"/>
        </w:rPr>
        <w:t xml:space="preserve">, </w:t>
      </w:r>
      <w:r w:rsidRPr="005D6A8C">
        <w:rPr>
          <w:lang w:val="en-US"/>
        </w:rPr>
        <w:t xml:space="preserve">ou dans les objectifs généraux du programme politique 2030 de la Décennie numérique, </w:t>
      </w:r>
      <w:r w:rsidR="00450A52">
        <w:rPr>
          <w:lang w:val="en-US"/>
        </w:rPr>
        <w:t xml:space="preserve">qui ne tient pas </w:t>
      </w:r>
      <w:r w:rsidR="00450A52">
        <w:rPr>
          <w:lang w:val="en-US"/>
        </w:rPr>
        <w:t xml:space="preserve">suffisamment compte de l'</w:t>
      </w:r>
      <w:r w:rsidRPr="005D6A8C">
        <w:rPr>
          <w:lang w:val="en-US"/>
        </w:rPr>
        <w:t xml:space="preserve">accessibilité </w:t>
      </w:r>
      <w:r w:rsidR="00EF609D">
        <w:rPr>
          <w:lang w:val="en-US"/>
        </w:rPr>
        <w:t xml:space="preserve">;</w:t>
      </w:r>
    </w:p>
    <w:p w:rsidRPr="005D6A8C" w:rsidR="0067756F" w:rsidP="00694FEE" w:rsidRDefault="0067756F" w14:paraId="560EE521" w14:textId="7BB81018">
      <w:pPr>
        <w:pStyle w:val="SingleTxtG"/>
        <w:numPr>
          <w:ilvl w:val="0"/>
          <w:numId w:val="22"/>
        </w:numPr>
        <w:ind w:start="1134" w:firstLine="0"/>
        <w:rPr>
          <w:b/>
          <w:bCs/>
        </w:rPr>
      </w:pPr>
      <w:r w:rsidRPr="00FD5394">
        <w:rPr>
          <w:b/>
          <w:bCs/>
        </w:rPr>
        <w:t xml:space="preserve">Rappelant son </w:t>
      </w:r>
      <w:hyperlink w:history="1" r:id="rId17">
        <w:r w:rsidRPr="00FD5394">
          <w:rPr>
            <w:rStyle w:val="Hyperlink"/>
            <w:b/>
            <w:bCs/>
            <w:u w:val="single"/>
          </w:rPr>
          <w:t xml:space="preserve">Observation générale no 2 (2014) </w:t>
        </w:r>
        <w:r w:rsidRPr="00FD5394">
          <w:rPr>
            <w:rStyle w:val="Hyperlink"/>
            <w:b/>
            <w:bCs/>
          </w:rPr>
          <w:t xml:space="preserve">sur l'accessibilité</w:t>
        </w:r>
      </w:hyperlink>
      <w:r w:rsidRPr="00FD5394">
        <w:rPr>
          <w:b/>
          <w:bCs/>
        </w:rPr>
        <w:t xml:space="preserve">, </w:t>
      </w:r>
      <w:r w:rsidRPr="00FD5394">
        <w:rPr>
          <w:b/>
          <w:bCs/>
        </w:rPr>
        <w:t xml:space="preserve">le Comité recommande à l'</w:t>
      </w:r>
      <w:r>
        <w:rPr>
          <w:b/>
          <w:bCs/>
        </w:rPr>
        <w:t xml:space="preserve">Union européenne</w:t>
      </w:r>
      <w:r w:rsidR="004C25D7">
        <w:rPr>
          <w:b/>
          <w:bCs/>
        </w:rPr>
        <w:t xml:space="preserve">, dans le cadre de </w:t>
      </w:r>
      <w:r w:rsidR="00520A06">
        <w:rPr>
          <w:b/>
          <w:bCs/>
        </w:rPr>
        <w:t xml:space="preserve">ses compétences </w:t>
      </w:r>
      <w:r w:rsidR="009A4251">
        <w:rPr>
          <w:b/>
          <w:bCs/>
        </w:rPr>
        <w:t xml:space="preserve">et en </w:t>
      </w:r>
      <w:r w:rsidRPr="00FD5394">
        <w:rPr>
          <w:b/>
          <w:bCs/>
        </w:rPr>
        <w:t xml:space="preserve">étroite consultation et avec la participation active des personnes handicapées, par l'intermédiaire des organisations qui les représentent :</w:t>
      </w:r>
    </w:p>
    <w:p w:rsidRPr="00694FEE" w:rsidR="0067756F" w:rsidP="0067756F" w:rsidRDefault="0067756F" w14:paraId="14791482" w14:textId="59DC80A9">
      <w:pPr>
        <w:pStyle w:val="SingleTxtG"/>
        <w:ind w:firstLine="567"/>
        <w:rPr>
          <w:b/>
          <w:bCs/>
        </w:rPr>
      </w:pPr>
      <w:r w:rsidRPr="00694FEE">
        <w:rPr>
          <w:b/>
          <w:bCs/>
        </w:rPr>
        <w:t xml:space="preserve">(a)</w:t>
      </w:r>
      <w:r w:rsidRPr="00694FEE">
        <w:rPr>
          <w:b/>
          <w:bCs/>
        </w:rPr>
        <w:tab/>
      </w:r>
      <w:r w:rsidRPr="00694FEE">
        <w:rPr>
          <w:b/>
          <w:bCs/>
        </w:rPr>
        <w:t xml:space="preserve">Adopter une législation visant à garantir l'accessibilité de l'environnement bâti, des produits et de l'information ;</w:t>
      </w:r>
    </w:p>
    <w:p w:rsidRPr="00694FEE" w:rsidR="0067756F" w:rsidP="0067756F" w:rsidRDefault="0067756F" w14:paraId="041479D3" w14:textId="7FE2F32F">
      <w:pPr>
        <w:pStyle w:val="SingleTxtG"/>
        <w:ind w:firstLine="567"/>
        <w:rPr>
          <w:b/>
          <w:bCs/>
        </w:rPr>
      </w:pPr>
      <w:r w:rsidRPr="00694FEE">
        <w:rPr>
          <w:b/>
          <w:bCs/>
        </w:rPr>
        <w:t xml:space="preserve">(b)</w:t>
      </w:r>
      <w:r w:rsidRPr="00694FEE">
        <w:rPr>
          <w:b/>
          <w:bCs/>
        </w:rPr>
        <w:tab/>
      </w:r>
      <w:r w:rsidRPr="00694FEE" w:rsidR="00D238DC">
        <w:rPr>
          <w:b/>
          <w:bCs/>
        </w:rPr>
        <w:t xml:space="preserve">Accélère</w:t>
      </w:r>
      <w:r w:rsidRPr="00694FEE">
        <w:rPr>
          <w:b/>
          <w:bCs/>
        </w:rPr>
        <w:t xml:space="preserve"> la </w:t>
      </w:r>
      <w:r w:rsidRPr="00694FEE">
        <w:rPr>
          <w:b/>
          <w:bCs/>
        </w:rPr>
        <w:t xml:space="preserve">mise en œuvre des normes d'accessibilité dans les États membres ;</w:t>
      </w:r>
    </w:p>
    <w:p w:rsidRPr="00694FEE" w:rsidR="00D34E9D" w:rsidP="00D34E9D" w:rsidRDefault="0067756F" w14:paraId="1DF7ADAB" w14:textId="163F7260">
      <w:pPr>
        <w:pStyle w:val="SingleTxtG"/>
        <w:tabs>
          <w:tab w:val="left" w:pos="1701"/>
        </w:tabs>
        <w:rPr>
          <w:b/>
          <w:bCs/>
        </w:rPr>
      </w:pPr>
      <w:r w:rsidRPr="00694FEE">
        <w:rPr>
          <w:b/>
          <w:bCs/>
        </w:rPr>
        <w:tab/>
      </w:r>
      <w:r w:rsidRPr="00694FEE" w:rsidR="00D34E9D">
        <w:rPr>
          <w:b/>
          <w:bCs/>
        </w:rPr>
        <w:t xml:space="preserve">(c)</w:t>
      </w:r>
      <w:r w:rsidRPr="00694FEE" w:rsidR="00D34E9D">
        <w:rPr>
          <w:b/>
          <w:bCs/>
        </w:rPr>
        <w:tab/>
      </w:r>
      <w:r w:rsidRPr="00694FEE" w:rsidR="00D34E9D">
        <w:rPr>
          <w:b/>
          <w:bCs/>
        </w:rPr>
        <w:t xml:space="preserve">Modifier le règlement 2024/1670 pour prévoir des mesures de mise en œuvre et </w:t>
      </w:r>
      <w:r w:rsidRPr="00694FEE" w:rsidR="00F20540">
        <w:rPr>
          <w:b/>
          <w:bCs/>
        </w:rPr>
        <w:t xml:space="preserve">intégrer l'</w:t>
      </w:r>
      <w:r w:rsidRPr="00694FEE" w:rsidR="00D34E9D">
        <w:rPr>
          <w:b/>
          <w:bCs/>
        </w:rPr>
        <w:t xml:space="preserve">accessibilité dans le suivi ;</w:t>
      </w:r>
    </w:p>
    <w:p w:rsidRPr="00694FEE" w:rsidR="0067756F" w:rsidP="0067756F" w:rsidRDefault="00D34E9D" w14:paraId="209248C7" w14:textId="4240CE5B">
      <w:pPr>
        <w:pStyle w:val="SingleTxtG"/>
        <w:ind w:firstLine="567"/>
        <w:rPr>
          <w:b/>
          <w:bCs/>
        </w:rPr>
      </w:pPr>
      <w:r w:rsidRPr="00694FEE">
        <w:rPr>
          <w:b/>
          <w:bCs/>
        </w:rPr>
        <w:lastRenderedPageBreak/>
      </w:r>
      <w:r w:rsidRPr="00694FEE">
        <w:rPr>
          <w:b/>
          <w:bCs/>
        </w:rPr>
        <w:t xml:space="preserve">(d)</w:t>
      </w:r>
      <w:r w:rsidRPr="00694FEE">
        <w:rPr>
          <w:b/>
          <w:bCs/>
        </w:rPr>
        <w:tab/>
      </w:r>
      <w:r w:rsidRPr="00694FEE" w:rsidR="001670F1">
        <w:rPr>
          <w:b/>
          <w:bCs/>
        </w:rPr>
        <w:t xml:space="preserve">Assurer la </w:t>
      </w:r>
      <w:r w:rsidRPr="00694FEE" w:rsidR="0067756F">
        <w:rPr>
          <w:b/>
          <w:bCs/>
        </w:rPr>
        <w:t xml:space="preserve">conformité de tous les États membres avec la directive sur l'accessibilité du Web, étendre le champ d'application à l'intranet et à l'extranet et supprimer </w:t>
      </w:r>
      <w:r w:rsidRPr="00694FEE" w:rsidR="001670F1">
        <w:rPr>
          <w:b/>
          <w:bCs/>
        </w:rPr>
        <w:t xml:space="preserve">l</w:t>
      </w:r>
      <w:r w:rsidRPr="00694FEE" w:rsidR="0067756F">
        <w:rPr>
          <w:b/>
          <w:bCs/>
        </w:rPr>
        <w:t xml:space="preserve">'</w:t>
      </w:r>
      <w:r w:rsidRPr="00694FEE" w:rsidR="0067756F">
        <w:rPr>
          <w:b/>
          <w:bCs/>
        </w:rPr>
        <w:t xml:space="preserve">article 1, paragraphe 5 ;</w:t>
      </w:r>
    </w:p>
    <w:p w:rsidRPr="00694FEE" w:rsidR="0067756F" w:rsidP="0067756F" w:rsidRDefault="0067756F" w14:paraId="26FECBD1" w14:textId="1B1392A3">
      <w:pPr>
        <w:pStyle w:val="SingleTxtG"/>
        <w:ind w:firstLine="567"/>
        <w:rPr>
          <w:b/>
          <w:bCs/>
        </w:rPr>
      </w:pPr>
      <w:r w:rsidRPr="00694FEE" w:rsidR="006F41B7">
        <w:rPr>
          <w:b/>
          <w:bCs/>
        </w:rPr>
        <w:t xml:space="preserve">(e</w:t>
      </w:r>
      <w:r w:rsidRPr="00694FEE">
        <w:rPr>
          <w:b/>
          <w:bCs/>
        </w:rPr>
        <w:t xml:space="preserve">)</w:t>
      </w:r>
      <w:r w:rsidRPr="00694FEE">
        <w:rPr>
          <w:b/>
          <w:bCs/>
        </w:rPr>
        <w:tab/>
      </w:r>
      <w:r w:rsidRPr="00694FEE">
        <w:rPr>
          <w:b/>
          <w:bCs/>
        </w:rPr>
        <w:t xml:space="preserve">Incorporer des exigences en matière d'accessibilité dans l'ensemble de la législation numérique ;</w:t>
      </w:r>
    </w:p>
    <w:p w:rsidR="00236F07" w:rsidP="0055499E" w:rsidRDefault="0067756F" w14:paraId="4E4F537A" w14:textId="78C961B3">
      <w:pPr>
        <w:pStyle w:val="SingleTxtG"/>
        <w:ind w:firstLine="567"/>
        <w:rPr>
          <w:b/>
          <w:bCs/>
        </w:rPr>
      </w:pPr>
      <w:r w:rsidRPr="00694FEE">
        <w:rPr>
          <w:b/>
          <w:bCs/>
        </w:rPr>
        <w:t xml:space="preserve">(</w:t>
      </w:r>
      <w:r w:rsidRPr="00694FEE" w:rsidR="006F41B7">
        <w:rPr>
          <w:b/>
          <w:bCs/>
        </w:rPr>
        <w:t xml:space="preserve">f</w:t>
      </w:r>
      <w:r w:rsidRPr="00694FEE">
        <w:rPr>
          <w:b/>
          <w:bCs/>
        </w:rPr>
        <w:t xml:space="preserve">)</w:t>
      </w:r>
      <w:r w:rsidRPr="00694FEE">
        <w:rPr>
          <w:b/>
          <w:bCs/>
        </w:rPr>
        <w:tab/>
      </w:r>
      <w:r w:rsidRPr="00C0503C">
        <w:rPr>
          <w:b/>
          <w:bCs/>
        </w:rPr>
        <w:t xml:space="preserve">Former le personnel à l'accessibilité et aux méthodes d'intégration des personnes handicapées </w:t>
      </w:r>
      <w:r w:rsidR="00D238DC">
        <w:rPr>
          <w:b/>
          <w:bCs/>
        </w:rPr>
        <w:t xml:space="preserve">et </w:t>
      </w:r>
      <w:r w:rsidRPr="00C0503C">
        <w:rPr>
          <w:b/>
          <w:bCs/>
        </w:rPr>
        <w:t xml:space="preserve">adopter des politiques transparentes en matière d'accessibilité physique et numérique, assorties de feuilles de route de mise en œuvre pour tous les </w:t>
      </w:r>
      <w:r w:rsidR="00D238DC">
        <w:rPr>
          <w:b/>
          <w:bCs/>
        </w:rPr>
        <w:t xml:space="preserve">bâtiments, services, appareils </w:t>
      </w:r>
      <w:r w:rsidRPr="00C0503C">
        <w:rPr>
          <w:b/>
          <w:bCs/>
        </w:rPr>
        <w:t xml:space="preserve">et plates-formes numériques.</w:t>
      </w:r>
    </w:p>
    <w:p w:rsidRPr="009C4F33" w:rsidR="009C4F33" w:rsidP="00694FEE" w:rsidRDefault="00694FEE" w14:paraId="2129E3CB" w14:textId="03DC1A52">
      <w:pPr>
        <w:pStyle w:val="H23G"/>
      </w:pPr>
      <w:bookmarkStart w:name="_Hlk193809035" w:id="5"/>
      <w:bookmarkEnd w:id="3"/>
      <w:bookmarkEnd w:id="4"/>
      <w:r>
        <w:tab/>
      </w:r>
      <w:r>
        <w:tab/>
      </w:r>
      <w:r w:rsidRPr="004C7147" w:rsidR="009C4F33">
        <w:t xml:space="preserve">Droit à la vie (art. 10)</w:t>
      </w:r>
    </w:p>
    <w:p w:rsidR="00FD3199" w:rsidP="00694FEE" w:rsidRDefault="00FD3199" w14:paraId="36700262" w14:textId="58DB7AE1">
      <w:pPr>
        <w:pStyle w:val="SingleTxtG"/>
        <w:numPr>
          <w:ilvl w:val="0"/>
          <w:numId w:val="22"/>
        </w:numPr>
        <w:ind w:start="1134" w:firstLine="0"/>
      </w:pPr>
      <w:r w:rsidRPr="009C4F33">
        <w:t xml:space="preserve">Le Comité </w:t>
      </w:r>
      <w:r>
        <w:t xml:space="preserve">est préoccupé par</w:t>
      </w:r>
    </w:p>
    <w:p w:rsidR="0087745E" w:rsidP="0087745E" w:rsidRDefault="0087745E" w14:paraId="4F77218C" w14:textId="1DE6DB14">
      <w:pPr>
        <w:pStyle w:val="SingleTxtG"/>
        <w:ind w:firstLine="567"/>
      </w:pPr>
      <w:r>
        <w:t xml:space="preserve">(a)</w:t>
      </w:r>
      <w:r>
        <w:tab/>
      </w:r>
      <w:r>
        <w:t xml:space="preserve">a) Les décès de personnes handicapées dans des établissements ayant bénéficié d'un soutien financier de l'Union européenne, notamment pendant la pandémie de COVID-19, en l'absence de mesures préventives et de </w:t>
      </w:r>
      <w:r w:rsidR="00D238DC">
        <w:t xml:space="preserve">mécanismes de </w:t>
      </w:r>
      <w:r>
        <w:t xml:space="preserve">réparation suffisants </w:t>
      </w:r>
      <w:r>
        <w:t xml:space="preserve">;</w:t>
      </w:r>
    </w:p>
    <w:p w:rsidRPr="0087745E" w:rsidR="0087745E" w:rsidP="0087745E" w:rsidRDefault="0087745E" w14:paraId="3C421D9F" w14:textId="489DF30D">
      <w:pPr>
        <w:pStyle w:val="SingleTxtG"/>
        <w:ind w:firstLine="567"/>
        <w:rPr>
          <w:lang w:val="en-US"/>
        </w:rPr>
      </w:pPr>
      <w:r>
        <w:t xml:space="preserve">(b)</w:t>
      </w:r>
      <w:r w:rsidR="00694FEE">
        <w:tab/>
      </w:r>
      <w:r>
        <w:t xml:space="preserve">Protocoles médicaux discriminatoires et taux de mortalité plus élevés des personnes handicapées dans les institutions, en particulier pendant la pandémie de COVID-19, et dans les situations de conflit armé dans les pays voisins.</w:t>
      </w:r>
    </w:p>
    <w:p w:rsidR="00FD3199" w:rsidP="00694FEE" w:rsidRDefault="00FD3199" w14:paraId="7518F373" w14:textId="4E58EC53">
      <w:pPr>
        <w:pStyle w:val="SingleTxtG"/>
        <w:numPr>
          <w:ilvl w:val="0"/>
          <w:numId w:val="22"/>
        </w:numPr>
        <w:ind w:start="1134" w:firstLine="0"/>
        <w:rPr>
          <w:b/>
          <w:bCs/>
        </w:rPr>
      </w:pPr>
      <w:r w:rsidRPr="00E431D3">
        <w:rPr>
          <w:b/>
          <w:bCs/>
        </w:rPr>
        <w:t xml:space="preserve">Le Comité </w:t>
      </w:r>
      <w:r>
        <w:rPr>
          <w:b/>
          <w:bCs/>
        </w:rPr>
        <w:t xml:space="preserve">recommande à </w:t>
      </w:r>
      <w:r w:rsidRPr="00E431D3">
        <w:rPr>
          <w:b/>
          <w:bCs/>
        </w:rPr>
        <w:t xml:space="preserve">l'Union européenne</w:t>
      </w:r>
    </w:p>
    <w:p w:rsidRPr="00694FEE" w:rsidR="00754327" w:rsidP="00754327" w:rsidRDefault="00754327" w14:paraId="342C1038" w14:textId="103790E3">
      <w:pPr>
        <w:pStyle w:val="SingleTxtG"/>
        <w:ind w:firstLine="567"/>
        <w:rPr>
          <w:b/>
          <w:bCs/>
        </w:rPr>
      </w:pPr>
      <w:r w:rsidRPr="00694FEE">
        <w:rPr>
          <w:b/>
          <w:bCs/>
        </w:rPr>
        <w:t xml:space="preserve">(a)</w:t>
      </w:r>
      <w:r w:rsidRPr="00694FEE" w:rsidR="00694FEE">
        <w:rPr>
          <w:b/>
          <w:bCs/>
        </w:rPr>
        <w:tab/>
      </w:r>
      <w:r w:rsidRPr="00694FEE">
        <w:rPr>
          <w:b/>
          <w:bCs/>
        </w:rPr>
        <w:t xml:space="preserve">D'adopter</w:t>
      </w:r>
      <w:r w:rsidR="004C25D7">
        <w:rPr>
          <w:b/>
          <w:bCs/>
        </w:rPr>
        <w:t xml:space="preserve">, dans </w:t>
      </w:r>
      <w:r w:rsidRPr="00694FEE">
        <w:rPr>
          <w:b/>
          <w:bCs/>
        </w:rPr>
        <w:t xml:space="preserve">le cadre de </w:t>
      </w:r>
      <w:r w:rsidR="004C25D7">
        <w:rPr>
          <w:b/>
          <w:bCs/>
        </w:rPr>
        <w:t xml:space="preserve">ses compétences, des </w:t>
      </w:r>
      <w:r w:rsidRPr="00694FEE">
        <w:rPr>
          <w:b/>
          <w:bCs/>
        </w:rPr>
        <w:t xml:space="preserve">initiatives et des actions concrètes dans la seconde moitié de la stratégie pour les droits des personnes handicapées, afin de prévenir les décès de personnes handicapées dans les institutions, notamment par les moyens suivants </w:t>
      </w:r>
    </w:p>
    <w:p w:rsidRPr="00694FEE" w:rsidR="00FD3199" w:rsidP="00694FEE" w:rsidRDefault="00694FEE" w14:paraId="1A4130B1" w14:textId="2522F50E">
      <w:pPr>
        <w:pStyle w:val="SingleTxtG"/>
        <w:ind w:start="1701" w:firstLine="567"/>
        <w:rPr>
          <w:b/>
          <w:bCs/>
        </w:rPr>
      </w:pPr>
      <w:r w:rsidRPr="00694FEE">
        <w:rPr>
          <w:b/>
          <w:bCs/>
        </w:rPr>
        <w:tab/>
      </w:r>
      <w:r w:rsidRPr="00694FEE" w:rsidR="00754327">
        <w:rPr>
          <w:b/>
          <w:bCs/>
        </w:rPr>
        <w:t xml:space="preserve">(i)</w:t>
      </w:r>
      <w:r w:rsidRPr="00694FEE" w:rsidR="00754327">
        <w:rPr>
          <w:b/>
          <w:bCs/>
        </w:rPr>
        <w:tab/>
      </w:r>
      <w:r w:rsidRPr="00694FEE" w:rsidR="00754327">
        <w:rPr>
          <w:b/>
          <w:bCs/>
        </w:rPr>
        <w:t xml:space="preserve">En élaborant des normes pour les États membres sur </w:t>
      </w:r>
      <w:r w:rsidRPr="00694FEE" w:rsidR="00D74759">
        <w:rPr>
          <w:b/>
          <w:bCs/>
        </w:rPr>
        <w:t xml:space="preserve">la </w:t>
      </w:r>
      <w:r w:rsidRPr="00694FEE" w:rsidR="00D74759">
        <w:rPr>
          <w:b/>
          <w:bCs/>
        </w:rPr>
        <w:t xml:space="preserve">prévention </w:t>
      </w:r>
      <w:r w:rsidRPr="00694FEE" w:rsidR="00754327">
        <w:rPr>
          <w:b/>
          <w:bCs/>
        </w:rPr>
        <w:t xml:space="preserve">et l'</w:t>
      </w:r>
      <w:r w:rsidRPr="00694FEE" w:rsidR="00D74759">
        <w:rPr>
          <w:b/>
          <w:bCs/>
        </w:rPr>
        <w:t xml:space="preserve">investigation des </w:t>
      </w:r>
      <w:r w:rsidRPr="00694FEE" w:rsidR="00754327">
        <w:rPr>
          <w:b/>
          <w:bCs/>
        </w:rPr>
        <w:t xml:space="preserve">décès dans les institutions qui ont reçu un financement de l'UE</w:t>
      </w:r>
      <w:r w:rsidRPr="00694FEE" w:rsidR="00D74759">
        <w:rPr>
          <w:b/>
          <w:bCs/>
        </w:rPr>
        <w:t xml:space="preserve">, en </w:t>
      </w:r>
      <w:r w:rsidRPr="00694FEE" w:rsidR="00D74759">
        <w:rPr>
          <w:b/>
          <w:bCs/>
        </w:rPr>
        <w:t xml:space="preserve">fournissant des </w:t>
      </w:r>
      <w:r w:rsidRPr="00694FEE" w:rsidR="00754327">
        <w:rPr>
          <w:b/>
          <w:bCs/>
        </w:rPr>
        <w:t xml:space="preserve">fonds pour augmenter la capacité des États membres dans ce domaine, et </w:t>
      </w:r>
      <w:r w:rsidRPr="00694FEE" w:rsidR="00D74759">
        <w:rPr>
          <w:b/>
          <w:bCs/>
        </w:rPr>
        <w:t xml:space="preserve">en alignant </w:t>
      </w:r>
      <w:r w:rsidRPr="00694FEE" w:rsidR="00754327">
        <w:rPr>
          <w:b/>
          <w:bCs/>
        </w:rPr>
        <w:t xml:space="preserve">d'autres stratégies sur la santé et les soins de longue durée avec cet objectif </w:t>
      </w:r>
      <w:r w:rsidRPr="00694FEE" w:rsidR="00FD3199">
        <w:rPr>
          <w:b/>
          <w:bCs/>
        </w:rPr>
        <w:t xml:space="preserve">; </w:t>
      </w:r>
    </w:p>
    <w:p w:rsidRPr="00694FEE" w:rsidR="00FD3199" w:rsidP="00694FEE" w:rsidRDefault="00FD3199" w14:paraId="51F5C161" w14:textId="181D150D">
      <w:pPr>
        <w:pStyle w:val="SingleTxtG"/>
        <w:ind w:start="1701" w:firstLine="567"/>
        <w:rPr>
          <w:b/>
          <w:bCs/>
        </w:rPr>
      </w:pPr>
      <w:r w:rsidRPr="00694FEE">
        <w:rPr>
          <w:b/>
          <w:bCs/>
        </w:rPr>
        <w:t xml:space="preserve">(ii)</w:t>
      </w:r>
      <w:r w:rsidRPr="00694FEE">
        <w:rPr>
          <w:b/>
          <w:bCs/>
        </w:rPr>
        <w:tab/>
      </w:r>
      <w:r w:rsidRPr="00694FEE" w:rsidR="00344863">
        <w:rPr>
          <w:b/>
          <w:bCs/>
        </w:rPr>
        <w:t xml:space="preserve">en exigeant que des enquêtes approfondies soient menées sur les violences et les décès de personnes handicapées dans les institutions </w:t>
      </w:r>
      <w:r w:rsidR="004C25D7">
        <w:rPr>
          <w:b/>
          <w:bCs/>
        </w:rPr>
        <w:t xml:space="preserve">qui reçoivent un financement de l'UE</w:t>
      </w:r>
      <w:r w:rsidRPr="00694FEE">
        <w:rPr>
          <w:b/>
          <w:bCs/>
        </w:rPr>
        <w:t xml:space="preserve">, et en incluant la collecte de données sur les cas de décès de </w:t>
      </w:r>
      <w:r w:rsidRPr="00694FEE" w:rsidR="00344863">
        <w:rPr>
          <w:b/>
          <w:bCs/>
        </w:rPr>
        <w:t xml:space="preserve">personnes handicapées dans les institutions dans les </w:t>
      </w:r>
      <w:r w:rsidRPr="00694FEE" w:rsidR="00344863">
        <w:rPr>
          <w:b/>
          <w:bCs/>
        </w:rPr>
        <w:t xml:space="preserve">responsabilités d'</w:t>
      </w:r>
      <w:r w:rsidRPr="00694FEE">
        <w:rPr>
          <w:b/>
          <w:bCs/>
        </w:rPr>
        <w:t xml:space="preserve">Eurostat </w:t>
      </w:r>
      <w:r w:rsidRPr="00694FEE">
        <w:rPr>
          <w:b/>
          <w:bCs/>
        </w:rPr>
        <w:t xml:space="preserve">; </w:t>
      </w:r>
    </w:p>
    <w:p w:rsidRPr="00694FEE" w:rsidR="00FD3199" w:rsidP="00694FEE" w:rsidRDefault="00FD3199" w14:paraId="4D2C10AE" w14:textId="1D51F17A">
      <w:pPr>
        <w:pStyle w:val="SingleTxtG"/>
        <w:ind w:start="1701" w:firstLine="567"/>
        <w:rPr>
          <w:b/>
          <w:bCs/>
        </w:rPr>
      </w:pPr>
      <w:r w:rsidRPr="00694FEE">
        <w:rPr>
          <w:b/>
          <w:bCs/>
        </w:rPr>
        <w:t xml:space="preserve">(</w:t>
      </w:r>
      <w:r w:rsidRPr="00694FEE" w:rsidR="00344863">
        <w:rPr>
          <w:b/>
          <w:bCs/>
        </w:rPr>
        <w:t xml:space="preserve">iii</w:t>
      </w:r>
      <w:r w:rsidRPr="00694FEE">
        <w:rPr>
          <w:b/>
          <w:bCs/>
        </w:rPr>
        <w:t xml:space="preserve">)</w:t>
      </w:r>
      <w:r w:rsidRPr="00694FEE">
        <w:rPr>
          <w:b/>
          <w:bCs/>
        </w:rPr>
        <w:tab/>
      </w:r>
      <w:r w:rsidRPr="00694FEE">
        <w:rPr>
          <w:b/>
          <w:bCs/>
        </w:rPr>
        <w:t xml:space="preserve">en appliquant son cadre de responsabilité, y compris la suspension du financement et le recouvrement des </w:t>
      </w:r>
      <w:r w:rsidRPr="00694FEE" w:rsidR="00344863">
        <w:rPr>
          <w:b/>
          <w:bCs/>
        </w:rPr>
        <w:t xml:space="preserve">fonds</w:t>
      </w:r>
      <w:r w:rsidRPr="00694FEE">
        <w:rPr>
          <w:b/>
          <w:bCs/>
        </w:rPr>
        <w:t xml:space="preserve">, aux institutions dans lesquelles les décès auraient pu être évités ; </w:t>
      </w:r>
    </w:p>
    <w:p w:rsidRPr="0010118F" w:rsidR="00FD3199" w:rsidP="00FD3199" w:rsidRDefault="00FD3199" w14:paraId="2E88B45C" w14:textId="643E2AB2">
      <w:pPr>
        <w:pStyle w:val="SingleTxtG"/>
        <w:ind w:firstLine="567"/>
        <w:rPr>
          <w:lang w:val="en-US"/>
        </w:rPr>
      </w:pPr>
      <w:r w:rsidRPr="00694FEE">
        <w:rPr>
          <w:b/>
          <w:bCs/>
        </w:rPr>
        <w:t xml:space="preserve">(b)</w:t>
      </w:r>
      <w:r w:rsidRPr="00694FEE">
        <w:rPr>
          <w:b/>
          <w:bCs/>
        </w:rPr>
        <w:tab/>
      </w:r>
      <w:r>
        <w:rPr>
          <w:b/>
          <w:bCs/>
        </w:rPr>
        <w:t xml:space="preserve">élaborer des </w:t>
      </w:r>
      <w:r w:rsidRPr="009D6C97">
        <w:rPr>
          <w:b/>
          <w:bCs/>
        </w:rPr>
        <w:t xml:space="preserve">lignes directrices et des normes médicales non discriminatoires garantissant l'égalité d'accès aux traitements vitaux, en particulier dans les situations d'urgence sanitaire, et aligner la </w:t>
      </w:r>
      <w:r w:rsidRPr="009D6C97">
        <w:rPr>
          <w:b/>
          <w:bCs/>
        </w:rPr>
        <w:t xml:space="preserve">politique et les normes de </w:t>
      </w:r>
      <w:r>
        <w:rPr>
          <w:b/>
          <w:bCs/>
        </w:rPr>
        <w:t xml:space="preserve">l'UE </w:t>
      </w:r>
      <w:r w:rsidRPr="009D6C97">
        <w:rPr>
          <w:b/>
          <w:bCs/>
        </w:rPr>
        <w:t xml:space="preserve">sur </w:t>
      </w:r>
      <w:r w:rsidRPr="009D6C97">
        <w:rPr>
          <w:b/>
          <w:bCs/>
        </w:rPr>
        <w:t xml:space="preserve">celles des États </w:t>
      </w:r>
      <w:r w:rsidRPr="009D6C97">
        <w:rPr>
          <w:b/>
          <w:bCs/>
        </w:rPr>
        <w:t xml:space="preserve">membres</w:t>
      </w:r>
      <w:r w:rsidR="00201A25">
        <w:rPr>
          <w:lang w:val="en-US"/>
        </w:rPr>
        <w:t xml:space="preserve">.</w:t>
      </w:r>
    </w:p>
    <w:p w:rsidRPr="00404879" w:rsidR="00C77795" w:rsidP="00C77795" w:rsidRDefault="00C77795" w14:paraId="08733012" w14:textId="43779E7F">
      <w:pPr>
        <w:pStyle w:val="H23G"/>
      </w:pPr>
      <w:bookmarkStart w:name="_Hlk193802763" w:id="6"/>
      <w:bookmarkEnd w:id="5"/>
      <w:r>
        <w:tab/>
      </w:r>
      <w:r>
        <w:tab/>
      </w:r>
      <w:r w:rsidRPr="00AE2A3A">
        <w:t xml:space="preserve">Situations de risque et urgences humanitaires (art. 11</w:t>
      </w:r>
      <w:r w:rsidRPr="00404879">
        <w:t xml:space="preserve">) </w:t>
      </w:r>
    </w:p>
    <w:p w:rsidRPr="00AE2A3A" w:rsidR="00AE2A3A" w:rsidP="00694FEE" w:rsidRDefault="00AE2A3A" w14:paraId="4205F55A" w14:textId="3E9A8A77">
      <w:pPr>
        <w:pStyle w:val="SingleTxtG"/>
        <w:numPr>
          <w:ilvl w:val="0"/>
          <w:numId w:val="22"/>
        </w:numPr>
        <w:ind w:start="1134" w:firstLine="0"/>
        <w:rPr>
          <w:color w:val="4F81BD" w:themeColor="accent1"/>
        </w:rPr>
      </w:pPr>
      <w:r>
        <w:t xml:space="preserve">Le Comité note avec préoccupation</w:t>
      </w:r>
    </w:p>
    <w:p w:rsidR="00AE2A3A" w:rsidP="00694FEE" w:rsidRDefault="00AE2A3A" w14:paraId="79A26731" w14:textId="21B14689">
      <w:pPr>
        <w:pStyle w:val="SingleTxtG"/>
        <w:ind w:firstLine="567"/>
      </w:pPr>
      <w:r>
        <w:tab/>
      </w:r>
      <w:r>
        <w:t xml:space="preserve">(a)</w:t>
      </w:r>
      <w:r>
        <w:tab/>
      </w:r>
      <w:r>
        <w:t xml:space="preserve">L'</w:t>
      </w:r>
      <w:r w:rsidRPr="00AA4EF3">
        <w:t xml:space="preserve">absence d'</w:t>
      </w:r>
      <w:r>
        <w:t xml:space="preserve">exigences obligatoires et de mécanismes de suivi </w:t>
      </w:r>
      <w:r w:rsidRPr="00AA4EF3">
        <w:t xml:space="preserve">pour l'inclusion du handicap dans l'action humanitaire, la protection civile, la réduction des risques de catastrophe et le changement climatique </w:t>
      </w:r>
      <w:r>
        <w:t xml:space="preserve">;</w:t>
      </w:r>
    </w:p>
    <w:p w:rsidR="00AE2A3A" w:rsidP="00694FEE" w:rsidRDefault="00AE2A3A" w14:paraId="4DF75386" w14:textId="2718866C">
      <w:pPr>
        <w:pStyle w:val="SingleTxtG"/>
        <w:ind w:firstLine="567"/>
      </w:pPr>
      <w:r>
        <w:tab/>
      </w:r>
      <w:r>
        <w:t xml:space="preserve">(b)</w:t>
      </w:r>
      <w:r>
        <w:tab/>
      </w:r>
      <w:r w:rsidRPr="00AA4EF3">
        <w:t xml:space="preserve">Le soutien </w:t>
      </w:r>
      <w:r>
        <w:t xml:space="preserve">limité </w:t>
      </w:r>
      <w:r w:rsidRPr="00AA4EF3">
        <w:t xml:space="preserve">apporté aux </w:t>
      </w:r>
      <w:r>
        <w:t xml:space="preserve">organisations de </w:t>
      </w:r>
      <w:r w:rsidRPr="00AA4EF3">
        <w:t xml:space="preserve">personnes handicapées pour qu'elles soient </w:t>
      </w:r>
      <w:r w:rsidR="00754327">
        <w:t xml:space="preserve">étroitement consultées et </w:t>
      </w:r>
      <w:r w:rsidRPr="00AA4EF3">
        <w:t xml:space="preserve">activement impliquées dans </w:t>
      </w:r>
      <w:r>
        <w:t xml:space="preserve">la </w:t>
      </w:r>
      <w:r w:rsidRPr="00AA4EF3">
        <w:t xml:space="preserve">mise en œuvre des politiques </w:t>
      </w:r>
      <w:r>
        <w:t xml:space="preserve">relatives à l'action humanitaire, à la protection civile, à la réduction des risques de catastrophe et au changement climatique</w:t>
      </w:r>
      <w:r w:rsidR="00BF02CA">
        <w:t xml:space="preserve">.</w:t>
      </w:r>
    </w:p>
    <w:p w:rsidR="00AE2A3A" w:rsidP="00694FEE" w:rsidRDefault="00AE2A3A" w14:paraId="244C228F" w14:textId="38A21CCF">
      <w:pPr>
        <w:pStyle w:val="SingleTxtG"/>
        <w:numPr>
          <w:ilvl w:val="0"/>
          <w:numId w:val="22"/>
        </w:numPr>
        <w:ind w:start="1134" w:firstLine="0"/>
        <w:rPr>
          <w:b/>
        </w:rPr>
      </w:pPr>
      <w:r w:rsidRPr="00C77795">
        <w:rPr>
          <w:b/>
        </w:rPr>
        <w:t xml:space="preserve">Rappelant </w:t>
      </w:r>
      <w:r>
        <w:rPr>
          <w:b/>
        </w:rPr>
        <w:t xml:space="preserve">ses précédentes observations finales (par. 33 et 35), le </w:t>
      </w:r>
      <w:r w:rsidRPr="00C77795">
        <w:rPr>
          <w:b/>
        </w:rPr>
        <w:t xml:space="preserve">Cadre de Sendai pour la réduction des risques de catastrophe 2015-2030, les Directives du Comité permanent interorganisations sur l'inclusion des personnes handicapées dans l'action humanitaire et les Directives du Comité sur la désinstitutionnalisation, y compris dans les situations d'urgence, le Comité recommande à l'</w:t>
      </w:r>
      <w:r>
        <w:rPr>
          <w:b/>
        </w:rPr>
        <w:t xml:space="preserve">Union européenne</w:t>
      </w:r>
      <w:r w:rsidRPr="00C77795">
        <w:rPr>
          <w:b/>
        </w:rPr>
        <w:t xml:space="preserve">, en étroite consultation et avec la participation active des personnes handicapées, par l'intermédiaire des organisations qui les représentent </w:t>
      </w:r>
      <w:r>
        <w:rPr>
          <w:b/>
        </w:rPr>
        <w:t xml:space="preserve">:</w:t>
      </w:r>
    </w:p>
    <w:p w:rsidRPr="00694FEE" w:rsidR="00AE2A3A" w:rsidP="00694FEE" w:rsidRDefault="00AE2A3A" w14:paraId="17D68A7D" w14:textId="7E7F4D1E">
      <w:pPr>
        <w:pStyle w:val="SingleTxtG"/>
        <w:ind w:firstLine="567"/>
        <w:rPr>
          <w:b/>
        </w:rPr>
      </w:pPr>
      <w:r w:rsidRPr="00694FEE">
        <w:rPr>
          <w:b/>
        </w:rPr>
        <w:tab/>
      </w:r>
      <w:r w:rsidRPr="00694FEE">
        <w:rPr>
          <w:b/>
        </w:rPr>
        <w:t xml:space="preserve">(a)</w:t>
      </w:r>
      <w:r w:rsidRPr="00694FEE">
        <w:rPr>
          <w:b/>
        </w:rPr>
        <w:tab/>
      </w:r>
      <w:r w:rsidRPr="00694FEE">
        <w:rPr>
          <w:b/>
        </w:rPr>
        <w:t xml:space="preserve">Veiller à ce que les cadres législatifs, politiques et de mise en œuvre de l'Union européenne en matière d'action humanitaire, de réduction des risques de catastrophe, de protection civile et de changement climatique protègent </w:t>
      </w:r>
      <w:r w:rsidRPr="00694FEE">
        <w:rPr>
          <w:b/>
        </w:rPr>
        <w:t xml:space="preserve">la sûreté et la sécurité des personnes handicapées</w:t>
      </w:r>
      <w:r w:rsidRPr="00694FEE" w:rsidR="007E6490">
        <w:rPr>
          <w:b/>
        </w:rPr>
        <w:t xml:space="preserve">, </w:t>
      </w:r>
      <w:r w:rsidR="007B5184">
        <w:rPr>
          <w:b/>
        </w:rPr>
        <w:t xml:space="preserve">améliorent les </w:t>
      </w:r>
      <w:r w:rsidRPr="00694FEE">
        <w:rPr>
          <w:b/>
        </w:rPr>
        <w:t xml:space="preserve">mécanismes de </w:t>
      </w:r>
      <w:r w:rsidRPr="00694FEE">
        <w:rPr>
          <w:b/>
        </w:rPr>
        <w:t xml:space="preserve">notification</w:t>
      </w:r>
      <w:r w:rsidRPr="00694FEE" w:rsidR="00520F99">
        <w:rPr>
          <w:b/>
        </w:rPr>
        <w:t xml:space="preserve">, de</w:t>
      </w:r>
      <w:r w:rsidRPr="00694FEE" w:rsidR="00201A25">
        <w:rPr>
          <w:b/>
        </w:rPr>
        <w:lastRenderedPageBreak/>
      </w:r>
      <w:r w:rsidRPr="00694FEE" w:rsidR="00201A25">
        <w:rPr>
          <w:b/>
        </w:rPr>
        <w:t xml:space="preserve"> renforcement des </w:t>
      </w:r>
      <w:r w:rsidRPr="00694FEE" w:rsidR="00201A25">
        <w:rPr>
          <w:b/>
        </w:rPr>
        <w:t xml:space="preserve">capacités </w:t>
      </w:r>
      <w:r w:rsidRPr="00694FEE">
        <w:rPr>
          <w:b/>
        </w:rPr>
        <w:t xml:space="preserve">et de suivi </w:t>
      </w:r>
      <w:r w:rsidRPr="00694FEE">
        <w:rPr>
          <w:b/>
        </w:rPr>
        <w:t xml:space="preserve">et </w:t>
      </w:r>
      <w:r w:rsidRPr="00694FEE">
        <w:rPr>
          <w:b/>
        </w:rPr>
        <w:t xml:space="preserve">intègrent des indicateurs sur l'inclusion des personnes handicapées et les principes et </w:t>
      </w:r>
      <w:r w:rsidRPr="00694FEE" w:rsidR="007E6490">
        <w:rPr>
          <w:b/>
        </w:rPr>
        <w:t xml:space="preserve">droits de </w:t>
      </w:r>
      <w:r w:rsidRPr="00694FEE">
        <w:rPr>
          <w:b/>
        </w:rPr>
        <w:t xml:space="preserve">la Convention ;</w:t>
      </w:r>
    </w:p>
    <w:p w:rsidRPr="00AE2A3A" w:rsidR="0055499E" w:rsidP="00D24C7A" w:rsidRDefault="00201A25" w14:paraId="0C803887" w14:textId="67FFC094">
      <w:pPr>
        <w:pStyle w:val="SingleTxtG"/>
        <w:ind w:firstLine="567"/>
        <w:rPr>
          <w:b/>
          <w:lang w:val="en-US"/>
        </w:rPr>
      </w:pPr>
      <w:r w:rsidRPr="00694FEE">
        <w:rPr>
          <w:b/>
          <w:lang w:val="en-US"/>
        </w:rPr>
        <w:t xml:space="preserve">(b)</w:t>
      </w:r>
      <w:r w:rsidRPr="00694FEE">
        <w:rPr>
          <w:b/>
          <w:lang w:val="en-US"/>
        </w:rPr>
        <w:tab/>
      </w:r>
      <w:r w:rsidRPr="00694FEE">
        <w:rPr>
          <w:b/>
          <w:lang w:val="en-US"/>
        </w:rPr>
        <w:t xml:space="preserve">Promouvoir des réponses intégrant le handicap pour prévenir les décès évitables dans les situations d'urgence</w:t>
      </w:r>
      <w:r>
        <w:rPr>
          <w:b/>
          <w:bCs/>
          <w:lang w:val="en-US"/>
        </w:rPr>
        <w:t xml:space="preserve">, </w:t>
      </w:r>
      <w:r w:rsidR="00BF3B58">
        <w:rPr>
          <w:b/>
          <w:bCs/>
          <w:lang w:val="en-US"/>
        </w:rPr>
        <w:t xml:space="preserve">établir une </w:t>
      </w:r>
      <w:r w:rsidR="00BF3B58">
        <w:rPr>
          <w:b/>
          <w:bCs/>
          <w:lang w:val="en-US"/>
        </w:rPr>
        <w:t xml:space="preserve">consultation</w:t>
      </w:r>
      <w:r w:rsidRPr="009D6C97">
        <w:rPr>
          <w:b/>
          <w:bCs/>
          <w:lang w:val="en-US"/>
        </w:rPr>
        <w:t xml:space="preserve"> étroite </w:t>
      </w:r>
      <w:r w:rsidRPr="009D6C97">
        <w:rPr>
          <w:b/>
          <w:bCs/>
          <w:lang w:val="en-US"/>
        </w:rPr>
        <w:t xml:space="preserve">et une </w:t>
      </w:r>
      <w:r w:rsidR="00BF3B58">
        <w:rPr>
          <w:b/>
          <w:bCs/>
          <w:lang w:val="en-US"/>
        </w:rPr>
        <w:t xml:space="preserve">participation</w:t>
      </w:r>
      <w:r w:rsidRPr="009D6C97">
        <w:rPr>
          <w:b/>
          <w:bCs/>
          <w:lang w:val="en-US"/>
        </w:rPr>
        <w:t xml:space="preserve"> active </w:t>
      </w:r>
      <w:r w:rsidR="00BF3B58">
        <w:rPr>
          <w:b/>
          <w:bCs/>
          <w:lang w:val="en-US"/>
        </w:rPr>
        <w:t xml:space="preserve">des </w:t>
      </w:r>
      <w:r w:rsidRPr="008A40A4">
        <w:rPr>
          <w:b/>
          <w:bCs/>
          <w:lang w:val="en-US"/>
        </w:rPr>
        <w:t xml:space="preserve">personnes handicapées</w:t>
      </w:r>
      <w:r w:rsidR="00671368">
        <w:rPr>
          <w:b/>
          <w:bCs/>
          <w:lang w:val="en-US"/>
        </w:rPr>
        <w:t xml:space="preserve">, </w:t>
      </w:r>
      <w:r>
        <w:rPr>
          <w:b/>
          <w:bCs/>
          <w:lang w:val="en-US"/>
        </w:rPr>
        <w:t xml:space="preserve">par l'intermédiaire des organisations qui les représentent, </w:t>
      </w:r>
      <w:r w:rsidRPr="008A40A4">
        <w:rPr>
          <w:b/>
          <w:bCs/>
          <w:lang w:val="en-US"/>
        </w:rPr>
        <w:t xml:space="preserve">dans les processus décisionnels </w:t>
      </w:r>
      <w:r w:rsidR="00BF3B58">
        <w:rPr>
          <w:b/>
          <w:bCs/>
          <w:lang w:val="en-US"/>
        </w:rPr>
        <w:t xml:space="preserve">et le suivi </w:t>
      </w:r>
      <w:r w:rsidR="00BF3B58">
        <w:rPr>
          <w:b/>
          <w:bCs/>
          <w:lang w:val="en-US"/>
        </w:rPr>
        <w:t xml:space="preserve">des </w:t>
      </w:r>
      <w:r>
        <w:rPr>
          <w:b/>
          <w:bCs/>
          <w:lang w:val="en-US"/>
        </w:rPr>
        <w:t xml:space="preserve">réponses aux </w:t>
      </w:r>
      <w:r w:rsidRPr="008A40A4">
        <w:rPr>
          <w:b/>
          <w:bCs/>
          <w:lang w:val="en-US"/>
        </w:rPr>
        <w:t xml:space="preserve">urgences humanitaires, aux pandémies </w:t>
      </w:r>
      <w:r w:rsidRPr="009D6C97">
        <w:rPr>
          <w:b/>
          <w:bCs/>
          <w:lang w:val="en-US"/>
        </w:rPr>
        <w:t xml:space="preserve">et </w:t>
      </w:r>
      <w:r>
        <w:rPr>
          <w:b/>
          <w:bCs/>
          <w:lang w:val="en-US"/>
        </w:rPr>
        <w:t xml:space="preserve">autres </w:t>
      </w:r>
      <w:r w:rsidRPr="009D6C97">
        <w:rPr>
          <w:b/>
          <w:bCs/>
          <w:lang w:val="en-US"/>
        </w:rPr>
        <w:t xml:space="preserve">catastrophes</w:t>
      </w:r>
      <w:r w:rsidR="00671368">
        <w:rPr>
          <w:b/>
          <w:bCs/>
          <w:lang w:val="en-US"/>
        </w:rPr>
        <w:t xml:space="preserve">, ainsi que </w:t>
      </w:r>
      <w:r w:rsidRPr="000B52B2" w:rsidR="00AE2A3A">
        <w:rPr>
          <w:b/>
        </w:rPr>
        <w:t xml:space="preserve">dans les négociations mondiales, régionales et nationales sur le changement climatique</w:t>
      </w:r>
      <w:r w:rsidR="00AE2A3A">
        <w:rPr>
          <w:b/>
          <w:lang w:val="en-US"/>
        </w:rPr>
        <w:t xml:space="preserve">, et </w:t>
      </w:r>
      <w:r w:rsidRPr="000B52B2" w:rsidR="00AE2A3A">
        <w:rPr>
          <w:b/>
          <w:lang w:val="en-US"/>
        </w:rPr>
        <w:t xml:space="preserve">soutenir la reconnaissance officielle des </w:t>
      </w:r>
      <w:r w:rsidR="00AE2A3A">
        <w:rPr>
          <w:b/>
          <w:lang w:val="en-US"/>
        </w:rPr>
        <w:t xml:space="preserve">organisations de personnes </w:t>
      </w:r>
      <w:r w:rsidRPr="000B52B2" w:rsidR="00AE2A3A">
        <w:rPr>
          <w:b/>
          <w:lang w:val="en-US"/>
        </w:rPr>
        <w:t xml:space="preserve">handicapées comme faisant partie d'un groupe d'intérêt pour les personnes handicapées au sein de la Convention-cadre des Nations Unies sur les changements climatiques.</w:t>
      </w:r>
    </w:p>
    <w:bookmarkEnd w:id="6"/>
    <w:p w:rsidRPr="00404879" w:rsidR="00C77795" w:rsidP="00C77795" w:rsidRDefault="00C77795" w14:paraId="7FD23C1E" w14:textId="72FEB1CE">
      <w:pPr>
        <w:pStyle w:val="H23G"/>
      </w:pPr>
      <w:r>
        <w:tab/>
      </w:r>
      <w:r>
        <w:tab/>
      </w:r>
      <w:bookmarkStart w:name="_Hlk193806390" w:id="7"/>
      <w:r w:rsidRPr="00404879">
        <w:t xml:space="preserve">Reconnaissance de l'égalité devant la loi (art. 12)</w:t>
      </w:r>
    </w:p>
    <w:p w:rsidR="00C77795" w:rsidP="00694FEE" w:rsidRDefault="00C77795" w14:paraId="03525048" w14:textId="78EFEB08">
      <w:pPr>
        <w:pStyle w:val="SingleTxtG"/>
        <w:numPr>
          <w:ilvl w:val="0"/>
          <w:numId w:val="22"/>
        </w:numPr>
        <w:ind w:start="1134" w:firstLine="0"/>
      </w:pPr>
      <w:r>
        <w:t xml:space="preserve">Le</w:t>
      </w:r>
      <w:r>
        <w:t xml:space="preserve"> Comité </w:t>
      </w:r>
      <w:r w:rsidR="0021566F">
        <w:t xml:space="preserve">note </w:t>
      </w:r>
      <w:r w:rsidR="0097397D">
        <w:t xml:space="preserve">avec préoccupation</w:t>
      </w:r>
    </w:p>
    <w:p w:rsidR="0097397D" w:rsidP="00694FEE" w:rsidRDefault="0097397D" w14:paraId="6693B8D6" w14:textId="5878B75E">
      <w:pPr>
        <w:pStyle w:val="SingleTxtG"/>
        <w:ind w:firstLine="567"/>
        <w:rPr>
          <w:lang w:val="en-US"/>
        </w:rPr>
      </w:pPr>
      <w:r>
        <w:tab/>
      </w:r>
      <w:r w:rsidR="00C77795">
        <w:t xml:space="preserve">(a)</w:t>
      </w:r>
      <w:r w:rsidR="00C77795">
        <w:tab/>
      </w:r>
      <w:r w:rsidRPr="00C77795" w:rsidR="00C77795">
        <w:rPr>
          <w:lang w:val="en-US"/>
        </w:rPr>
        <w:t xml:space="preserve">L'</w:t>
      </w:r>
      <w:r>
        <w:rPr>
          <w:lang w:val="en-US"/>
        </w:rPr>
        <w:t xml:space="preserve">absence d'action </w:t>
      </w:r>
      <w:r w:rsidRPr="00C77795" w:rsidR="00C77795">
        <w:rPr>
          <w:lang w:val="en-US"/>
        </w:rPr>
        <w:t xml:space="preserve">dans le cadre de ses compétences pour </w:t>
      </w:r>
      <w:r w:rsidR="0021566F">
        <w:rPr>
          <w:lang w:val="en-US"/>
        </w:rPr>
        <w:t xml:space="preserve">œuvrer à la suppression des </w:t>
      </w:r>
      <w:r w:rsidRPr="00C77795" w:rsidR="00C77795">
        <w:rPr>
          <w:lang w:val="en-US"/>
        </w:rPr>
        <w:t xml:space="preserve">régimes de tutelle et des restrictions de la capacité juridique des personnes handicapées </w:t>
      </w:r>
      <w:r w:rsidR="00BF3B58">
        <w:rPr>
          <w:lang w:val="en-US"/>
        </w:rPr>
        <w:t xml:space="preserve">dans les États membres</w:t>
      </w:r>
      <w:r w:rsidRPr="00C77795" w:rsidR="00C77795">
        <w:rPr>
          <w:lang w:val="en-US"/>
        </w:rPr>
        <w:t xml:space="preserve">, </w:t>
      </w:r>
      <w:r w:rsidRPr="00C77795" w:rsidR="00C77795">
        <w:rPr>
          <w:lang w:val="en-US"/>
        </w:rPr>
        <w:t xml:space="preserve">et </w:t>
      </w:r>
      <w:r w:rsidRPr="00C77795" w:rsidR="00C77795">
        <w:rPr>
          <w:lang w:val="en-US"/>
        </w:rPr>
        <w:t xml:space="preserve">pour apporter un soutien aux personnes handicapées </w:t>
      </w:r>
      <w:r w:rsidR="007E6490">
        <w:rPr>
          <w:lang w:val="en-US"/>
        </w:rPr>
        <w:t xml:space="preserve">dans l'exercice de leur </w:t>
      </w:r>
      <w:r w:rsidRPr="00C77795" w:rsidR="00C77795">
        <w:rPr>
          <w:lang w:val="en-US"/>
        </w:rPr>
        <w:t xml:space="preserve">capacité juridique </w:t>
      </w:r>
      <w:r>
        <w:rPr>
          <w:lang w:val="en-US"/>
        </w:rPr>
        <w:t xml:space="preserve">;</w:t>
      </w:r>
    </w:p>
    <w:p w:rsidR="005C5147" w:rsidP="005C5147" w:rsidRDefault="005C5147" w14:paraId="2C004A6E" w14:textId="1D44E7CC">
      <w:pPr>
        <w:pStyle w:val="SingleTxtG"/>
        <w:ind w:firstLine="567"/>
        <w:rPr>
          <w:lang w:val="en-US"/>
        </w:rPr>
      </w:pPr>
      <w:r>
        <w:rPr>
          <w:lang w:val="en-US"/>
        </w:rPr>
        <w:tab/>
      </w:r>
      <w:r w:rsidRPr="00A04C98">
        <w:rPr>
          <w:lang w:val="en-US"/>
        </w:rPr>
        <w:t xml:space="preserve">(b)</w:t>
      </w:r>
      <w:r w:rsidRPr="00A04C98">
        <w:rPr>
          <w:lang w:val="en-US"/>
        </w:rPr>
        <w:tab/>
      </w:r>
      <w:r w:rsidRPr="00A04C98">
        <w:rPr>
          <w:lang w:val="en-US"/>
        </w:rPr>
        <w:t xml:space="preserve">que l'Union européenne envisage d'autoriser ses États membres à ratifier la Convention de La Haye du 13 janvier 2000 sur la protection internationale des adultes, permettant ainsi la reconnaissance transfrontalière</w:t>
      </w:r>
      <w:r w:rsidR="004C25D7">
        <w:rPr>
          <w:lang w:val="en-US"/>
        </w:rPr>
        <w:t xml:space="preserve">, entre autres, </w:t>
      </w:r>
      <w:r w:rsidRPr="00A04C98">
        <w:rPr>
          <w:lang w:val="en-US"/>
        </w:rPr>
        <w:t xml:space="preserve">des régimes de prise de décision au nom d'autrui ;</w:t>
      </w:r>
    </w:p>
    <w:p w:rsidRPr="00C77795" w:rsidR="00C77795" w:rsidP="00694FEE" w:rsidRDefault="0097397D" w14:paraId="75AC541F" w14:textId="1CEE6CC2">
      <w:pPr>
        <w:pStyle w:val="SingleTxtG"/>
        <w:ind w:firstLine="567"/>
      </w:pPr>
      <w:r>
        <w:rPr>
          <w:lang w:val="en-US"/>
        </w:rPr>
        <w:tab/>
      </w:r>
      <w:r>
        <w:rPr>
          <w:lang w:val="en-US"/>
        </w:rPr>
        <w:t xml:space="preserve">(c)</w:t>
      </w:r>
      <w:r>
        <w:rPr>
          <w:lang w:val="en-US"/>
        </w:rPr>
        <w:tab/>
      </w:r>
      <w:r w:rsidR="00767C1F">
        <w:rPr>
          <w:lang w:val="en-US"/>
        </w:rPr>
        <w:t xml:space="preserve">Que </w:t>
      </w:r>
      <w:r w:rsidRPr="00C77795" w:rsidR="00C77795">
        <w:rPr>
          <w:lang w:val="en-US"/>
        </w:rPr>
        <w:t xml:space="preserve">des obstacles subsistent pour les personnes handicapées dans l'</w:t>
      </w:r>
      <w:r w:rsidR="00767C1F">
        <w:rPr>
          <w:lang w:val="en-US"/>
        </w:rPr>
        <w:t xml:space="preserve">Union européenne </w:t>
      </w:r>
      <w:r w:rsidRPr="00C77795" w:rsidR="00C77795">
        <w:rPr>
          <w:lang w:val="en-US"/>
        </w:rPr>
        <w:t xml:space="preserve">en ce </w:t>
      </w:r>
      <w:r w:rsidRPr="00C77795" w:rsidR="00767C1F">
        <w:rPr>
          <w:lang w:val="en-US"/>
        </w:rPr>
        <w:t xml:space="preserve">qui</w:t>
      </w:r>
      <w:r w:rsidRPr="00C77795" w:rsidR="00C77795">
        <w:rPr>
          <w:lang w:val="en-US"/>
        </w:rPr>
        <w:t xml:space="preserve"> concerne le </w:t>
      </w:r>
      <w:r w:rsidRPr="00C77795" w:rsidR="00C77795">
        <w:rPr>
          <w:lang w:val="en-US"/>
        </w:rPr>
        <w:t xml:space="preserve">contrôle de </w:t>
      </w:r>
      <w:r w:rsidR="00BF3B58">
        <w:rPr>
          <w:lang w:val="en-US"/>
        </w:rPr>
        <w:t xml:space="preserve">leurs </w:t>
      </w:r>
      <w:r w:rsidRPr="00C77795" w:rsidR="00C77795">
        <w:rPr>
          <w:lang w:val="en-US"/>
        </w:rPr>
        <w:t xml:space="preserve">biens et de leurs affaires financières, et l'égalité d'accès aux prêts bancaires, aux hypothèques et à d'autres formes de crédit financier, y compris dans les situations transfrontalières. </w:t>
      </w:r>
    </w:p>
    <w:p w:rsidR="0097397D" w:rsidP="00694FEE" w:rsidRDefault="0097397D" w14:paraId="54DDD0C8" w14:textId="76867D2D">
      <w:pPr>
        <w:pStyle w:val="SingleTxtG"/>
        <w:numPr>
          <w:ilvl w:val="0"/>
          <w:numId w:val="22"/>
        </w:numPr>
        <w:ind w:start="1134" w:firstLine="0"/>
        <w:rPr>
          <w:b/>
          <w:bCs/>
        </w:rPr>
      </w:pPr>
      <w:r w:rsidRPr="00A1657E">
        <w:rPr>
          <w:b/>
          <w:bCs/>
        </w:rPr>
        <w:t xml:space="preserve">Rappelant son </w:t>
      </w:r>
      <w:hyperlink w:history="1" r:id="rId18">
        <w:r w:rsidRPr="00786D88">
          <w:rPr>
            <w:rStyle w:val="Hyperlink"/>
            <w:b/>
            <w:bCs/>
            <w:u w:val="single"/>
          </w:rPr>
          <w:t xml:space="preserve">Observation générale no 1 (2014) </w:t>
        </w:r>
      </w:hyperlink>
      <w:r w:rsidRPr="00A1657E">
        <w:rPr>
          <w:b/>
          <w:bCs/>
        </w:rPr>
        <w:t xml:space="preserve">sur l'égalité de reconnaissance devant la loi, le Comité recommande à l'</w:t>
      </w:r>
      <w:r>
        <w:rPr>
          <w:b/>
          <w:bCs/>
        </w:rPr>
        <w:t xml:space="preserve">Union européenne, en étroite consultation et avec la participation active des personnes handicapées, par l'intermédiaire des organisations qui les représentent :</w:t>
      </w:r>
    </w:p>
    <w:p w:rsidRPr="006354EF" w:rsidR="00F7221F" w:rsidP="00694FEE" w:rsidRDefault="0097397D" w14:paraId="6375B4D8" w14:textId="2850EA2D">
      <w:pPr>
        <w:pStyle w:val="SingleTxtG"/>
        <w:ind w:firstLine="567"/>
        <w:rPr>
          <w:b/>
        </w:rPr>
      </w:pPr>
      <w:r w:rsidRPr="00AD7122">
        <w:rPr>
          <w:b/>
        </w:rPr>
        <w:tab/>
      </w:r>
      <w:r w:rsidRPr="00AD7122" w:rsidR="00F7221F">
        <w:rPr>
          <w:b/>
        </w:rPr>
        <w:t xml:space="preserve">(a)</w:t>
      </w:r>
      <w:r w:rsidRPr="00AD7122" w:rsidR="00F7221F">
        <w:rPr>
          <w:b/>
        </w:rPr>
        <w:tab/>
      </w:r>
      <w:r w:rsidRPr="00AD7122" w:rsidR="00F7221F">
        <w:rPr>
          <w:b/>
          <w:lang w:val="en-US"/>
        </w:rPr>
        <w:t xml:space="preserve">D'appeler les États membres à remplacer les régimes de prise de décision substitutive par des systèmes de prise de décision assistée qui respectent la volonté et les préférences des personnes handicapées</w:t>
      </w:r>
      <w:r w:rsidR="00BF3B58">
        <w:rPr>
          <w:b/>
          <w:lang w:val="en-US"/>
        </w:rPr>
        <w:t xml:space="preserve">, et de </w:t>
      </w:r>
      <w:r w:rsidRPr="00AD7122" w:rsidR="00F7221F">
        <w:rPr>
          <w:b/>
          <w:lang w:val="en-US"/>
        </w:rPr>
        <w:t xml:space="preserve">dispenser une formation sur la prise de décision assistée </w:t>
      </w:r>
      <w:r w:rsidR="007E3DBE">
        <w:rPr>
          <w:b/>
          <w:lang w:val="en-US"/>
        </w:rPr>
        <w:t xml:space="preserve">aux agents publics, aux </w:t>
      </w:r>
      <w:r w:rsidRPr="00AD7122" w:rsidR="00F7221F">
        <w:rPr>
          <w:b/>
          <w:lang w:val="en-US"/>
        </w:rPr>
        <w:t xml:space="preserve">familles et aux prestataires de services </w:t>
      </w:r>
      <w:r w:rsidRPr="006354EF" w:rsidR="00F7221F">
        <w:rPr>
          <w:b/>
        </w:rPr>
        <w:t xml:space="preserve">;</w:t>
      </w:r>
    </w:p>
    <w:p w:rsidRPr="00AD7122" w:rsidR="00F7221F" w:rsidP="00694FEE" w:rsidRDefault="00F7221F" w14:paraId="35A7AB4B" w14:textId="0FB02507">
      <w:pPr>
        <w:pStyle w:val="SingleTxtG"/>
        <w:ind w:firstLine="567"/>
        <w:rPr>
          <w:b/>
          <w:lang w:val="en-US"/>
        </w:rPr>
      </w:pPr>
      <w:r w:rsidRPr="00AD7122">
        <w:rPr>
          <w:b/>
          <w:lang w:val="en-US"/>
        </w:rPr>
        <w:tab/>
      </w:r>
      <w:r w:rsidRPr="00AD7122">
        <w:rPr>
          <w:b/>
          <w:lang w:val="en-US"/>
        </w:rPr>
        <w:t xml:space="preserve">(b)</w:t>
      </w:r>
      <w:r w:rsidRPr="00AD7122">
        <w:rPr>
          <w:b/>
          <w:lang w:val="en-US"/>
        </w:rPr>
        <w:tab/>
      </w:r>
      <w:r w:rsidRPr="00912CF2" w:rsidR="00A0750D">
        <w:rPr>
          <w:b/>
          <w:lang w:val="en-US"/>
        </w:rPr>
        <w:t xml:space="preserve">Arrêter les efforts visant à autoriser les États membres de l'UE à adhérer à la Convention de La Haye du 13 janvier 2000 sur la protection internationale des adultes ou à y rester parties ; ne pas donner suite à la proposition de règlement COM/2023/280 final et ne pas donner suite à la proposition de décision du Conseil COM(2023) 281 final/2 ;</w:t>
      </w:r>
    </w:p>
    <w:p w:rsidR="0097397D" w:rsidP="00694FEE" w:rsidRDefault="00F7221F" w14:paraId="527B1D48" w14:textId="145279EC">
      <w:pPr>
        <w:pStyle w:val="SingleTxtG"/>
        <w:ind w:firstLine="567"/>
        <w:rPr>
          <w:b/>
          <w:lang w:val="en-US"/>
        </w:rPr>
      </w:pPr>
      <w:r w:rsidRPr="00AD7122">
        <w:rPr>
          <w:b/>
          <w:lang w:val="en-US"/>
        </w:rPr>
        <w:tab/>
      </w:r>
      <w:r w:rsidRPr="00AD7122">
        <w:rPr>
          <w:b/>
          <w:lang w:val="en-US"/>
        </w:rPr>
        <w:t xml:space="preserve">(c)</w:t>
      </w:r>
      <w:r w:rsidRPr="00AD7122">
        <w:rPr>
          <w:b/>
          <w:lang w:val="en-US"/>
        </w:rPr>
        <w:tab/>
      </w:r>
      <w:r w:rsidRPr="00AD7122">
        <w:rPr>
          <w:b/>
          <w:lang w:val="en-US"/>
        </w:rPr>
        <w:t xml:space="preserve">Élaborer une législation </w:t>
      </w:r>
      <w:r w:rsidR="00633869">
        <w:rPr>
          <w:b/>
          <w:lang w:val="en-US"/>
        </w:rPr>
        <w:t xml:space="preserve">éliminant la discrimination à l'égard des </w:t>
      </w:r>
      <w:r w:rsidRPr="00AD7122">
        <w:rPr>
          <w:b/>
          <w:lang w:val="en-US"/>
        </w:rPr>
        <w:t xml:space="preserve">personnes handicapées </w:t>
      </w:r>
      <w:r>
        <w:rPr>
          <w:b/>
          <w:lang w:val="en-US"/>
        </w:rPr>
        <w:t xml:space="preserve">en ce qui concerne le contrôle de </w:t>
      </w:r>
      <w:r w:rsidRPr="00AD7122">
        <w:rPr>
          <w:b/>
          <w:lang w:val="en-US"/>
        </w:rPr>
        <w:t xml:space="preserve">leurs biens et de leurs affaires financières, y compris l'</w:t>
      </w:r>
      <w:r>
        <w:rPr>
          <w:b/>
          <w:lang w:val="en-US"/>
        </w:rPr>
        <w:t xml:space="preserve">accès aux </w:t>
      </w:r>
      <w:r w:rsidR="00520F99">
        <w:rPr>
          <w:b/>
          <w:lang w:val="en-US"/>
        </w:rPr>
        <w:t xml:space="preserve">services bancaires</w:t>
      </w:r>
      <w:r w:rsidRPr="00AD7122">
        <w:rPr>
          <w:b/>
          <w:lang w:val="en-US"/>
        </w:rPr>
        <w:t xml:space="preserve">.</w:t>
      </w:r>
    </w:p>
    <w:bookmarkEnd w:id="7"/>
    <w:p w:rsidRPr="00404879" w:rsidR="00A47EDA" w:rsidP="00A47EDA" w:rsidRDefault="00A47EDA" w14:paraId="14E1AD09" w14:textId="179BC0B9">
      <w:pPr>
        <w:pStyle w:val="H23G"/>
      </w:pPr>
      <w:r>
        <w:tab/>
      </w:r>
      <w:r>
        <w:tab/>
      </w:r>
      <w:r w:rsidRPr="00404879">
        <w:t xml:space="preserve">Accès à la justice (art. 13) </w:t>
      </w:r>
    </w:p>
    <w:p w:rsidR="0097397D" w:rsidP="00694FEE" w:rsidRDefault="00A47EDA" w14:paraId="39D5EE4F" w14:textId="114BCC56">
      <w:pPr>
        <w:pStyle w:val="SingleTxtG"/>
        <w:numPr>
          <w:ilvl w:val="0"/>
          <w:numId w:val="22"/>
        </w:numPr>
        <w:ind w:start="1134" w:firstLine="0"/>
      </w:pPr>
      <w:r>
        <w:t xml:space="preserve">Le Comité observe avec préoccupation que</w:t>
      </w:r>
    </w:p>
    <w:p w:rsidRPr="00A47EDA" w:rsidR="00661BEE" w:rsidP="00694FEE" w:rsidRDefault="00A47EDA" w14:paraId="1CD98901" w14:textId="09A58A93">
      <w:pPr>
        <w:pStyle w:val="SingleTxtG"/>
        <w:ind w:firstLine="567"/>
      </w:pPr>
      <w:r>
        <w:tab/>
      </w:r>
      <w:r w:rsidRPr="00A47EDA" w:rsidR="00661BEE">
        <w:t xml:space="preserve">(a)</w:t>
      </w:r>
      <w:r w:rsidRPr="00A47EDA" w:rsidR="00661BEE">
        <w:tab/>
      </w:r>
      <w:r w:rsidRPr="00A47EDA" w:rsidR="00661BEE">
        <w:t xml:space="preserve">La privation de la capacité juridique </w:t>
      </w:r>
      <w:r w:rsidR="00661BEE">
        <w:t xml:space="preserve">porte </w:t>
      </w:r>
      <w:r w:rsidR="0001798E">
        <w:t xml:space="preserve">atteinte</w:t>
      </w:r>
      <w:r w:rsidR="00661BEE">
        <w:t xml:space="preserve"> </w:t>
      </w:r>
      <w:r w:rsidR="00661BEE">
        <w:t xml:space="preserve">au </w:t>
      </w:r>
      <w:r w:rsidRPr="00A47EDA" w:rsidR="00661BEE">
        <w:t xml:space="preserve">droit des </w:t>
      </w:r>
      <w:r w:rsidRPr="00A47EDA" w:rsidR="00661BEE">
        <w:t xml:space="preserve">personnes handicapées d'</w:t>
      </w:r>
      <w:r w:rsidR="00661BEE">
        <w:rPr>
          <w:lang w:val="en-US"/>
        </w:rPr>
        <w:t xml:space="preserve">accéder effectivement à la justice sur la base de l'égalité avec les autres, ce qui </w:t>
      </w:r>
      <w:r w:rsidRPr="00A47EDA" w:rsidR="00661BEE">
        <w:t xml:space="preserve">affecte particulièrement les personnes souffrant de handicaps intellectuels et/ou psychosociaux ;</w:t>
      </w:r>
    </w:p>
    <w:p w:rsidRPr="00A47EDA" w:rsidR="00661BEE" w:rsidP="00694FEE" w:rsidRDefault="00661BEE" w14:paraId="10553E97" w14:textId="09E3CEA2">
      <w:pPr>
        <w:pStyle w:val="SingleTxtG"/>
        <w:ind w:firstLine="567"/>
      </w:pPr>
      <w:r>
        <w:tab/>
      </w:r>
      <w:r w:rsidRPr="00A47EDA">
        <w:t xml:space="preserve">(</w:t>
      </w:r>
      <w:r w:rsidR="005A4227">
        <w:t xml:space="preserve">b</w:t>
      </w:r>
      <w:r w:rsidRPr="00A47EDA">
        <w:t xml:space="preserve">)</w:t>
      </w:r>
      <w:r w:rsidRPr="00A47EDA">
        <w:tab/>
      </w:r>
      <w:r w:rsidRPr="00A47EDA">
        <w:t xml:space="preserve">Les plateformes en ligne et les outils numériques dans le secteur de la justice </w:t>
      </w:r>
      <w:r>
        <w:rPr>
          <w:lang w:val="en-US"/>
        </w:rPr>
        <w:t xml:space="preserve">de l'Union européenne </w:t>
      </w:r>
      <w:r w:rsidRPr="00A47EDA">
        <w:t xml:space="preserve">sont </w:t>
      </w:r>
      <w:r>
        <w:rPr>
          <w:lang w:val="en-US"/>
        </w:rPr>
        <w:t xml:space="preserve">largement </w:t>
      </w:r>
      <w:r w:rsidRPr="00A47EDA">
        <w:t xml:space="preserve">inaccessibles aux personnes handicapées.</w:t>
      </w:r>
    </w:p>
    <w:p w:rsidRPr="00A47EDA" w:rsidR="00661BEE" w:rsidP="00694FEE" w:rsidRDefault="00661BEE" w14:paraId="314EEBDE" w14:textId="4775F029">
      <w:pPr>
        <w:pStyle w:val="SingleTxtG"/>
        <w:numPr>
          <w:ilvl w:val="0"/>
          <w:numId w:val="22"/>
        </w:numPr>
        <w:ind w:start="1134" w:firstLine="0"/>
        <w:rPr>
          <w:b/>
          <w:bCs/>
        </w:rPr>
      </w:pPr>
      <w:r w:rsidRPr="00A47EDA">
        <w:rPr>
          <w:b/>
          <w:bCs/>
        </w:rPr>
        <w:t xml:space="preserve">Le Comité rappelle les Principes et directives internationaux relatifs à l'accès à la justice pour les personnes handicapées, de 2020, ainsi que ses précédentes observations finales et recommandations (paragraphe 39) et recommande à l'</w:t>
      </w:r>
      <w:r>
        <w:rPr>
          <w:b/>
          <w:bCs/>
        </w:rPr>
        <w:t xml:space="preserve">Union européenne</w:t>
      </w:r>
      <w:r w:rsidR="004C3E3F">
        <w:rPr>
          <w:b/>
          <w:bCs/>
        </w:rPr>
        <w:t xml:space="preserve">, dans le cadre de ses compétences </w:t>
      </w:r>
      <w:r w:rsidRPr="00A47EDA">
        <w:rPr>
          <w:b/>
          <w:bCs/>
        </w:rPr>
        <w:t xml:space="preserve">:</w:t>
      </w:r>
    </w:p>
    <w:p w:rsidRPr="00694FEE" w:rsidR="00661BEE" w:rsidP="00694FEE" w:rsidRDefault="00661BEE" w14:paraId="3BBB624A" w14:textId="566FAB0B">
      <w:pPr>
        <w:pStyle w:val="SingleTxtG"/>
        <w:ind w:firstLine="567"/>
        <w:rPr>
          <w:b/>
          <w:bCs/>
        </w:rPr>
      </w:pPr>
      <w:r w:rsidRPr="00694FEE">
        <w:rPr>
          <w:b/>
          <w:bCs/>
        </w:rPr>
        <w:tab/>
      </w:r>
      <w:r w:rsidRPr="00694FEE">
        <w:rPr>
          <w:b/>
          <w:bCs/>
        </w:rPr>
        <w:t xml:space="preserve">(a)</w:t>
      </w:r>
      <w:r w:rsidRPr="00694FEE">
        <w:rPr>
          <w:b/>
          <w:bCs/>
        </w:rPr>
        <w:tab/>
      </w:r>
      <w:r w:rsidRPr="00694FEE">
        <w:rPr>
          <w:b/>
          <w:bCs/>
          <w:lang w:val="en-US"/>
        </w:rPr>
        <w:t xml:space="preserve">Révise </w:t>
      </w:r>
      <w:r w:rsidRPr="00694FEE">
        <w:rPr>
          <w:b/>
          <w:bCs/>
          <w:lang w:val="en-US"/>
        </w:rPr>
        <w:t xml:space="preserve">sa </w:t>
      </w:r>
      <w:r w:rsidRPr="00694FEE">
        <w:rPr>
          <w:b/>
          <w:bCs/>
        </w:rPr>
        <w:t xml:space="preserve">législation sur l'accès à la justice </w:t>
      </w:r>
      <w:r w:rsidRPr="00694FEE">
        <w:rPr>
          <w:b/>
          <w:bCs/>
          <w:lang w:val="en-US"/>
        </w:rPr>
        <w:t xml:space="preserve">et garantisse </w:t>
      </w:r>
      <w:r w:rsidRPr="00694FEE">
        <w:rPr>
          <w:b/>
          <w:bCs/>
        </w:rPr>
        <w:t xml:space="preserve">le droit à la capacité juridique des personnes handicapées dans toutes les procédures judiciaires, notamment en </w:t>
      </w:r>
      <w:r w:rsidRPr="00694FEE">
        <w:rPr>
          <w:b/>
          <w:bCs/>
        </w:rPr>
        <w:t xml:space="preserve">veillant à ce que les personnes handicapées puissent participer directement à toutes les étapes des processus administratifs et judiciaires, selon leur volonté et leurs préférences, et </w:t>
      </w:r>
      <w:r w:rsidRPr="00694FEE">
        <w:rPr>
          <w:b/>
          <w:bCs/>
        </w:rPr>
        <w:t xml:space="preserve">en établissant des voies de recours </w:t>
      </w:r>
      <w:r w:rsidRPr="00694FEE" w:rsidR="00EC0D0F">
        <w:rPr>
          <w:b/>
          <w:bCs/>
        </w:rPr>
        <w:t xml:space="preserve">en cas de violation </w:t>
      </w:r>
      <w:r w:rsidRPr="00694FEE" w:rsidR="00A83960">
        <w:rPr>
          <w:b/>
          <w:bCs/>
        </w:rPr>
        <w:t xml:space="preserve">de </w:t>
      </w:r>
      <w:r w:rsidRPr="00694FEE">
        <w:rPr>
          <w:b/>
          <w:bCs/>
        </w:rPr>
        <w:t xml:space="preserve">leur droit à l'accès à la justice ;</w:t>
      </w:r>
    </w:p>
    <w:p w:rsidRPr="00694FEE" w:rsidR="00661BEE" w:rsidP="00694FEE" w:rsidRDefault="00661BEE" w14:paraId="1EB68508" w14:textId="4804C70E">
      <w:pPr>
        <w:pStyle w:val="SingleTxtG"/>
        <w:ind w:firstLine="567"/>
        <w:rPr>
          <w:b/>
          <w:bCs/>
        </w:rPr>
      </w:pPr>
      <w:r w:rsidRPr="00694FEE">
        <w:rPr>
          <w:b/>
          <w:bCs/>
        </w:rPr>
        <w:lastRenderedPageBreak/>
      </w:r>
      <w:r w:rsidRPr="00694FEE">
        <w:rPr>
          <w:b/>
          <w:bCs/>
        </w:rPr>
        <w:tab/>
      </w:r>
      <w:r w:rsidRPr="00694FEE">
        <w:rPr>
          <w:b/>
          <w:bCs/>
        </w:rPr>
        <w:t xml:space="preserve">(b)</w:t>
      </w:r>
      <w:r w:rsidRPr="00694FEE">
        <w:rPr>
          <w:b/>
          <w:bCs/>
        </w:rPr>
        <w:tab/>
      </w:r>
      <w:r w:rsidRPr="00694FEE">
        <w:rPr>
          <w:b/>
          <w:bCs/>
        </w:rPr>
        <w:t xml:space="preserve">Adopter des </w:t>
      </w:r>
      <w:r w:rsidRPr="00694FEE">
        <w:rPr>
          <w:b/>
          <w:bCs/>
        </w:rPr>
        <w:t xml:space="preserve">critères et des procédures </w:t>
      </w:r>
      <w:r w:rsidR="000E4B79">
        <w:rPr>
          <w:b/>
          <w:bCs/>
        </w:rPr>
        <w:t xml:space="preserve">supplémentaires </w:t>
      </w:r>
      <w:r w:rsidRPr="00694FEE">
        <w:rPr>
          <w:b/>
          <w:bCs/>
        </w:rPr>
        <w:t xml:space="preserve">pour la </w:t>
      </w:r>
      <w:r w:rsidRPr="00694FEE" w:rsidR="00EC0D0F">
        <w:rPr>
          <w:b/>
          <w:bCs/>
        </w:rPr>
        <w:t xml:space="preserve">mise en place </w:t>
      </w:r>
      <w:r w:rsidRPr="00694FEE">
        <w:rPr>
          <w:b/>
          <w:bCs/>
        </w:rPr>
        <w:t xml:space="preserve">de mesures d'accompagnement et d'aménagements procéduraux pour les personnes handicapées, dans toutes les procédures judiciaires, qui comprennent </w:t>
      </w:r>
      <w:r w:rsidRPr="00694FEE" w:rsidR="00EC0D0F">
        <w:rPr>
          <w:b/>
          <w:bCs/>
        </w:rPr>
        <w:t xml:space="preserve">un </w:t>
      </w:r>
      <w:r w:rsidRPr="00694FEE" w:rsidR="00B02BBF">
        <w:rPr>
          <w:b/>
          <w:bCs/>
        </w:rPr>
        <w:t xml:space="preserve">dialogue avec les </w:t>
      </w:r>
      <w:r w:rsidRPr="00694FEE" w:rsidR="00EC0D0F">
        <w:rPr>
          <w:b/>
          <w:bCs/>
        </w:rPr>
        <w:t xml:space="preserve">personnes </w:t>
      </w:r>
      <w:r w:rsidRPr="00694FEE" w:rsidR="00B02BBF">
        <w:rPr>
          <w:b/>
          <w:bCs/>
        </w:rPr>
        <w:t xml:space="preserve">handicapées concernées </w:t>
      </w:r>
      <w:r w:rsidRPr="00694FEE">
        <w:rPr>
          <w:b/>
          <w:bCs/>
        </w:rPr>
        <w:t xml:space="preserve">afin d'identifier </w:t>
      </w:r>
      <w:r w:rsidRPr="00694FEE" w:rsidR="00EC0D0F">
        <w:rPr>
          <w:b/>
          <w:bCs/>
        </w:rPr>
        <w:t xml:space="preserve">leurs </w:t>
      </w:r>
      <w:r w:rsidRPr="00694FEE">
        <w:rPr>
          <w:b/>
          <w:bCs/>
        </w:rPr>
        <w:t xml:space="preserve">besoins </w:t>
      </w:r>
      <w:r w:rsidRPr="00694FEE" w:rsidR="00EC0D0F">
        <w:rPr>
          <w:b/>
          <w:bCs/>
        </w:rPr>
        <w:t xml:space="preserve">et les </w:t>
      </w:r>
      <w:r w:rsidRPr="00694FEE">
        <w:rPr>
          <w:b/>
          <w:bCs/>
        </w:rPr>
        <w:t xml:space="preserve">mesures </w:t>
      </w:r>
      <w:r w:rsidRPr="00694FEE" w:rsidR="00EC0D0F">
        <w:rPr>
          <w:b/>
          <w:bCs/>
        </w:rPr>
        <w:t xml:space="preserve">positives </w:t>
      </w:r>
      <w:r w:rsidRPr="00694FEE">
        <w:rPr>
          <w:b/>
          <w:bCs/>
        </w:rPr>
        <w:t xml:space="preserve">visant à supprimer les </w:t>
      </w:r>
      <w:r w:rsidRPr="00694FEE">
        <w:rPr>
          <w:b/>
          <w:bCs/>
        </w:rPr>
        <w:t xml:space="preserve">obstacles </w:t>
      </w:r>
      <w:r w:rsidRPr="00694FEE" w:rsidR="00EC0D0F">
        <w:rPr>
          <w:b/>
          <w:bCs/>
        </w:rPr>
        <w:t xml:space="preserve">physiques, de communication et d'attitude</w:t>
      </w:r>
      <w:r w:rsidRPr="00694FEE" w:rsidR="00EC0D0F">
        <w:rPr>
          <w:b/>
          <w:bCs/>
        </w:rPr>
        <w:t xml:space="preserve">, une liste non exhaustive des aménagements procéduraux disponibles, y compris la </w:t>
      </w:r>
      <w:r w:rsidRPr="00694FEE">
        <w:rPr>
          <w:b/>
          <w:bCs/>
        </w:rPr>
        <w:t xml:space="preserve">fourniture de documents juridiques et d'informations sur les procédures en lecture facile, en braille, ainsi que des moyens et modes de communication améliorés et alternatifs ;</w:t>
      </w:r>
    </w:p>
    <w:p w:rsidRPr="00694FEE" w:rsidR="00661BEE" w:rsidP="00694FEE" w:rsidRDefault="00661BEE" w14:paraId="5B1A36B5" w14:textId="1E48F1B0">
      <w:pPr>
        <w:pStyle w:val="SingleTxtG"/>
        <w:ind w:firstLine="567"/>
        <w:rPr>
          <w:b/>
          <w:bCs/>
        </w:rPr>
      </w:pPr>
      <w:r w:rsidRPr="00694FEE">
        <w:rPr>
          <w:b/>
          <w:bCs/>
        </w:rPr>
        <w:tab/>
      </w:r>
      <w:r w:rsidRPr="00694FEE">
        <w:rPr>
          <w:b/>
          <w:bCs/>
        </w:rPr>
        <w:t xml:space="preserve">(c)</w:t>
      </w:r>
      <w:r w:rsidRPr="00694FEE">
        <w:rPr>
          <w:b/>
          <w:bCs/>
        </w:rPr>
        <w:tab/>
      </w:r>
      <w:r w:rsidRPr="00694FEE">
        <w:rPr>
          <w:b/>
          <w:bCs/>
        </w:rPr>
        <w:t xml:space="preserve">Renforcer les capacités du secteur de la justice et de l'</w:t>
      </w:r>
      <w:r w:rsidRPr="00694FEE">
        <w:rPr>
          <w:b/>
          <w:bCs/>
        </w:rPr>
        <w:t xml:space="preserve">administration </w:t>
      </w:r>
      <w:r w:rsidRPr="00694FEE" w:rsidR="00EC0D0F">
        <w:rPr>
          <w:b/>
          <w:bCs/>
        </w:rPr>
        <w:t xml:space="preserve">publique </w:t>
      </w:r>
      <w:r w:rsidRPr="00694FEE">
        <w:rPr>
          <w:b/>
          <w:bCs/>
        </w:rPr>
        <w:t xml:space="preserve">en ce qui concerne la Convention et le </w:t>
      </w:r>
      <w:r w:rsidRPr="00694FEE">
        <w:rPr>
          <w:b/>
          <w:bCs/>
        </w:rPr>
        <w:t xml:space="preserve">droit d'accès à la justice</w:t>
      </w:r>
      <w:r w:rsidRPr="00694FEE" w:rsidR="002C4575">
        <w:rPr>
          <w:b/>
          <w:bCs/>
        </w:rPr>
        <w:t xml:space="preserve">, et </w:t>
      </w:r>
      <w:r w:rsidRPr="00694FEE">
        <w:rPr>
          <w:b/>
          <w:bCs/>
        </w:rPr>
        <w:t xml:space="preserve">prendre en considération les bonnes pratiques des États membres, telles que le recours à des intermédiaires et/ou à des facilitateurs ; </w:t>
      </w:r>
    </w:p>
    <w:p w:rsidRPr="00694FEE" w:rsidR="00661BEE" w:rsidP="00694FEE" w:rsidRDefault="00661BEE" w14:paraId="17B19D71" w14:textId="5B789EED">
      <w:pPr>
        <w:pStyle w:val="SingleTxtG"/>
        <w:ind w:firstLine="567"/>
        <w:rPr>
          <w:b/>
          <w:bCs/>
        </w:rPr>
      </w:pPr>
      <w:r w:rsidRPr="00694FEE">
        <w:rPr>
          <w:b/>
          <w:bCs/>
        </w:rPr>
        <w:tab/>
      </w:r>
      <w:r w:rsidRPr="00694FEE">
        <w:rPr>
          <w:b/>
          <w:bCs/>
        </w:rPr>
        <w:t xml:space="preserve">(e)</w:t>
      </w:r>
      <w:r w:rsidRPr="00694FEE">
        <w:rPr>
          <w:b/>
          <w:bCs/>
        </w:rPr>
        <w:tab/>
      </w:r>
      <w:r w:rsidRPr="00694FEE">
        <w:rPr>
          <w:b/>
          <w:bCs/>
        </w:rPr>
        <w:t xml:space="preserve">modifier les </w:t>
      </w:r>
      <w:r w:rsidRPr="00694FEE" w:rsidR="00B94AC8">
        <w:rPr>
          <w:b/>
          <w:bCs/>
        </w:rPr>
        <w:t xml:space="preserve">lois sur </w:t>
      </w:r>
      <w:r w:rsidRPr="00694FEE" w:rsidR="002C4575">
        <w:rPr>
          <w:b/>
          <w:bCs/>
        </w:rPr>
        <w:t xml:space="preserve">les </w:t>
      </w:r>
      <w:r w:rsidRPr="00694FEE">
        <w:rPr>
          <w:b/>
          <w:bCs/>
        </w:rPr>
        <w:t xml:space="preserve">procédures judiciaires afin de garantir </w:t>
      </w:r>
      <w:r w:rsidRPr="00694FEE" w:rsidR="002C4575">
        <w:rPr>
          <w:b/>
          <w:bCs/>
        </w:rPr>
        <w:t xml:space="preserve">tous les droits </w:t>
      </w:r>
      <w:r w:rsidRPr="00694FEE" w:rsidR="00B94AC8">
        <w:rPr>
          <w:b/>
          <w:bCs/>
        </w:rPr>
        <w:t xml:space="preserve">des personnes handicapées à </w:t>
      </w:r>
      <w:r w:rsidRPr="00694FEE" w:rsidR="002C4575">
        <w:rPr>
          <w:b/>
          <w:bCs/>
        </w:rPr>
        <w:t xml:space="preserve">un procès équitable</w:t>
      </w:r>
      <w:r w:rsidRPr="00694FEE" w:rsidR="002C4575">
        <w:rPr>
          <w:b/>
          <w:bCs/>
        </w:rPr>
        <w:t xml:space="preserve">, y compris la </w:t>
      </w:r>
      <w:r w:rsidRPr="00694FEE">
        <w:rPr>
          <w:b/>
          <w:bCs/>
        </w:rPr>
        <w:t xml:space="preserve">présomption d'innocence</w:t>
      </w:r>
      <w:r w:rsidRPr="00694FEE" w:rsidR="002C4575">
        <w:rPr>
          <w:b/>
          <w:bCs/>
        </w:rPr>
        <w:t xml:space="preserve">, </w:t>
      </w:r>
      <w:r w:rsidRPr="00694FEE" w:rsidR="00A83960">
        <w:rPr>
          <w:b/>
          <w:bCs/>
        </w:rPr>
        <w:t xml:space="preserve">le </w:t>
      </w:r>
      <w:r w:rsidRPr="00694FEE">
        <w:rPr>
          <w:b/>
          <w:bCs/>
        </w:rPr>
        <w:t xml:space="preserve">droit d'être présent dans les procédures pénales, l</w:t>
      </w:r>
      <w:r w:rsidRPr="00694FEE" w:rsidR="002C4575">
        <w:rPr>
          <w:b/>
          <w:bCs/>
        </w:rPr>
        <w:t xml:space="preserve">'accès à l'interprétation</w:t>
      </w:r>
      <w:r w:rsidRPr="00694FEE" w:rsidR="00B94AC8">
        <w:rPr>
          <w:b/>
          <w:bCs/>
        </w:rPr>
        <w:t xml:space="preserve">, à </w:t>
      </w:r>
      <w:r w:rsidRPr="00694FEE" w:rsidR="002C4575">
        <w:rPr>
          <w:b/>
          <w:bCs/>
        </w:rPr>
        <w:t xml:space="preserve">un avocat et à l'aide juridique, </w:t>
      </w:r>
      <w:r w:rsidRPr="00694FEE">
        <w:rPr>
          <w:b/>
          <w:bCs/>
        </w:rPr>
        <w:t xml:space="preserve">quel que soit leur statut en matière de capacité juridique</w:t>
      </w:r>
    </w:p>
    <w:p w:rsidRPr="00661BEE" w:rsidR="00A47EDA" w:rsidP="00694FEE" w:rsidRDefault="00661BEE" w14:paraId="0EC9E11F" w14:textId="6D682827">
      <w:pPr>
        <w:pStyle w:val="SingleTxtG"/>
        <w:ind w:firstLine="567"/>
        <w:rPr>
          <w:b/>
          <w:bCs/>
          <w:lang w:val="en-US"/>
        </w:rPr>
      </w:pPr>
      <w:r w:rsidRPr="00694FEE">
        <w:rPr>
          <w:b/>
          <w:bCs/>
          <w:lang w:val="en-US"/>
        </w:rPr>
        <w:tab/>
      </w:r>
      <w:r w:rsidRPr="00694FEE">
        <w:rPr>
          <w:b/>
          <w:bCs/>
          <w:lang w:val="en-US"/>
        </w:rPr>
        <w:t xml:space="preserve">(f)</w:t>
      </w:r>
      <w:r w:rsidRPr="00A47EDA">
        <w:rPr>
          <w:b/>
          <w:bCs/>
          <w:lang w:val="en-US"/>
        </w:rPr>
        <w:tab/>
      </w:r>
      <w:r w:rsidR="00C14377">
        <w:rPr>
          <w:b/>
          <w:bCs/>
          <w:lang w:val="en-US"/>
        </w:rPr>
        <w:t xml:space="preserve">Veiller à </w:t>
      </w:r>
      <w:r>
        <w:rPr>
          <w:b/>
          <w:bCs/>
          <w:lang w:val="en-US"/>
        </w:rPr>
        <w:t xml:space="preserve">ce que </w:t>
      </w:r>
      <w:r w:rsidRPr="00A47EDA">
        <w:rPr>
          <w:b/>
          <w:bCs/>
          <w:lang w:val="en-US"/>
        </w:rPr>
        <w:t xml:space="preserve">les personnes </w:t>
      </w:r>
      <w:r w:rsidRPr="00A47EDA">
        <w:rPr>
          <w:b/>
          <w:bCs/>
          <w:lang w:val="en-US"/>
        </w:rPr>
        <w:t xml:space="preserve">handicapées </w:t>
      </w:r>
      <w:r>
        <w:rPr>
          <w:b/>
          <w:bCs/>
          <w:lang w:val="en-US"/>
        </w:rPr>
        <w:t xml:space="preserve">soient incluses </w:t>
      </w:r>
      <w:r w:rsidRPr="00A47EDA">
        <w:rPr>
          <w:b/>
          <w:bCs/>
          <w:lang w:val="en-US"/>
        </w:rPr>
        <w:t xml:space="preserve">dans la numérisation de la justice.</w:t>
      </w:r>
    </w:p>
    <w:p w:rsidRPr="00404879" w:rsidR="003C4DF5" w:rsidP="003C4DF5" w:rsidRDefault="003C4DF5" w14:paraId="332AEDB1" w14:textId="0754939F">
      <w:pPr>
        <w:pStyle w:val="H23G"/>
      </w:pPr>
      <w:r>
        <w:tab/>
      </w:r>
      <w:r>
        <w:tab/>
      </w:r>
      <w:r w:rsidRPr="00404879">
        <w:t xml:space="preserve">Liberté et sécurité de la personne (art. 14)</w:t>
      </w:r>
    </w:p>
    <w:p w:rsidR="00A47EDA" w:rsidP="00694FEE" w:rsidRDefault="003C4DF5" w14:paraId="53EE4E16" w14:textId="3D7A12B3">
      <w:pPr>
        <w:pStyle w:val="SingleTxtG"/>
        <w:numPr>
          <w:ilvl w:val="0"/>
          <w:numId w:val="22"/>
        </w:numPr>
        <w:ind w:start="1134" w:firstLine="0"/>
      </w:pPr>
      <w:r>
        <w:t xml:space="preserve">Le Comité est préoccupé </w:t>
      </w:r>
      <w:r w:rsidR="00EB19AF">
        <w:t xml:space="preserve">par</w:t>
      </w:r>
    </w:p>
    <w:p w:rsidRPr="003C4DF5" w:rsidR="00AE3C9D" w:rsidP="00694FEE" w:rsidRDefault="003C4DF5" w14:paraId="4D823148" w14:textId="2A24D1CD">
      <w:pPr>
        <w:pStyle w:val="SingleTxtG"/>
        <w:ind w:firstLine="567"/>
        <w:rPr>
          <w:lang w:val="en-US"/>
        </w:rPr>
      </w:pPr>
      <w:r>
        <w:tab/>
      </w:r>
      <w:r w:rsidRPr="003C4DF5" w:rsidR="00AE3C9D">
        <w:rPr>
          <w:lang w:val="en-US"/>
        </w:rPr>
        <w:t xml:space="preserve">(a</w:t>
      </w:r>
      <w:r w:rsidR="00AE3C9D">
        <w:rPr>
          <w:lang w:val="en-US"/>
        </w:rPr>
        <w:t xml:space="preserve">)</w:t>
      </w:r>
      <w:r w:rsidRPr="003C4DF5" w:rsidR="00AE3C9D">
        <w:rPr>
          <w:lang w:val="en-US"/>
        </w:rPr>
        <w:tab/>
      </w:r>
      <w:r w:rsidRPr="003C4DF5" w:rsidR="00AE3C9D">
        <w:rPr>
          <w:lang w:val="en-US"/>
        </w:rPr>
        <w:t xml:space="preserve">L</w:t>
      </w:r>
      <w:r w:rsidR="00AE3C9D">
        <w:rPr>
          <w:lang w:val="en-US"/>
        </w:rPr>
        <w:t xml:space="preserve">'absence de mesures prises par l'Union européenne </w:t>
      </w:r>
      <w:r w:rsidRPr="003C4DF5" w:rsidR="00AE3C9D">
        <w:rPr>
          <w:lang w:val="en-US"/>
        </w:rPr>
        <w:t xml:space="preserve">dans le cadre de ses compétences pour </w:t>
      </w:r>
      <w:r w:rsidR="00AE3C9D">
        <w:rPr>
          <w:lang w:val="en-US"/>
        </w:rPr>
        <w:t xml:space="preserve">abolir la </w:t>
      </w:r>
      <w:r w:rsidRPr="003C4DF5" w:rsidR="00AE3C9D">
        <w:rPr>
          <w:lang w:val="en-US"/>
        </w:rPr>
        <w:t xml:space="preserve">détention involontaire </w:t>
      </w:r>
      <w:r w:rsidR="008E6EE7">
        <w:rPr>
          <w:lang w:val="en-US"/>
        </w:rPr>
        <w:t xml:space="preserve">de </w:t>
      </w:r>
      <w:r w:rsidRPr="003C4DF5" w:rsidR="00AE3C9D">
        <w:rPr>
          <w:lang w:val="en-US"/>
        </w:rPr>
        <w:t xml:space="preserve">personnes handicapées </w:t>
      </w:r>
      <w:r w:rsidR="002C4575">
        <w:rPr>
          <w:lang w:val="en-US"/>
        </w:rPr>
        <w:t xml:space="preserve">dans les </w:t>
      </w:r>
      <w:r w:rsidRPr="003C4DF5" w:rsidR="00AE3C9D">
        <w:rPr>
          <w:lang w:val="en-US"/>
        </w:rPr>
        <w:t xml:space="preserve">États </w:t>
      </w:r>
      <w:r w:rsidRPr="003C4DF5" w:rsidR="00AE3C9D">
        <w:rPr>
          <w:lang w:val="en-US"/>
        </w:rPr>
        <w:t xml:space="preserve">membres</w:t>
      </w:r>
      <w:r w:rsidR="008E6EE7">
        <w:rPr>
          <w:lang w:val="en-US"/>
        </w:rPr>
        <w:t xml:space="preserve">, y compris dans des établissements psychiatriques fermés</w:t>
      </w:r>
      <w:r w:rsidR="00F40514">
        <w:rPr>
          <w:lang w:val="en-US"/>
        </w:rPr>
        <w:t xml:space="preserve">, et le </w:t>
      </w:r>
      <w:r w:rsidRPr="003C4DF5" w:rsidR="00AE3C9D">
        <w:rPr>
          <w:lang w:val="en-US"/>
        </w:rPr>
        <w:t xml:space="preserve">risque accru </w:t>
      </w:r>
      <w:r w:rsidRPr="003C4DF5" w:rsidR="00AE3C9D">
        <w:rPr>
          <w:lang w:val="en-US"/>
        </w:rPr>
        <w:t xml:space="preserve">que </w:t>
      </w:r>
      <w:r w:rsidRPr="003C4DF5" w:rsidR="00AE3C9D">
        <w:rPr>
          <w:lang w:val="en-US"/>
        </w:rPr>
        <w:t xml:space="preserve">courent </w:t>
      </w:r>
      <w:r w:rsidR="00F40514">
        <w:rPr>
          <w:lang w:val="en-US"/>
        </w:rPr>
        <w:t xml:space="preserve">les </w:t>
      </w:r>
      <w:r w:rsidRPr="003C4DF5" w:rsidR="00F40514">
        <w:rPr>
          <w:lang w:val="en-US"/>
        </w:rPr>
        <w:t xml:space="preserve">personnes souffrant de handicaps intellectuels et/ou psychosociaux, les autistes, les enfants, les personnes âgées </w:t>
      </w:r>
      <w:r w:rsidR="00F40514">
        <w:rPr>
          <w:lang w:val="en-US"/>
        </w:rPr>
        <w:t xml:space="preserve">et les </w:t>
      </w:r>
      <w:r w:rsidRPr="003C4DF5" w:rsidR="00F40514">
        <w:rPr>
          <w:lang w:val="en-US"/>
        </w:rPr>
        <w:t xml:space="preserve">migrants handicapés d'être </w:t>
      </w:r>
      <w:r w:rsidRPr="003C4DF5" w:rsidR="00AE3C9D">
        <w:rPr>
          <w:lang w:val="en-US"/>
        </w:rPr>
        <w:t xml:space="preserve">placés en détention </w:t>
      </w:r>
      <w:r w:rsidR="00AE3C9D">
        <w:rPr>
          <w:lang w:val="en-US"/>
        </w:rPr>
        <w:t xml:space="preserve">;</w:t>
      </w:r>
    </w:p>
    <w:p w:rsidRPr="0097397D" w:rsidR="00AE3C9D" w:rsidP="00694FEE" w:rsidRDefault="00AE3C9D" w14:paraId="16A968FB" w14:textId="6C30EBEB">
      <w:pPr>
        <w:pStyle w:val="SingleTxtG"/>
        <w:ind w:firstLine="567"/>
        <w:rPr>
          <w:lang w:val="en-US"/>
        </w:rPr>
      </w:pPr>
      <w:r>
        <w:rPr>
          <w:lang w:val="en-US"/>
        </w:rPr>
        <w:tab/>
      </w:r>
      <w:r>
        <w:rPr>
          <w:lang w:val="en-US"/>
        </w:rPr>
        <w:t xml:space="preserve">(</w:t>
      </w:r>
      <w:r w:rsidR="00812F6A">
        <w:rPr>
          <w:lang w:val="en-US"/>
        </w:rPr>
        <w:t xml:space="preserve">b</w:t>
      </w:r>
      <w:r>
        <w:rPr>
          <w:lang w:val="en-US"/>
        </w:rPr>
        <w:t xml:space="preserve">)</w:t>
      </w:r>
      <w:r>
        <w:rPr>
          <w:lang w:val="en-US"/>
        </w:rPr>
        <w:tab/>
      </w:r>
      <w:r w:rsidR="00B13F44">
        <w:rPr>
          <w:lang w:val="en-US"/>
        </w:rPr>
        <w:t xml:space="preserve">l'absence de </w:t>
      </w:r>
      <w:r w:rsidRPr="003C4DF5">
        <w:rPr>
          <w:lang w:val="en-US"/>
        </w:rPr>
        <w:t xml:space="preserve">contrôle </w:t>
      </w:r>
      <w:r w:rsidR="00B13F44">
        <w:rPr>
          <w:lang w:val="en-US"/>
        </w:rPr>
        <w:t xml:space="preserve">efficace </w:t>
      </w:r>
      <w:r w:rsidRPr="003C4DF5">
        <w:rPr>
          <w:lang w:val="en-US"/>
        </w:rPr>
        <w:t xml:space="preserve">de la détention </w:t>
      </w:r>
      <w:r w:rsidR="00B13F44">
        <w:rPr>
          <w:lang w:val="en-US"/>
        </w:rPr>
        <w:t xml:space="preserve">des personnes handicapées</w:t>
      </w:r>
      <w:r w:rsidR="008E6EE7">
        <w:rPr>
          <w:lang w:val="en-US"/>
        </w:rPr>
        <w:t xml:space="preserve">, y compris dans les établissements psychiatriques fermés, </w:t>
      </w:r>
      <w:r w:rsidR="00B13F44">
        <w:rPr>
          <w:lang w:val="en-US"/>
        </w:rPr>
        <w:t xml:space="preserve">et de la mise en place des mesures d'accompagnement nécessaires</w:t>
      </w:r>
      <w:r>
        <w:rPr>
          <w:lang w:val="en-US"/>
        </w:rPr>
        <w:t xml:space="preserve">.</w:t>
      </w:r>
    </w:p>
    <w:p w:rsidR="00AE3C9D" w:rsidP="00694FEE" w:rsidRDefault="00AE3C9D" w14:paraId="7C2D2625" w14:textId="505671A1">
      <w:pPr>
        <w:pStyle w:val="SingleTxtG"/>
        <w:numPr>
          <w:ilvl w:val="0"/>
          <w:numId w:val="22"/>
        </w:numPr>
        <w:ind w:start="1134" w:firstLine="0"/>
        <w:rPr>
          <w:b/>
          <w:noProof/>
        </w:rPr>
      </w:pPr>
      <w:r>
        <w:rPr>
          <w:b/>
          <w:noProof/>
        </w:rPr>
        <w:t xml:space="preserve">Rappelant les Lignes directrices sur le droit à la liberté et à la sécurité des personnes handicapées</w:t>
      </w:r>
      <w:r>
        <w:rPr>
          <w:rStyle w:val="FootnoteReference"/>
          <w:b/>
          <w:noProof/>
        </w:rPr>
        <w:footnoteReference w:id="3"/>
      </w:r>
      <w:r>
        <w:rPr>
          <w:b/>
          <w:noProof/>
        </w:rPr>
        <w:t xml:space="preserve"> et ses Lignes directrices sur la désinstitutionnalisation, y compris dans les situations d'urgence</w:t>
      </w:r>
      <w:r>
        <w:rPr>
          <w:rStyle w:val="FootnoteReference"/>
          <w:b/>
          <w:noProof/>
        </w:rPr>
        <w:footnoteReference w:id="4"/>
      </w:r>
      <w:r>
        <w:rPr>
          <w:b/>
          <w:noProof/>
        </w:rPr>
        <w:t xml:space="preserve"> , le Comité recommande à l'Union européenne de prendre toutes les mesures </w:t>
      </w:r>
      <w:r>
        <w:rPr>
          <w:b/>
          <w:noProof/>
        </w:rPr>
        <w:t xml:space="preserve">nécessaires</w:t>
      </w:r>
      <w:r w:rsidR="008E6EE7">
        <w:rPr>
          <w:b/>
          <w:noProof/>
        </w:rPr>
        <w:t xml:space="preserve">, dans le cadre de ses compétences, </w:t>
      </w:r>
      <w:r>
        <w:rPr>
          <w:b/>
          <w:noProof/>
        </w:rPr>
        <w:t xml:space="preserve">pour :</w:t>
      </w:r>
    </w:p>
    <w:p w:rsidRPr="00694FEE" w:rsidR="00812F6A" w:rsidP="00AE3C9D" w:rsidRDefault="00AE3C9D" w14:paraId="6485FBD6" w14:textId="7E8B808F">
      <w:pPr>
        <w:pStyle w:val="SingleTxtG"/>
        <w:ind w:firstLine="567"/>
        <w:rPr>
          <w:b/>
          <w:noProof/>
        </w:rPr>
      </w:pPr>
      <w:r w:rsidRPr="00694FEE">
        <w:rPr>
          <w:b/>
          <w:noProof/>
        </w:rPr>
        <w:t xml:space="preserve">(a)</w:t>
      </w:r>
      <w:r w:rsidRPr="00694FEE">
        <w:rPr>
          <w:b/>
          <w:noProof/>
        </w:rPr>
        <w:tab/>
      </w:r>
      <w:r w:rsidRPr="00694FEE" w:rsidR="00B13F44">
        <w:rPr>
          <w:b/>
          <w:lang w:val="en-US"/>
        </w:rPr>
        <w:t xml:space="preserve">Abolir la détention involontaire </w:t>
      </w:r>
      <w:r w:rsidRPr="00694FEE" w:rsidR="00972340">
        <w:rPr>
          <w:b/>
          <w:lang w:val="en-US"/>
        </w:rPr>
        <w:t xml:space="preserve">des </w:t>
      </w:r>
      <w:r w:rsidRPr="00694FEE" w:rsidR="00B13F44">
        <w:rPr>
          <w:b/>
          <w:lang w:val="en-US"/>
        </w:rPr>
        <w:t xml:space="preserve">personnes handicapées, </w:t>
      </w:r>
      <w:r w:rsidRPr="00694FEE" w:rsidR="00F40514">
        <w:rPr>
          <w:b/>
          <w:lang w:val="en-US"/>
        </w:rPr>
        <w:t xml:space="preserve">y compris les personnes ayant un handicap intellectuel et/ou psychosocial, les autistes, les enfants, les personnes âgées et les migrants handicapés, sur </w:t>
      </w:r>
      <w:r w:rsidRPr="00694FEE" w:rsidR="00972340">
        <w:rPr>
          <w:b/>
          <w:lang w:val="en-US"/>
        </w:rPr>
        <w:t xml:space="preserve">la </w:t>
      </w:r>
      <w:r w:rsidRPr="00694FEE" w:rsidR="00972340">
        <w:rPr>
          <w:b/>
          <w:lang w:val="en-US"/>
        </w:rPr>
        <w:t xml:space="preserve">base de leur handicap, </w:t>
      </w:r>
      <w:r w:rsidRPr="00694FEE" w:rsidR="00F40514">
        <w:rPr>
          <w:b/>
          <w:lang w:val="en-US"/>
        </w:rPr>
        <w:t xml:space="preserve">et fournir des </w:t>
      </w:r>
      <w:r w:rsidRPr="00694FEE" w:rsidR="00B13F44">
        <w:rPr>
          <w:b/>
          <w:lang w:val="en-US"/>
        </w:rPr>
        <w:t xml:space="preserve">incitations aux </w:t>
      </w:r>
      <w:r w:rsidRPr="00694FEE">
        <w:rPr>
          <w:b/>
          <w:noProof/>
        </w:rPr>
        <w:t xml:space="preserve">États membres pour mettre fin à toute </w:t>
      </w:r>
      <w:r w:rsidRPr="00694FEE" w:rsidR="00972340">
        <w:rPr>
          <w:b/>
          <w:noProof/>
        </w:rPr>
        <w:t xml:space="preserve">détention sur la base du handicap</w:t>
      </w:r>
      <w:r w:rsidRPr="00694FEE" w:rsidR="00B13F44">
        <w:rPr>
          <w:b/>
          <w:noProof/>
        </w:rPr>
        <w:t xml:space="preserve">, </w:t>
      </w:r>
      <w:r w:rsidRPr="00694FEE">
        <w:rPr>
          <w:b/>
          <w:noProof/>
        </w:rPr>
        <w:t xml:space="preserve">qu'elle soit de jure ou de facto, et financer la recherche sur le développement de services de proximité ;</w:t>
      </w:r>
    </w:p>
    <w:p w:rsidR="00AE3C9D" w:rsidP="00AE3C9D" w:rsidRDefault="00AE3C9D" w14:paraId="6D5891BD" w14:textId="776AA462">
      <w:pPr>
        <w:pStyle w:val="SingleTxtG"/>
        <w:ind w:firstLine="567"/>
        <w:rPr>
          <w:b/>
          <w:noProof/>
        </w:rPr>
      </w:pPr>
      <w:r w:rsidRPr="00694FEE">
        <w:rPr>
          <w:b/>
          <w:noProof/>
        </w:rPr>
        <w:t xml:space="preserve">(</w:t>
      </w:r>
      <w:r w:rsidRPr="00694FEE" w:rsidR="00F40514">
        <w:rPr>
          <w:b/>
          <w:noProof/>
        </w:rPr>
        <w:t xml:space="preserve">b</w:t>
      </w:r>
      <w:r w:rsidRPr="00694FEE">
        <w:rPr>
          <w:b/>
          <w:noProof/>
        </w:rPr>
        <w:t xml:space="preserve">)</w:t>
      </w:r>
      <w:r w:rsidRPr="00694FEE">
        <w:rPr>
          <w:b/>
          <w:noProof/>
        </w:rPr>
        <w:tab/>
      </w:r>
      <w:r w:rsidRPr="00B52E19">
        <w:rPr>
          <w:b/>
          <w:noProof/>
        </w:rPr>
        <w:t xml:space="preserve">Contrôler </w:t>
      </w:r>
      <w:r w:rsidR="00F40514">
        <w:rPr>
          <w:b/>
          <w:noProof/>
        </w:rPr>
        <w:t xml:space="preserve">efficacement </w:t>
      </w:r>
      <w:r w:rsidRPr="00B52E19">
        <w:rPr>
          <w:b/>
          <w:noProof/>
        </w:rPr>
        <w:t xml:space="preserve">la situation des personnes handicapées privées de </w:t>
      </w:r>
      <w:r w:rsidRPr="00B52E19">
        <w:rPr>
          <w:b/>
          <w:noProof/>
        </w:rPr>
        <w:t xml:space="preserve">liberté dans </w:t>
      </w:r>
      <w:r w:rsidR="00F40514">
        <w:rPr>
          <w:b/>
          <w:noProof/>
        </w:rPr>
        <w:t xml:space="preserve">tous les lieux de détention.</w:t>
      </w:r>
      <w:r w:rsidRPr="00B52E19">
        <w:rPr>
          <w:b/>
          <w:noProof/>
        </w:rPr>
        <w:t xml:space="preserve">  </w:t>
      </w:r>
    </w:p>
    <w:p w:rsidRPr="00C071E4" w:rsidR="00AE3C9D" w:rsidP="0090005B" w:rsidRDefault="0090005B" w14:paraId="79DBFAEA" w14:textId="7E0401B3">
      <w:pPr>
        <w:pStyle w:val="H23G"/>
        <w:rPr>
          <w:noProof/>
        </w:rPr>
      </w:pPr>
      <w:r>
        <w:rPr>
          <w:noProof/>
        </w:rPr>
        <w:tab/>
      </w:r>
      <w:r>
        <w:rPr>
          <w:noProof/>
        </w:rPr>
        <w:tab/>
      </w:r>
      <w:bookmarkStart w:name="_Hlk193808343" w:id="8"/>
      <w:r w:rsidRPr="00C071E4" w:rsidR="00AE3C9D">
        <w:rPr>
          <w:noProof/>
        </w:rPr>
        <w:t xml:space="preserve">Protocole facultatif à la Convention d'Oviedo </w:t>
      </w:r>
      <w:r w:rsidR="00AE3C9D">
        <w:rPr>
          <w:noProof/>
        </w:rPr>
        <w:t xml:space="preserve">du Conseil de l'Europe</w:t>
      </w:r>
    </w:p>
    <w:p w:rsidRPr="00C071E4" w:rsidR="00AE3C9D" w:rsidP="0090005B" w:rsidRDefault="00AE3C9D" w14:paraId="0735DB92" w14:textId="1DEE6D6E">
      <w:pPr>
        <w:pStyle w:val="SingleTxtG"/>
        <w:numPr>
          <w:ilvl w:val="0"/>
          <w:numId w:val="22"/>
        </w:numPr>
        <w:ind w:start="1134" w:firstLine="0"/>
        <w:rPr>
          <w:lang w:val="en-US"/>
        </w:rPr>
      </w:pPr>
      <w:r>
        <w:rPr>
          <w:lang w:val="en-US"/>
        </w:rPr>
        <w:t xml:space="preserve">Le Comité se déclare préoccupé par </w:t>
      </w:r>
      <w:r w:rsidRPr="003C4DF5">
        <w:rPr>
          <w:lang w:val="en-US"/>
        </w:rPr>
        <w:t xml:space="preserve">la </w:t>
      </w:r>
      <w:r>
        <w:rPr>
          <w:lang w:val="en-US"/>
        </w:rPr>
        <w:t xml:space="preserve">réticence de l'Union européenne </w:t>
      </w:r>
      <w:r w:rsidRPr="003C4DF5">
        <w:rPr>
          <w:lang w:val="en-US"/>
        </w:rPr>
        <w:t xml:space="preserve">à </w:t>
      </w:r>
      <w:r>
        <w:rPr>
          <w:lang w:val="en-US"/>
        </w:rPr>
        <w:t xml:space="preserve">conseiller aux États membres </w:t>
      </w:r>
      <w:r>
        <w:rPr>
          <w:lang w:val="en-US"/>
        </w:rPr>
        <w:t xml:space="preserve">de ne pas donner suite au </w:t>
      </w:r>
      <w:r w:rsidRPr="003C4DF5">
        <w:rPr>
          <w:lang w:val="en-US"/>
        </w:rPr>
        <w:t xml:space="preserve">projet de protocole additionnel à la Convention d'Oviedo</w:t>
      </w:r>
      <w:r>
        <w:rPr>
          <w:lang w:val="en-US"/>
        </w:rPr>
        <w:t xml:space="preserve">. </w:t>
      </w:r>
      <w:r>
        <w:rPr>
          <w:lang w:val="en-US"/>
        </w:rPr>
        <w:t xml:space="preserve">Le Comité rappelle que le projet de protocole additionnel </w:t>
      </w:r>
      <w:r w:rsidRPr="003C4DF5">
        <w:rPr>
          <w:lang w:val="en-US"/>
        </w:rPr>
        <w:t xml:space="preserve">légitimerait le placement et le traitement involontaires des personnes handicapées </w:t>
      </w:r>
      <w:r w:rsidR="00F40514">
        <w:rPr>
          <w:lang w:val="en-US"/>
        </w:rPr>
        <w:t xml:space="preserve">et qu'</w:t>
      </w:r>
      <w:r w:rsidRPr="003C4DF5">
        <w:rPr>
          <w:lang w:val="en-US"/>
        </w:rPr>
        <w:t xml:space="preserve">il </w:t>
      </w:r>
      <w:r>
        <w:rPr>
          <w:lang w:val="en-US"/>
        </w:rPr>
        <w:t xml:space="preserve">contribuerait à </w:t>
      </w:r>
      <w:r w:rsidRPr="003C4DF5">
        <w:rPr>
          <w:lang w:val="en-US"/>
        </w:rPr>
        <w:t xml:space="preserve">la fragmentation du droit international</w:t>
      </w:r>
      <w:r>
        <w:rPr>
          <w:lang w:val="en-US"/>
        </w:rPr>
        <w:t xml:space="preserve">, créant de profondes contradictions entre la Convention et le droit du Conseil de l'Europe.</w:t>
      </w:r>
    </w:p>
    <w:p w:rsidR="00AE3C9D" w:rsidP="0090005B" w:rsidRDefault="00AE3C9D" w14:paraId="38352D8E" w14:textId="5E4244D8">
      <w:pPr>
        <w:pStyle w:val="SingleTxtG"/>
        <w:numPr>
          <w:ilvl w:val="0"/>
          <w:numId w:val="22"/>
        </w:numPr>
        <w:ind w:start="1134" w:firstLine="0"/>
        <w:rPr>
          <w:b/>
          <w:noProof/>
        </w:rPr>
      </w:pPr>
      <w:r>
        <w:rPr>
          <w:b/>
          <w:noProof/>
        </w:rPr>
        <w:t xml:space="preserve">Le Comité, </w:t>
      </w:r>
      <w:r>
        <w:rPr>
          <w:b/>
          <w:bCs/>
          <w:lang w:val="en-US"/>
        </w:rPr>
        <w:t xml:space="preserve">rappelant </w:t>
      </w:r>
      <w:r w:rsidRPr="001E5F35">
        <w:rPr>
          <w:b/>
          <w:bCs/>
          <w:lang w:val="en-US"/>
        </w:rPr>
        <w:t xml:space="preserve">que tous les </w:t>
      </w:r>
      <w:r w:rsidRPr="001E5F35">
        <w:rPr>
          <w:b/>
          <w:bCs/>
          <w:lang w:val="en-US"/>
        </w:rPr>
        <w:t xml:space="preserve">États membres de </w:t>
      </w:r>
      <w:r w:rsidRPr="001E5F35">
        <w:rPr>
          <w:b/>
          <w:bCs/>
          <w:lang w:val="en-US"/>
        </w:rPr>
        <w:t xml:space="preserve">l'UE </w:t>
      </w:r>
      <w:r w:rsidRPr="001E5F35">
        <w:rPr>
          <w:b/>
          <w:bCs/>
          <w:lang w:val="en-US"/>
        </w:rPr>
        <w:t xml:space="preserve">sont membres du Conseil de l'Europe et parties à la Convention, </w:t>
      </w:r>
      <w:r>
        <w:rPr>
          <w:b/>
          <w:bCs/>
          <w:lang w:val="en-US"/>
        </w:rPr>
        <w:t xml:space="preserve">rappelant également </w:t>
      </w:r>
      <w:r w:rsidRPr="001E5F35">
        <w:rPr>
          <w:b/>
          <w:bCs/>
          <w:lang w:val="en-US"/>
        </w:rPr>
        <w:t xml:space="preserve">ses </w:t>
      </w:r>
      <w:r>
        <w:rPr>
          <w:b/>
          <w:noProof/>
        </w:rPr>
        <w:t xml:space="preserve">Lignes directrices sur le droit à la liberté et à la sécurité des personnes handicapées, ses Lignes directrices sur la désinstitutionnalisation, y compris dans les situations d'urgence, ses </w:t>
      </w:r>
      <w:hyperlink w:tooltip="update-description-open_letter_add_prot_ovi_conv-15_01-2025.docx" w:history="1" r:id="rId19">
        <w:r w:rsidR="00F40514">
          <w:rPr>
            <w:rStyle w:val="Hyperlink"/>
            <w:b/>
            <w:bCs/>
            <w:noProof/>
          </w:rPr>
          <w:t xml:space="preserve">Lettres</w:t>
        </w:r>
        <w:r w:rsidRPr="00835411">
          <w:rPr>
            <w:rStyle w:val="Hyperlink"/>
            <w:b/>
            <w:bCs/>
            <w:noProof/>
          </w:rPr>
          <w:t xml:space="preserve"> ouvertes sur </w:t>
        </w:r>
        <w:r w:rsidRPr="00835411">
          <w:rPr>
            <w:rStyle w:val="Hyperlink"/>
            <w:b/>
            <w:bCs/>
            <w:noProof/>
          </w:rPr>
          <w:t xml:space="preserve">le projet de Protocole facultatif à la Convention d'Oviedo sur la bioéthique </w:t>
        </w:r>
      </w:hyperlink>
      <w:r>
        <w:rPr>
          <w:b/>
          <w:noProof/>
        </w:rPr>
        <w:t xml:space="preserve">publiées </w:t>
      </w:r>
      <w:r w:rsidR="00633869">
        <w:rPr>
          <w:b/>
          <w:noProof/>
        </w:rPr>
        <w:t xml:space="preserve">en </w:t>
      </w:r>
      <w:r w:rsidR="00F40514">
        <w:rPr>
          <w:b/>
          <w:noProof/>
        </w:rPr>
        <w:t xml:space="preserve">2021 et </w:t>
      </w:r>
      <w:r>
        <w:rPr>
          <w:b/>
          <w:noProof/>
        </w:rPr>
        <w:t xml:space="preserve">2025</w:t>
      </w:r>
      <w:r>
        <w:rPr>
          <w:b/>
          <w:bCs/>
          <w:lang w:val="en-US"/>
        </w:rPr>
        <w:t xml:space="preserve">, et sa Déclaration </w:t>
      </w:r>
      <w:r w:rsidRPr="00835411">
        <w:rPr>
          <w:b/>
          <w:bCs/>
          <w:lang w:val="en-US"/>
        </w:rPr>
        <w:t xml:space="preserve">appelant les États</w:t>
      </w:r>
      <w:r w:rsidRPr="00835411">
        <w:rPr>
          <w:b/>
          <w:bCs/>
          <w:lang w:val="en-US"/>
        </w:rPr>
        <w:lastRenderedPageBreak/>
      </w:r>
      <w:r w:rsidRPr="00835411">
        <w:rPr>
          <w:b/>
          <w:bCs/>
          <w:lang w:val="en-US"/>
        </w:rPr>
        <w:t xml:space="preserve"> parties à s'opposer au projet de Protocole additionnel à la Convention d'Oviedo </w:t>
      </w:r>
      <w:r>
        <w:rPr>
          <w:b/>
          <w:bCs/>
          <w:lang w:val="en-US"/>
        </w:rPr>
        <w:t xml:space="preserve">(2018), </w:t>
      </w:r>
      <w:r w:rsidRPr="001E5F35">
        <w:rPr>
          <w:b/>
          <w:bCs/>
          <w:lang w:val="en-US"/>
        </w:rPr>
        <w:t xml:space="preserve">recommande à l'Union européenne </w:t>
      </w:r>
      <w:r w:rsidRPr="00B52E19">
        <w:rPr>
          <w:b/>
          <w:noProof/>
        </w:rPr>
        <w:t xml:space="preserve">: </w:t>
      </w:r>
    </w:p>
    <w:p w:rsidRPr="0090005B" w:rsidR="00AE3C9D" w:rsidP="00AE3C9D" w:rsidRDefault="00AE3C9D" w14:paraId="6B217F4B" w14:textId="57D2F8A9">
      <w:pPr>
        <w:pStyle w:val="SingleTxtG"/>
        <w:ind w:firstLine="567"/>
        <w:rPr>
          <w:b/>
          <w:noProof/>
        </w:rPr>
      </w:pPr>
      <w:r w:rsidRPr="0090005B">
        <w:rPr>
          <w:b/>
          <w:noProof/>
        </w:rPr>
        <w:t xml:space="preserve">(a)</w:t>
      </w:r>
      <w:r w:rsidRPr="0090005B">
        <w:rPr>
          <w:b/>
          <w:noProof/>
        </w:rPr>
        <w:tab/>
      </w:r>
      <w:r w:rsidRPr="0090005B" w:rsidR="00591247">
        <w:rPr>
          <w:b/>
          <w:noProof/>
        </w:rPr>
        <w:t xml:space="preserve">Sur la base du protocole d'accord signé par l'Union européenne et le Conseil de l'Europe le 11 mai 2007 et en sa qualité d'État partie à la Convention, d'</w:t>
      </w:r>
      <w:r w:rsidRPr="0090005B">
        <w:rPr>
          <w:b/>
          <w:noProof/>
        </w:rPr>
        <w:t xml:space="preserve">exhorter les États membres à se retirer du projet de protocole additionnel à la Convention d'Oviedo ;</w:t>
      </w:r>
    </w:p>
    <w:p w:rsidRPr="00B52E19" w:rsidR="00C071E4" w:rsidP="00C15A45" w:rsidRDefault="00AE3C9D" w14:paraId="420A8EA2" w14:textId="62222C2A">
      <w:pPr>
        <w:pStyle w:val="SingleTxtG"/>
        <w:ind w:firstLine="567"/>
        <w:rPr>
          <w:b/>
          <w:noProof/>
        </w:rPr>
      </w:pPr>
      <w:r w:rsidRPr="0090005B">
        <w:rPr>
          <w:b/>
          <w:noProof/>
        </w:rPr>
        <w:t xml:space="preserve">(b)</w:t>
      </w:r>
      <w:r w:rsidRPr="0090005B">
        <w:rPr>
          <w:b/>
          <w:noProof/>
        </w:rPr>
        <w:tab/>
      </w:r>
      <w:r>
        <w:rPr>
          <w:b/>
          <w:noProof/>
        </w:rPr>
        <w:t xml:space="preserve">Élaborer </w:t>
      </w:r>
      <w:r w:rsidRPr="00B52E19">
        <w:rPr>
          <w:b/>
          <w:noProof/>
        </w:rPr>
        <w:t xml:space="preserve">une position commune </w:t>
      </w:r>
      <w:r>
        <w:rPr>
          <w:b/>
          <w:noProof/>
        </w:rPr>
        <w:t xml:space="preserve">avec les États membres et le Conseil de l'Europe </w:t>
      </w:r>
      <w:r w:rsidR="008F5210">
        <w:rPr>
          <w:b/>
          <w:noProof/>
        </w:rPr>
        <w:t xml:space="preserve">afin de </w:t>
      </w:r>
      <w:r>
        <w:rPr>
          <w:b/>
          <w:noProof/>
        </w:rPr>
        <w:t xml:space="preserve">mettre en place </w:t>
      </w:r>
      <w:r w:rsidRPr="00B52E19">
        <w:rPr>
          <w:b/>
          <w:noProof/>
        </w:rPr>
        <w:t xml:space="preserve">un cadre non coercitif </w:t>
      </w:r>
      <w:r>
        <w:rPr>
          <w:b/>
          <w:noProof/>
        </w:rPr>
        <w:t xml:space="preserve">sur la </w:t>
      </w:r>
      <w:r w:rsidRPr="00B52E19">
        <w:rPr>
          <w:b/>
          <w:noProof/>
        </w:rPr>
        <w:t xml:space="preserve">santé mentale, en étroite consultation et avec la participation active des personnes handicapées, par l'intermédiaire des organisations qui les représentent.  </w:t>
      </w:r>
    </w:p>
    <w:bookmarkEnd w:id="8"/>
    <w:p w:rsidRPr="00404879" w:rsidR="004E7F9F" w:rsidP="004E7F9F" w:rsidRDefault="004E7F9F" w14:paraId="26B8C072" w14:textId="18D3BD50">
      <w:pPr>
        <w:pStyle w:val="H23G"/>
      </w:pPr>
      <w:r>
        <w:tab/>
      </w:r>
      <w:r>
        <w:tab/>
      </w:r>
      <w:bookmarkStart w:name="_Hlk193808363" w:id="9"/>
      <w:r w:rsidRPr="00EB0747">
        <w:t xml:space="preserve">Droit de ne pas être soumis à la torture ni à des peines ou traitements cruels, inhumains ou dégradants </w:t>
      </w:r>
      <w:r w:rsidRPr="00EB0747">
        <w:br/>
      </w:r>
      <w:r w:rsidRPr="00EB0747">
        <w:t xml:space="preserve">(art. 15)</w:t>
      </w:r>
    </w:p>
    <w:p w:rsidR="00BB7207" w:rsidP="0090005B" w:rsidRDefault="00BB7207" w14:paraId="7A40E0C4" w14:textId="7099ED62">
      <w:pPr>
        <w:pStyle w:val="SingleTxtG"/>
        <w:numPr>
          <w:ilvl w:val="0"/>
          <w:numId w:val="22"/>
        </w:numPr>
        <w:ind w:start="1134" w:firstLine="0"/>
      </w:pPr>
      <w:r w:rsidRPr="00EB0747">
        <w:t xml:space="preserve">Le Comité est préoccupé par</w:t>
      </w:r>
    </w:p>
    <w:p w:rsidR="00A3079C" w:rsidP="0090005B" w:rsidRDefault="00A3079C" w14:paraId="1C3C8A3F" w14:textId="540525D1">
      <w:pPr>
        <w:pStyle w:val="SingleTxtG"/>
        <w:ind w:firstLine="567"/>
      </w:pPr>
      <w:r>
        <w:t xml:space="preserve">(a)</w:t>
      </w:r>
      <w:r>
        <w:tab/>
      </w:r>
      <w:r>
        <w:t xml:space="preserve">Le traitement forcé des personnes souffrant de handicaps intellectuels et/ou psychosociaux et des enfants autistes dans les institutions des États membres, y compris l'utilisation de contraintes physiques et pharmacologiques, l'</w:t>
      </w:r>
      <w:r w:rsidR="00631AD5">
        <w:t xml:space="preserve">isolement cellulaire</w:t>
      </w:r>
      <w:r w:rsidR="00972340">
        <w:t xml:space="preserve">, la </w:t>
      </w:r>
      <w:r w:rsidR="00972340">
        <w:t xml:space="preserve">thérapie électro-convulsive </w:t>
      </w:r>
      <w:r w:rsidR="003C514E">
        <w:t xml:space="preserve">forcée </w:t>
      </w:r>
      <w:r w:rsidR="00972340">
        <w:t xml:space="preserve">et d'autres </w:t>
      </w:r>
      <w:r>
        <w:t xml:space="preserve">pratiques </w:t>
      </w:r>
      <w:r w:rsidR="00972340">
        <w:t xml:space="preserve">coercitives </w:t>
      </w:r>
      <w:r w:rsidR="00631AD5">
        <w:t xml:space="preserve">; </w:t>
      </w:r>
    </w:p>
    <w:p w:rsidR="00A3079C" w:rsidP="0090005B" w:rsidRDefault="00A3079C" w14:paraId="5990526D" w14:textId="128906F2">
      <w:pPr>
        <w:pStyle w:val="SingleTxtG"/>
        <w:ind w:firstLine="567"/>
      </w:pPr>
      <w:r>
        <w:t xml:space="preserve">(b)</w:t>
      </w:r>
      <w:r>
        <w:tab/>
      </w:r>
      <w:r>
        <w:t xml:space="preserve">le financement par </w:t>
      </w:r>
      <w:r w:rsidR="00D71C6A">
        <w:t xml:space="preserve">l'UE </w:t>
      </w:r>
      <w:r>
        <w:t xml:space="preserve">de recherches qui, de facto, n'exigent pas que les personnes handicapées concernées bénéficient du soutien nécessaire pour donner leur consentement personnel, libre et pleinement éclairé ; </w:t>
      </w:r>
    </w:p>
    <w:p w:rsidR="00A3079C" w:rsidP="0090005B" w:rsidRDefault="00A3079C" w14:paraId="10B6FAA4" w14:textId="70BBA8B2">
      <w:pPr>
        <w:pStyle w:val="SingleTxtG"/>
        <w:ind w:firstLine="567"/>
      </w:pPr>
      <w:r>
        <w:t xml:space="preserve">(c)</w:t>
      </w:r>
      <w:r>
        <w:tab/>
      </w:r>
      <w:r>
        <w:t xml:space="preserve">l'absence de mécanismes visant à </w:t>
      </w:r>
      <w:r w:rsidR="00972340">
        <w:t xml:space="preserve">prévenir la </w:t>
      </w:r>
      <w:r>
        <w:t xml:space="preserve">torture </w:t>
      </w:r>
      <w:r w:rsidR="00972340">
        <w:t xml:space="preserve">et autres peines ou traitements cruels, inhumains ou dégradants </w:t>
      </w:r>
      <w:r>
        <w:t xml:space="preserve">à l'encontre des personnes handicapées dans le cadre de l'action extérieure de l'UE. </w:t>
      </w:r>
    </w:p>
    <w:p w:rsidRPr="00A3079C" w:rsidR="00A3079C" w:rsidP="0090005B" w:rsidRDefault="00A3079C" w14:paraId="56BA0D4A" w14:textId="268638C5">
      <w:pPr>
        <w:pStyle w:val="SingleTxtG"/>
        <w:numPr>
          <w:ilvl w:val="0"/>
          <w:numId w:val="22"/>
        </w:numPr>
        <w:ind w:start="1134" w:firstLine="0"/>
        <w:rPr>
          <w:b/>
          <w:bCs/>
        </w:rPr>
      </w:pPr>
      <w:r w:rsidRPr="00A3079C">
        <w:rPr>
          <w:b/>
          <w:bCs/>
        </w:rPr>
        <w:t xml:space="preserve">Rappelant ses lignes directrices sur la désinstitutionnalisation, y compris dans les situations d'urgence, le Comité recommande à l'</w:t>
      </w:r>
      <w:r w:rsidR="00004F41">
        <w:rPr>
          <w:b/>
          <w:bCs/>
        </w:rPr>
        <w:t xml:space="preserve">Union européenne</w:t>
      </w:r>
      <w:r w:rsidRPr="00A3079C">
        <w:rPr>
          <w:b/>
          <w:bCs/>
        </w:rPr>
        <w:t xml:space="preserve">, en étroite consultation et avec la participation active des personnes handicapées, par l'intermédiaire des organisations qui les représentent :</w:t>
      </w:r>
    </w:p>
    <w:p w:rsidRPr="00A3079C" w:rsidR="00A3079C" w:rsidP="0090005B" w:rsidRDefault="00A3079C" w14:paraId="3A9CB410" w14:textId="25D6924F">
      <w:pPr>
        <w:pStyle w:val="SingleTxtG"/>
        <w:ind w:firstLine="567"/>
        <w:rPr>
          <w:b/>
          <w:bCs/>
        </w:rPr>
      </w:pPr>
      <w:r w:rsidRPr="00A3079C">
        <w:rPr>
          <w:b/>
          <w:bCs/>
        </w:rPr>
        <w:t xml:space="preserve">(a)</w:t>
      </w:r>
      <w:r w:rsidRPr="00A3079C">
        <w:rPr>
          <w:b/>
          <w:bCs/>
        </w:rPr>
        <w:tab/>
      </w:r>
      <w:r w:rsidRPr="00A3079C">
        <w:rPr>
          <w:b/>
          <w:bCs/>
        </w:rPr>
        <w:t xml:space="preserve">Développe des initiatives et des actions concrètes dans le cadre de la seconde moitié de la stratégie en faveur des personnes handicapées afin d'aligner la politique et les normes de l'UE en matière de traitement psychiatrique des personnes handicapées sur la Convention, et promulgue une interdiction absolue </w:t>
      </w:r>
      <w:r w:rsidR="00631AD5">
        <w:rPr>
          <w:b/>
          <w:bCs/>
        </w:rPr>
        <w:t xml:space="preserve">de </w:t>
      </w:r>
      <w:r w:rsidRPr="00A3079C">
        <w:rPr>
          <w:b/>
          <w:bCs/>
        </w:rPr>
        <w:t xml:space="preserve">toutes les interventions psychiatriques forcées </w:t>
      </w:r>
      <w:r w:rsidR="00631AD5">
        <w:rPr>
          <w:b/>
          <w:bCs/>
        </w:rPr>
        <w:t xml:space="preserve">;</w:t>
      </w:r>
    </w:p>
    <w:p w:rsidRPr="00A3079C" w:rsidR="00A3079C" w:rsidP="0090005B" w:rsidRDefault="00A3079C" w14:paraId="28B49E09" w14:textId="19734941">
      <w:pPr>
        <w:pStyle w:val="SingleTxtG"/>
        <w:ind w:firstLine="567"/>
        <w:rPr>
          <w:b/>
          <w:bCs/>
        </w:rPr>
      </w:pPr>
      <w:r w:rsidRPr="00A3079C">
        <w:rPr>
          <w:b/>
          <w:bCs/>
        </w:rPr>
        <w:t xml:space="preserve">(b)</w:t>
      </w:r>
      <w:r w:rsidRPr="00A3079C">
        <w:rPr>
          <w:b/>
          <w:bCs/>
        </w:rPr>
        <w:tab/>
      </w:r>
      <w:r w:rsidRPr="00A3079C">
        <w:rPr>
          <w:b/>
          <w:bCs/>
        </w:rPr>
        <w:t xml:space="preserve">veiller à ce que </w:t>
      </w:r>
      <w:r w:rsidRPr="00A3079C">
        <w:rPr>
          <w:b/>
          <w:bCs/>
        </w:rPr>
        <w:t xml:space="preserve">les recherches </w:t>
      </w:r>
      <w:r w:rsidR="00D71C6A">
        <w:rPr>
          <w:b/>
          <w:bCs/>
        </w:rPr>
        <w:t xml:space="preserve">financées par l'UE </w:t>
      </w:r>
      <w:r w:rsidRPr="00A3079C">
        <w:rPr>
          <w:b/>
          <w:bCs/>
        </w:rPr>
        <w:t xml:space="preserve">impliquant des personnes handicapées n'autorisent pas la prise de décision de substitution et exigent explicitement </w:t>
      </w:r>
      <w:r w:rsidRPr="00A3079C">
        <w:rPr>
          <w:b/>
          <w:bCs/>
        </w:rPr>
        <w:t xml:space="preserve">leur consentement personnel, libre et pleinement éclairé. Adopter des lignes directrices pour l'obtention d'un tel consentement, y compris de la part des personnes sourdes et des personnes souffrant de déficiences intellectuelles ;</w:t>
      </w:r>
    </w:p>
    <w:p w:rsidRPr="00A3079C" w:rsidR="00A3079C" w:rsidP="0090005B" w:rsidRDefault="00A3079C" w14:paraId="341F790A" w14:textId="3BA8D0B0">
      <w:pPr>
        <w:pStyle w:val="SingleTxtG"/>
        <w:ind w:firstLine="567"/>
        <w:rPr>
          <w:b/>
          <w:bCs/>
        </w:rPr>
      </w:pPr>
      <w:r w:rsidRPr="00A3079C">
        <w:rPr>
          <w:b/>
          <w:bCs/>
        </w:rPr>
        <w:t xml:space="preserve">(c)</w:t>
      </w:r>
      <w:r w:rsidRPr="00A3079C">
        <w:rPr>
          <w:b/>
          <w:bCs/>
        </w:rPr>
        <w:tab/>
      </w:r>
      <w:r w:rsidRPr="00D24C7A" w:rsidR="00D71C6A">
        <w:rPr>
          <w:b/>
          <w:bCs/>
        </w:rPr>
        <w:t xml:space="preserve">Mettre en place des mécanismes visant à prévenir les </w:t>
      </w:r>
      <w:r w:rsidR="009027C5">
        <w:rPr>
          <w:b/>
          <w:bCs/>
        </w:rPr>
        <w:t xml:space="preserve">traitements forcés des personnes handicapées qui peuvent être assimilés à la </w:t>
      </w:r>
      <w:r w:rsidRPr="00D24C7A" w:rsidR="00D71C6A">
        <w:rPr>
          <w:b/>
          <w:bCs/>
        </w:rPr>
        <w:t xml:space="preserve">torture et à d'autres peines ou traitements cruels, inhumains ou dégradants</w:t>
      </w:r>
      <w:r w:rsidRPr="00D24C7A" w:rsidR="00D44F10">
        <w:rPr>
          <w:b/>
          <w:bCs/>
        </w:rPr>
        <w:t xml:space="preserve">.</w:t>
      </w:r>
    </w:p>
    <w:bookmarkEnd w:id="9"/>
    <w:p w:rsidRPr="00A3079C" w:rsidR="00A3079C" w:rsidP="0090005B" w:rsidRDefault="0090005B" w14:paraId="36735032" w14:textId="77FA924B">
      <w:pPr>
        <w:pStyle w:val="H23G"/>
      </w:pPr>
      <w:r>
        <w:tab/>
      </w:r>
      <w:bookmarkStart w:name="_Hlk193805705" w:id="10"/>
      <w:r>
        <w:tab/>
      </w:r>
      <w:r w:rsidRPr="00A3079C" w:rsidR="00A3079C">
        <w:tab/>
      </w:r>
      <w:r w:rsidRPr="00A3079C" w:rsidR="00A3079C">
        <w:t xml:space="preserve">Droit de ne pas être soumis à l'exploitation, à la violence et à la maltraitance (art. 16)</w:t>
      </w:r>
    </w:p>
    <w:p w:rsidR="00A3079C" w:rsidP="0090005B" w:rsidRDefault="00A3079C" w14:paraId="00D866A9" w14:textId="4DF91EF6">
      <w:pPr>
        <w:pStyle w:val="SingleTxtG"/>
        <w:numPr>
          <w:ilvl w:val="0"/>
          <w:numId w:val="22"/>
        </w:numPr>
        <w:ind w:start="1134" w:firstLine="0"/>
      </w:pPr>
      <w:r>
        <w:t xml:space="preserve">Le Comité note avec préoccupation que</w:t>
      </w:r>
    </w:p>
    <w:p w:rsidR="00A3079C" w:rsidP="0090005B" w:rsidRDefault="00A3079C" w14:paraId="08E7025E" w14:textId="3D08744E">
      <w:pPr>
        <w:pStyle w:val="SingleTxtG"/>
        <w:ind w:firstLine="567"/>
      </w:pPr>
      <w:r>
        <w:t xml:space="preserve">(a)</w:t>
      </w:r>
      <w:r>
        <w:tab/>
      </w:r>
      <w:r>
        <w:t xml:space="preserve">Les personnes handicapées </w:t>
      </w:r>
      <w:r>
        <w:t xml:space="preserve">sont exposées à un risque </w:t>
      </w:r>
      <w:r w:rsidR="00971922">
        <w:t xml:space="preserve">accru </w:t>
      </w:r>
      <w:r>
        <w:t xml:space="preserve">de violence et de maltraitance, en particulier les femmes, les personnes âgées, les personnes LGBTIQ+ et les enfants handicapés, ainsi que les personnes handicapées vivant en milieu fermé ;</w:t>
      </w:r>
    </w:p>
    <w:p w:rsidR="00A3079C" w:rsidP="0090005B" w:rsidRDefault="00A3079C" w14:paraId="215280A1" w14:textId="7AC2C6E2">
      <w:pPr>
        <w:pStyle w:val="SingleTxtG"/>
        <w:ind w:firstLine="567"/>
      </w:pPr>
      <w:r>
        <w:t xml:space="preserve">(b)</w:t>
      </w:r>
      <w:r>
        <w:tab/>
      </w:r>
      <w:r>
        <w:t xml:space="preserve">La directive relative à la lutte contre la violence à l'égard des femmes n'</w:t>
      </w:r>
      <w:r w:rsidR="001C4B77">
        <w:t xml:space="preserve">interdit </w:t>
      </w:r>
      <w:r>
        <w:t xml:space="preserve">pas </w:t>
      </w:r>
      <w:r w:rsidR="001C4B77">
        <w:t xml:space="preserve">explicitement le </w:t>
      </w:r>
      <w:r>
        <w:t xml:space="preserve">viol, la stérilisation forcée, le harcèlement sexuel </w:t>
      </w:r>
      <w:r w:rsidR="00971922">
        <w:t xml:space="preserve">et d'</w:t>
      </w:r>
      <w:r>
        <w:t xml:space="preserve">autres formes de violence fondée sur le genre </w:t>
      </w:r>
      <w:r w:rsidR="00633869">
        <w:t xml:space="preserve">;</w:t>
      </w:r>
    </w:p>
    <w:p w:rsidR="00A3079C" w:rsidP="0090005B" w:rsidRDefault="00A3079C" w14:paraId="05E3B606" w14:textId="0671BA86">
      <w:pPr>
        <w:pStyle w:val="SingleTxtG"/>
        <w:ind w:firstLine="567"/>
      </w:pPr>
      <w:r w:rsidR="00110207">
        <w:t xml:space="preserve">(c</w:t>
      </w:r>
      <w:r>
        <w:t xml:space="preserve">)</w:t>
      </w:r>
      <w:r>
        <w:tab/>
      </w:r>
      <w:r>
        <w:t xml:space="preserve">L'accès aux services spécialisés pour les victimes handicapées de la violence fondée sur le genre est insuffisant et il n'existe pas de mécanismes de protection spécifiques pour les femmes et les filles sourdes qui accèdent aux services ou qui signalent des abus ;</w:t>
      </w:r>
    </w:p>
    <w:p w:rsidR="00A3079C" w:rsidP="0090005B" w:rsidRDefault="00A3079C" w14:paraId="0BCAC3F2" w14:textId="540D66BE">
      <w:pPr>
        <w:pStyle w:val="SingleTxtG"/>
        <w:ind w:firstLine="567"/>
      </w:pPr>
      <w:r w:rsidR="00110207">
        <w:t xml:space="preserve">(d</w:t>
      </w:r>
      <w:r>
        <w:t xml:space="preserve">)</w:t>
      </w:r>
      <w:r>
        <w:tab/>
      </w:r>
      <w:r>
        <w:t xml:space="preserve">Il n'y a pas de contrôle systématique </w:t>
      </w:r>
      <w:r w:rsidR="00971922">
        <w:t xml:space="preserve">des </w:t>
      </w:r>
      <w:r>
        <w:t xml:space="preserve">cadres institutionnels.</w:t>
      </w:r>
    </w:p>
    <w:p w:rsidRPr="00A3079C" w:rsidR="00A3079C" w:rsidP="0090005B" w:rsidRDefault="00A3079C" w14:paraId="7CCBE47E" w14:textId="1D95A852">
      <w:pPr>
        <w:pStyle w:val="SingleTxtG"/>
        <w:numPr>
          <w:ilvl w:val="0"/>
          <w:numId w:val="22"/>
        </w:numPr>
        <w:ind w:start="1134" w:firstLine="0"/>
        <w:rPr>
          <w:b/>
          <w:bCs/>
        </w:rPr>
      </w:pPr>
      <w:r w:rsidRPr="00A3079C">
        <w:rPr>
          <w:b/>
          <w:bCs/>
        </w:rPr>
        <w:lastRenderedPageBreak/>
      </w:r>
      <w:r w:rsidRPr="00A3079C">
        <w:rPr>
          <w:b/>
          <w:bCs/>
        </w:rPr>
        <w:t xml:space="preserve">Rappelant sa déclaration du 24 novembre 2021 sur l'élimination de la violence sexiste à l'égard des femmes et des filles handicapées, le Comité recommande à l'Union européenne :</w:t>
      </w:r>
    </w:p>
    <w:p w:rsidRPr="00A3079C" w:rsidR="00A3079C" w:rsidP="0090005B" w:rsidRDefault="00A3079C" w14:paraId="4CF97336" w14:textId="4CD6744F">
      <w:pPr>
        <w:pStyle w:val="SingleTxtG"/>
        <w:ind w:firstLine="567"/>
        <w:rPr>
          <w:b/>
          <w:bCs/>
        </w:rPr>
      </w:pPr>
      <w:r w:rsidRPr="00A3079C">
        <w:rPr>
          <w:b/>
          <w:bCs/>
        </w:rPr>
        <w:t xml:space="preserve">(</w:t>
      </w:r>
      <w:r w:rsidR="00D520A8">
        <w:rPr>
          <w:b/>
          <w:bCs/>
        </w:rPr>
        <w:t xml:space="preserve">a</w:t>
      </w:r>
      <w:r w:rsidRPr="00A3079C">
        <w:rPr>
          <w:b/>
          <w:bCs/>
        </w:rPr>
        <w:t xml:space="preserve">)</w:t>
      </w:r>
      <w:r w:rsidRPr="00A3079C">
        <w:rPr>
          <w:b/>
          <w:bCs/>
        </w:rPr>
        <w:tab/>
      </w:r>
      <w:r w:rsidR="00CF00D9">
        <w:rPr>
          <w:b/>
          <w:bCs/>
        </w:rPr>
        <w:t xml:space="preserve">Interdise explicitement le </w:t>
      </w:r>
      <w:r w:rsidRPr="00A3079C">
        <w:rPr>
          <w:b/>
          <w:bCs/>
        </w:rPr>
        <w:t xml:space="preserve">viol, la stérilisation forcée et le harcèlement sexuel ainsi que d'autres formes de violence fondée sur le genre à l'encontre des personnes handicapées </w:t>
      </w:r>
      <w:r w:rsidR="00CF00D9">
        <w:rPr>
          <w:b/>
          <w:bCs/>
        </w:rPr>
        <w:t xml:space="preserve">; </w:t>
      </w:r>
    </w:p>
    <w:p w:rsidRPr="00A3079C" w:rsidR="00A3079C" w:rsidP="0090005B" w:rsidRDefault="00A3079C" w14:paraId="18C5AF3E" w14:textId="23789316">
      <w:pPr>
        <w:pStyle w:val="SingleTxtG"/>
        <w:ind w:firstLine="567"/>
        <w:rPr>
          <w:b/>
          <w:bCs/>
        </w:rPr>
      </w:pPr>
      <w:r w:rsidR="00110207">
        <w:rPr>
          <w:b/>
          <w:bCs/>
        </w:rPr>
        <w:t xml:space="preserve">(b</w:t>
      </w:r>
      <w:r w:rsidRPr="00A3079C">
        <w:rPr>
          <w:b/>
          <w:bCs/>
        </w:rPr>
        <w:t xml:space="preserve">)</w:t>
      </w:r>
      <w:r w:rsidRPr="00A3079C">
        <w:rPr>
          <w:b/>
          <w:bCs/>
        </w:rPr>
        <w:tab/>
      </w:r>
      <w:r w:rsidRPr="00A3079C">
        <w:rPr>
          <w:b/>
          <w:bCs/>
        </w:rPr>
        <w:t xml:space="preserve">De veiller à ce que les personnes handicapées, par l'intermédiaire des organisations qui les représentent, soient étroitement consultées et activement associées à la mise en œuvre et au suivi de la Stratégie sur les droits de l'enfant, de la Convention d'Istanbul</w:t>
      </w:r>
      <w:r w:rsidR="001C4B77">
        <w:rPr>
          <w:b/>
          <w:bCs/>
        </w:rPr>
        <w:t xml:space="preserve">, de la </w:t>
      </w:r>
      <w:r w:rsidRPr="00A3079C">
        <w:rPr>
          <w:b/>
          <w:bCs/>
        </w:rPr>
        <w:t xml:space="preserve">Directive sur la lutte contre la violence à l'égard des femmes et de la Directive sur la lutte contre la traite des êtres humains ;</w:t>
      </w:r>
    </w:p>
    <w:p w:rsidRPr="00A3079C" w:rsidR="00A3079C" w:rsidP="0090005B" w:rsidRDefault="00A3079C" w14:paraId="09D7EC14" w14:textId="10F8F6F1">
      <w:pPr>
        <w:pStyle w:val="SingleTxtG"/>
        <w:ind w:firstLine="567"/>
        <w:rPr>
          <w:b/>
          <w:bCs/>
        </w:rPr>
      </w:pPr>
      <w:r w:rsidRPr="00A3079C">
        <w:rPr>
          <w:b/>
          <w:bCs/>
        </w:rPr>
        <w:t xml:space="preserve">(</w:t>
      </w:r>
      <w:r w:rsidR="00DB5CA4">
        <w:rPr>
          <w:b/>
          <w:bCs/>
        </w:rPr>
        <w:t xml:space="preserve">c</w:t>
      </w:r>
      <w:r w:rsidRPr="00A3079C">
        <w:rPr>
          <w:b/>
          <w:bCs/>
        </w:rPr>
        <w:t xml:space="preserve">)</w:t>
      </w:r>
      <w:r w:rsidRPr="00A3079C">
        <w:rPr>
          <w:b/>
          <w:bCs/>
        </w:rPr>
        <w:tab/>
      </w:r>
      <w:r w:rsidRPr="00A3079C">
        <w:rPr>
          <w:b/>
          <w:bCs/>
        </w:rPr>
        <w:t xml:space="preserve">lutter contre la violence et les mauvais traitements infligés aux enfants et aux adultes handicapés en milieu institutionnel, y compris dans les établissements psychiatriques, et fournir des fonds pour la mise en place d'un contrôle indépendant de ces établissements.</w:t>
      </w:r>
    </w:p>
    <w:bookmarkEnd w:id="10"/>
    <w:p w:rsidRPr="000D5A94" w:rsidR="00C97C04" w:rsidP="00C97C04" w:rsidRDefault="00C97C04" w14:paraId="548A7471" w14:textId="723766E1">
      <w:pPr>
        <w:pStyle w:val="H23G"/>
      </w:pPr>
      <w:r w:rsidRPr="000D5A94">
        <w:tab/>
      </w:r>
      <w:r w:rsidRPr="000D5A94">
        <w:tab/>
      </w:r>
      <w:bookmarkStart w:name="_Hlk193808086" w:id="11"/>
      <w:r w:rsidRPr="00AA0BF3">
        <w:t xml:space="preserve">Protection de l'intégrité de la personne (art. 17</w:t>
      </w:r>
      <w:r w:rsidRPr="000D5A94">
        <w:t xml:space="preserve">) </w:t>
      </w:r>
    </w:p>
    <w:p w:rsidR="00AA0BF3" w:rsidP="0090005B" w:rsidRDefault="00071DCE" w14:paraId="371B6364" w14:textId="1969AF91">
      <w:pPr>
        <w:pStyle w:val="SingleTxtG"/>
        <w:numPr>
          <w:ilvl w:val="0"/>
          <w:numId w:val="22"/>
        </w:numPr>
        <w:ind w:start="1134" w:firstLine="0"/>
      </w:pPr>
      <w:r w:rsidRPr="00AA0BF3">
        <w:t xml:space="preserve">Le Comité est préoccupé par le fait que </w:t>
      </w:r>
      <w:r w:rsidRPr="00AA0BF3" w:rsidR="00AA0BF3">
        <w:t xml:space="preserve">les personnes souffrant de handicaps intellectuels et/ou psychosociaux, y compris les femmes </w:t>
      </w:r>
      <w:r w:rsidR="000A5AC5">
        <w:t xml:space="preserve">et les enfants </w:t>
      </w:r>
      <w:r w:rsidRPr="00AA0BF3" w:rsidR="00AA0BF3">
        <w:t xml:space="preserve">handicapés, sont exposées à des formes de traitement nuisibles, invasives et irréversibles, y compris la stérilisation, l'avortement et la contraception forcés.</w:t>
      </w:r>
    </w:p>
    <w:p w:rsidRPr="00881DD1" w:rsidR="00AA0BF3" w:rsidP="00881DD1" w:rsidRDefault="00AA0BF3" w14:paraId="43BD85B8" w14:textId="29290852">
      <w:pPr>
        <w:pStyle w:val="SingleTxtG"/>
        <w:numPr>
          <w:ilvl w:val="0"/>
          <w:numId w:val="22"/>
        </w:numPr>
        <w:ind w:start="1134" w:firstLine="0"/>
        <w:rPr>
          <w:b/>
          <w:bCs/>
          <w:lang w:val="en-US"/>
        </w:rPr>
      </w:pPr>
      <w:r w:rsidRPr="00881DD1">
        <w:rPr>
          <w:b/>
          <w:bCs/>
        </w:rPr>
        <w:t xml:space="preserve">Le Comité recommande à l'Union européenne </w:t>
      </w:r>
      <w:r w:rsidR="0028514D">
        <w:rPr>
          <w:b/>
          <w:bCs/>
        </w:rPr>
        <w:t xml:space="preserve">de veiller à ce que les </w:t>
      </w:r>
      <w:r w:rsidRPr="00881DD1">
        <w:rPr>
          <w:b/>
          <w:bCs/>
          <w:lang w:val="en-US"/>
        </w:rPr>
        <w:t xml:space="preserve">personnes handicapées, y compris les personnes présentant un handicap intellectuel et/ou psychosocial, </w:t>
      </w:r>
      <w:r w:rsidRPr="00881DD1">
        <w:rPr>
          <w:b/>
          <w:bCs/>
          <w:lang w:val="en-US"/>
        </w:rPr>
        <w:t xml:space="preserve">ne soient pas soumises à des </w:t>
      </w:r>
      <w:r w:rsidRPr="00881DD1">
        <w:rPr>
          <w:b/>
          <w:bCs/>
          <w:lang w:val="en-US"/>
        </w:rPr>
        <w:t xml:space="preserve">traitements </w:t>
      </w:r>
      <w:r w:rsidRPr="00881DD1">
        <w:rPr>
          <w:b/>
          <w:bCs/>
          <w:lang w:val="en-US"/>
        </w:rPr>
        <w:t xml:space="preserve">involontaires nocifs, invasifs et irréversibles</w:t>
      </w:r>
      <w:r w:rsidRPr="00881DD1">
        <w:rPr>
          <w:b/>
          <w:bCs/>
          <w:lang w:val="en-US"/>
        </w:rPr>
        <w:t xml:space="preserve">, tels que la stérilisation, l'avortement et la contraception forcés, et à ce que toute forme de traitement des personnes handicapées soit fondée sur leur </w:t>
      </w:r>
      <w:r w:rsidRPr="00881DD1">
        <w:rPr>
          <w:b/>
          <w:bCs/>
          <w:lang w:val="en-US"/>
        </w:rPr>
        <w:t xml:space="preserve">consentement </w:t>
      </w:r>
      <w:r w:rsidRPr="00881DD1">
        <w:rPr>
          <w:b/>
          <w:bCs/>
          <w:lang w:val="en-US"/>
        </w:rPr>
        <w:t xml:space="preserve">personnel, </w:t>
      </w:r>
      <w:r w:rsidRPr="00881DD1" w:rsidR="00A3079C">
        <w:rPr>
          <w:b/>
          <w:bCs/>
          <w:lang w:val="en-US"/>
        </w:rPr>
        <w:t xml:space="preserve">libre </w:t>
      </w:r>
      <w:r w:rsidRPr="00881DD1">
        <w:rPr>
          <w:b/>
          <w:bCs/>
          <w:lang w:val="en-US"/>
        </w:rPr>
        <w:t xml:space="preserve">et pleinement éclairé.</w:t>
      </w:r>
    </w:p>
    <w:bookmarkEnd w:id="11"/>
    <w:p w:rsidR="00C97C04" w:rsidP="00225EC8" w:rsidRDefault="00C97C04" w14:paraId="1D227C5C" w14:textId="29C21CD3">
      <w:pPr>
        <w:pStyle w:val="H23G"/>
      </w:pPr>
      <w:r w:rsidRPr="000D5A94">
        <w:tab/>
      </w:r>
      <w:r w:rsidRPr="000D5A94">
        <w:tab/>
      </w:r>
      <w:bookmarkStart w:name="_Hlk193809121" w:id="12"/>
      <w:r w:rsidRPr="00977A28">
        <w:t xml:space="preserve">Liberté de circulation et nationalité (art. 18)</w:t>
      </w:r>
    </w:p>
    <w:p w:rsidRPr="00881DD1" w:rsidR="00463AF5" w:rsidP="00881DD1" w:rsidRDefault="00463AF5" w14:paraId="2F3D8092" w14:textId="46750BA3">
      <w:pPr>
        <w:pStyle w:val="SingleTxtG"/>
        <w:numPr>
          <w:ilvl w:val="0"/>
          <w:numId w:val="22"/>
        </w:numPr>
        <w:ind w:start="1134" w:firstLine="0"/>
      </w:pPr>
      <w:r w:rsidRPr="00881DD1">
        <w:t xml:space="preserve">Le Comité est préoccupé par le fait que</w:t>
      </w:r>
    </w:p>
    <w:p w:rsidR="00463AF5" w:rsidP="00463AF5" w:rsidRDefault="00463AF5" w14:paraId="657A284B" w14:textId="78023B57">
      <w:pPr>
        <w:pStyle w:val="SingleTxtG"/>
        <w:ind w:firstLine="567"/>
        <w:rPr>
          <w:lang w:val="en-US"/>
        </w:rPr>
      </w:pPr>
      <w:r w:rsidRPr="00881DD1">
        <w:t xml:space="preserve">(</w:t>
      </w:r>
      <w:r w:rsidRPr="00881DD1">
        <w:rPr>
          <w:lang w:val="en-US"/>
        </w:rPr>
        <w:t xml:space="preserve">a)</w:t>
      </w:r>
      <w:r w:rsidRPr="00881DD1">
        <w:rPr>
          <w:lang w:val="en-US"/>
        </w:rPr>
        <w:tab/>
      </w:r>
      <w:r w:rsidRPr="00881DD1">
        <w:rPr>
          <w:lang w:val="en-US"/>
        </w:rPr>
        <w:t xml:space="preserve">La carte européenne d'invalidité et la carte de stationnement n'englobent pas les prestations de sécurité sociale ou de protection sociale essentielles </w:t>
      </w:r>
      <w:r w:rsidRPr="000B6813">
        <w:rPr>
          <w:lang w:val="en-US"/>
        </w:rPr>
        <w:t xml:space="preserve">à la réinstallation à long terme</w:t>
      </w:r>
      <w:r w:rsidRPr="000B6813">
        <w:rPr>
          <w:lang w:val="en-US"/>
        </w:rPr>
        <w:t xml:space="preserve">, et </w:t>
      </w:r>
      <w:r>
        <w:rPr>
          <w:lang w:val="en-US"/>
        </w:rPr>
        <w:t xml:space="preserve">que les États membres conservent une grande </w:t>
      </w:r>
      <w:r w:rsidRPr="000B6813">
        <w:rPr>
          <w:lang w:val="en-US"/>
        </w:rPr>
        <w:t xml:space="preserve">latitude </w:t>
      </w:r>
      <w:r>
        <w:rPr>
          <w:lang w:val="en-US"/>
        </w:rPr>
        <w:t xml:space="preserve">dans la définition des </w:t>
      </w:r>
      <w:r w:rsidRPr="000B6813">
        <w:rPr>
          <w:lang w:val="en-US"/>
        </w:rPr>
        <w:t xml:space="preserve">critères d'éligibilité et du statut de handicapé ;</w:t>
      </w:r>
    </w:p>
    <w:p w:rsidR="00463AF5" w:rsidP="00463AF5" w:rsidRDefault="00463AF5" w14:paraId="1A68BB7C" w14:textId="43F9BA65">
      <w:pPr>
        <w:pStyle w:val="SingleTxtG"/>
        <w:ind w:firstLine="567"/>
        <w:rPr>
          <w:lang w:val="en-US"/>
        </w:rPr>
      </w:pPr>
      <w:r w:rsidRPr="000B6813">
        <w:rPr>
          <w:lang w:val="en-US"/>
        </w:rPr>
        <w:t xml:space="preserve">(</w:t>
      </w:r>
      <w:r>
        <w:rPr>
          <w:lang w:val="en-US"/>
        </w:rPr>
        <w:t xml:space="preserve">b</w:t>
      </w:r>
      <w:r w:rsidRPr="000B6813">
        <w:rPr>
          <w:lang w:val="en-US"/>
        </w:rPr>
        <w:t xml:space="preserve">)</w:t>
      </w:r>
      <w:r>
        <w:rPr>
          <w:lang w:val="en-US"/>
        </w:rPr>
        <w:tab/>
      </w:r>
      <w:r>
        <w:rPr>
          <w:lang w:val="en-US"/>
        </w:rPr>
        <w:t xml:space="preserve">Les personnes handicapées, y compris les </w:t>
      </w:r>
      <w:r>
        <w:rPr>
          <w:lang w:val="en-US"/>
        </w:rPr>
        <w:t xml:space="preserve">personnes</w:t>
      </w:r>
      <w:r w:rsidRPr="000B6813">
        <w:rPr>
          <w:lang w:val="en-US"/>
        </w:rPr>
        <w:t xml:space="preserve"> autistes </w:t>
      </w:r>
      <w:r>
        <w:rPr>
          <w:lang w:val="en-US"/>
        </w:rPr>
        <w:t xml:space="preserve">et les personnes souffrant de handicaps intellectuels et/ou psychosociaux, </w:t>
      </w:r>
      <w:r w:rsidRPr="000B6813">
        <w:rPr>
          <w:lang w:val="en-US"/>
        </w:rPr>
        <w:t xml:space="preserve">rencontrent des </w:t>
      </w:r>
      <w:r>
        <w:rPr>
          <w:lang w:val="en-US"/>
        </w:rPr>
        <w:t xml:space="preserve">obstacles </w:t>
      </w:r>
      <w:r w:rsidRPr="000B6813">
        <w:rPr>
          <w:lang w:val="en-US"/>
        </w:rPr>
        <w:t xml:space="preserve">particuliers </w:t>
      </w:r>
      <w:r w:rsidRPr="000B6813">
        <w:rPr>
          <w:lang w:val="en-US"/>
        </w:rPr>
        <w:t xml:space="preserve">dans l'accès aux procédures d'évaluation pour obtenir la reconnaissance de leur handicap lorsqu'elles se déplacent d'un État membre à l'autre </w:t>
      </w:r>
      <w:r w:rsidR="00831759">
        <w:rPr>
          <w:lang w:val="en-US"/>
        </w:rPr>
        <w:t xml:space="preserve">;</w:t>
      </w:r>
    </w:p>
    <w:p w:rsidRPr="00C45EC4" w:rsidR="00977A28" w:rsidP="00881DD1" w:rsidRDefault="00977A28" w14:paraId="1B63F3EA" w14:textId="6AB3F703">
      <w:pPr>
        <w:pStyle w:val="SingleTxtG"/>
        <w:ind w:firstLine="567"/>
      </w:pPr>
      <w:r>
        <w:tab/>
      </w:r>
      <w:r>
        <w:t xml:space="preserve">(c)</w:t>
      </w:r>
      <w:r>
        <w:tab/>
      </w:r>
      <w:r w:rsidRPr="008E352E">
        <w:t xml:space="preserve">Le nouveau pacte sur les migrations et l'asile (2024) </w:t>
      </w:r>
      <w:r w:rsidR="000A5AC5">
        <w:t xml:space="preserve">n'</w:t>
      </w:r>
      <w:r w:rsidRPr="008E352E">
        <w:t xml:space="preserve">aborde </w:t>
      </w:r>
      <w:r w:rsidR="000A5AC5">
        <w:t xml:space="preserve">pas suffisamment </w:t>
      </w:r>
      <w:r w:rsidRPr="008E352E">
        <w:t xml:space="preserve">la situation des personnes handicapées</w:t>
      </w:r>
      <w:r>
        <w:t xml:space="preserve">, et que les procédures de migration et d'asile soumettent les </w:t>
      </w:r>
      <w:r w:rsidR="000A5AC5">
        <w:t xml:space="preserve">personnes handicapées </w:t>
      </w:r>
      <w:r>
        <w:t xml:space="preserve">à des évaluations purement médicales </w:t>
      </w:r>
      <w:r w:rsidR="000A5AC5">
        <w:t xml:space="preserve">et ne contiennent pas de </w:t>
      </w:r>
      <w:r>
        <w:t xml:space="preserve">procédures claires pour la réalisation des évaluations </w:t>
      </w:r>
      <w:r w:rsidRPr="008E352E">
        <w:t xml:space="preserve">; </w:t>
      </w:r>
    </w:p>
    <w:p w:rsidRPr="00977A28" w:rsidR="00831759" w:rsidP="00881DD1" w:rsidRDefault="00977A28" w14:paraId="0819EE33" w14:textId="3C7F60CC">
      <w:pPr>
        <w:pStyle w:val="SingleTxtG"/>
        <w:ind w:firstLine="567"/>
      </w:pPr>
      <w:r>
        <w:tab/>
      </w:r>
      <w:r>
        <w:t xml:space="preserve">(d)</w:t>
      </w:r>
      <w:r>
        <w:tab/>
      </w:r>
      <w:r>
        <w:t xml:space="preserve">La protection limitée des personnes handicapées dans les situations de migration contre la détention, le refus d'accès au territoire et les refoulements. </w:t>
      </w:r>
    </w:p>
    <w:p w:rsidRPr="005B12EE" w:rsidR="00463AF5" w:rsidP="00881DD1" w:rsidRDefault="00463AF5" w14:paraId="311577B6" w14:textId="429159BA">
      <w:pPr>
        <w:pStyle w:val="SingleTxtG"/>
        <w:numPr>
          <w:ilvl w:val="0"/>
          <w:numId w:val="22"/>
        </w:numPr>
        <w:ind w:start="1134" w:firstLine="0"/>
        <w:rPr>
          <w:b/>
          <w:bCs/>
        </w:rPr>
      </w:pPr>
      <w:r w:rsidRPr="00B03DF4">
        <w:rPr>
          <w:b/>
          <w:bCs/>
          <w:lang w:val="en-US"/>
        </w:rPr>
        <w:t xml:space="preserve">Le Comité rappelle ses précédentes </w:t>
      </w:r>
      <w:r w:rsidR="005B12EE">
        <w:rPr>
          <w:b/>
          <w:bCs/>
          <w:lang w:val="en-US"/>
        </w:rPr>
        <w:t xml:space="preserve">observations</w:t>
      </w:r>
      <w:r w:rsidRPr="00B03DF4">
        <w:rPr>
          <w:b/>
          <w:bCs/>
          <w:lang w:val="en-US"/>
        </w:rPr>
        <w:t xml:space="preserve"> finales </w:t>
      </w:r>
      <w:r w:rsidRPr="00B03DF4">
        <w:rPr>
          <w:b/>
          <w:bCs/>
          <w:lang w:val="en-US"/>
        </w:rPr>
        <w:t xml:space="preserve">et </w:t>
      </w:r>
      <w:r w:rsidR="00344D98">
        <w:rPr>
          <w:b/>
          <w:bCs/>
          <w:lang w:val="en-US"/>
        </w:rPr>
        <w:t xml:space="preserve">recommandations </w:t>
      </w:r>
      <w:r w:rsidRPr="00B03DF4">
        <w:rPr>
          <w:b/>
          <w:bCs/>
          <w:lang w:val="en-US"/>
        </w:rPr>
        <w:t xml:space="preserve">(par. 49) et recommande à l'</w:t>
      </w:r>
      <w:r w:rsidR="00DF7F04">
        <w:rPr>
          <w:b/>
          <w:bCs/>
          <w:lang w:val="en-US"/>
        </w:rPr>
        <w:t xml:space="preserve">Union européenne </w:t>
      </w:r>
      <w:r w:rsidRPr="00B03DF4">
        <w:rPr>
          <w:b/>
          <w:bCs/>
          <w:lang w:val="en-US"/>
        </w:rPr>
        <w:t xml:space="preserve">de</w:t>
      </w:r>
    </w:p>
    <w:p w:rsidRPr="00881DD1" w:rsidR="00463AF5" w:rsidP="00463AF5" w:rsidRDefault="00463AF5" w14:paraId="1F9E43E1" w14:textId="61174888">
      <w:pPr>
        <w:pStyle w:val="SingleTxtG"/>
        <w:ind w:firstLine="567"/>
        <w:rPr>
          <w:b/>
          <w:bCs/>
          <w:lang w:val="en-US"/>
        </w:rPr>
      </w:pPr>
      <w:r w:rsidRPr="00881DD1">
        <w:rPr>
          <w:b/>
          <w:bCs/>
          <w:lang w:val="en-US"/>
        </w:rPr>
        <w:t xml:space="preserve">(a)</w:t>
      </w:r>
      <w:r w:rsidRPr="00881DD1">
        <w:rPr>
          <w:b/>
          <w:bCs/>
          <w:lang w:val="en-US"/>
        </w:rPr>
        <w:tab/>
      </w:r>
      <w:r w:rsidRPr="00881DD1">
        <w:rPr>
          <w:b/>
          <w:bCs/>
          <w:lang w:val="en-US"/>
        </w:rPr>
        <w:t xml:space="preserve">D'étendre le champ d'application de la carte européenne d'invalidité à la relocalisation à long terme </w:t>
      </w:r>
      <w:r w:rsidRPr="00881DD1" w:rsidR="002E61A4">
        <w:rPr>
          <w:b/>
          <w:bCs/>
          <w:lang w:val="en-US"/>
        </w:rPr>
        <w:t xml:space="preserve">et de rendre les </w:t>
      </w:r>
      <w:r w:rsidRPr="00881DD1">
        <w:rPr>
          <w:b/>
          <w:bCs/>
          <w:lang w:val="en-US"/>
        </w:rPr>
        <w:t xml:space="preserve">prestations de sécurité sociale ou de protection sociale </w:t>
      </w:r>
      <w:r w:rsidRPr="00881DD1" w:rsidR="002E61A4">
        <w:rPr>
          <w:b/>
          <w:bCs/>
          <w:lang w:val="en-US"/>
        </w:rPr>
        <w:t xml:space="preserve">transférables</w:t>
      </w:r>
      <w:r w:rsidRPr="00881DD1">
        <w:rPr>
          <w:b/>
          <w:bCs/>
          <w:lang w:val="en-US"/>
        </w:rPr>
        <w:t xml:space="preserve">, notamment en définissant les </w:t>
      </w:r>
      <w:r w:rsidRPr="00881DD1" w:rsidR="00DF7F04">
        <w:rPr>
          <w:b/>
          <w:bCs/>
          <w:lang w:val="en-US"/>
        </w:rPr>
        <w:t xml:space="preserve">responsabilités</w:t>
      </w:r>
      <w:r w:rsidRPr="00881DD1">
        <w:rPr>
          <w:b/>
          <w:bCs/>
          <w:lang w:val="en-US"/>
        </w:rPr>
        <w:t xml:space="preserve"> partagées </w:t>
      </w:r>
      <w:r w:rsidRPr="00881DD1">
        <w:rPr>
          <w:b/>
          <w:bCs/>
          <w:lang w:val="en-US"/>
        </w:rPr>
        <w:t xml:space="preserve">des États membres </w:t>
      </w:r>
      <w:r w:rsidRPr="00881DD1" w:rsidR="00DF7F04">
        <w:rPr>
          <w:b/>
          <w:bCs/>
          <w:lang w:val="en-US"/>
        </w:rPr>
        <w:t xml:space="preserve">en matière d'</w:t>
      </w:r>
      <w:r w:rsidRPr="00881DD1">
        <w:rPr>
          <w:b/>
          <w:bCs/>
          <w:lang w:val="en-US"/>
        </w:rPr>
        <w:t xml:space="preserve">aide au handicap pour les citoyens de l'UE qui se déplacent pour de longs séjours ou de manière permanente d'un État membre à l'autre, </w:t>
      </w:r>
      <w:r w:rsidRPr="00881DD1" w:rsidR="00DF7F04">
        <w:rPr>
          <w:b/>
          <w:bCs/>
          <w:lang w:val="en-US"/>
        </w:rPr>
        <w:t xml:space="preserve">et en </w:t>
      </w:r>
      <w:r w:rsidRPr="00881DD1">
        <w:rPr>
          <w:b/>
          <w:bCs/>
          <w:lang w:val="en-US"/>
        </w:rPr>
        <w:t xml:space="preserve">garantissant la reconnaissance mutuelle du statut d'invalidité ;</w:t>
      </w:r>
    </w:p>
    <w:p w:rsidRPr="00881DD1" w:rsidR="00AE2A3A" w:rsidP="00707FC5" w:rsidRDefault="00463AF5" w14:paraId="62DCEEE0" w14:textId="0CF9AABA">
      <w:pPr>
        <w:pStyle w:val="SingleTxtG"/>
        <w:ind w:firstLine="567"/>
        <w:rPr>
          <w:b/>
          <w:bCs/>
          <w:lang w:val="en-US"/>
        </w:rPr>
      </w:pPr>
      <w:r w:rsidRPr="00881DD1">
        <w:rPr>
          <w:b/>
          <w:bCs/>
          <w:lang w:val="en-US"/>
        </w:rPr>
        <w:t xml:space="preserve">(b)</w:t>
      </w:r>
      <w:r w:rsidRPr="00881DD1">
        <w:rPr>
          <w:b/>
          <w:bCs/>
          <w:lang w:val="en-US"/>
        </w:rPr>
        <w:tab/>
      </w:r>
      <w:r w:rsidRPr="00881DD1">
        <w:rPr>
          <w:b/>
          <w:bCs/>
          <w:lang w:val="en-US"/>
        </w:rPr>
        <w:t xml:space="preserve">Veiller à ce que les procédures d'évaluation du handicap soient accessibles à toutes les personnes handicapées, y compris les personnes autistes, </w:t>
      </w:r>
      <w:r w:rsidRPr="00881DD1" w:rsidR="004A7C57">
        <w:rPr>
          <w:b/>
          <w:bCs/>
          <w:lang w:val="en-US"/>
        </w:rPr>
        <w:t xml:space="preserve">aligner </w:t>
      </w:r>
      <w:r w:rsidRPr="00881DD1">
        <w:rPr>
          <w:b/>
          <w:bCs/>
          <w:lang w:val="en-US"/>
        </w:rPr>
        <w:t xml:space="preserve">les procédures d'évaluation sur le modèle des droits de l'homme en matière de handicap et sur le droit à la liberté de circulation </w:t>
      </w:r>
      <w:r w:rsidRPr="00881DD1" w:rsidR="008C72A9">
        <w:rPr>
          <w:b/>
          <w:bCs/>
          <w:lang w:val="en-US"/>
        </w:rPr>
        <w:t xml:space="preserve">;</w:t>
      </w:r>
    </w:p>
    <w:p w:rsidRPr="00690FD5" w:rsidR="00AE2A3A" w:rsidP="00881DD1" w:rsidRDefault="00AE2A3A" w14:paraId="50C4F1B3" w14:textId="77666462">
      <w:pPr>
        <w:pStyle w:val="SingleTxtG"/>
        <w:ind w:firstLine="567"/>
        <w:rPr>
          <w:b/>
        </w:rPr>
      </w:pPr>
      <w:r w:rsidRPr="00881DD1">
        <w:rPr>
          <w:b/>
          <w:bCs/>
          <w:color w:val="4F81BD" w:themeColor="accent1"/>
        </w:rPr>
        <w:tab/>
      </w:r>
      <w:r w:rsidRPr="00881DD1">
        <w:rPr>
          <w:b/>
          <w:bCs/>
        </w:rPr>
        <w:t xml:space="preserve">(c)</w:t>
      </w:r>
      <w:r w:rsidRPr="00881DD1">
        <w:rPr>
          <w:b/>
          <w:bCs/>
        </w:rPr>
        <w:tab/>
      </w:r>
      <w:r w:rsidRPr="00690FD5">
        <w:rPr>
          <w:b/>
        </w:rPr>
        <w:t xml:space="preserve">Fournir des orientations et des normes en matière d'aménagements procéduraux et raisonnables </w:t>
      </w:r>
      <w:r w:rsidR="00DF7F04">
        <w:rPr>
          <w:b/>
        </w:rPr>
        <w:t xml:space="preserve">et de procédures d'évaluation </w:t>
      </w:r>
      <w:r w:rsidRPr="00690FD5">
        <w:rPr>
          <w:b/>
        </w:rPr>
        <w:t xml:space="preserve">pour les personnes handicapées dans les situations de migration ;</w:t>
      </w:r>
    </w:p>
    <w:p w:rsidRPr="00690FD5" w:rsidR="00AE2A3A" w:rsidP="00881DD1" w:rsidRDefault="00AE2A3A" w14:paraId="2E793034" w14:textId="720A635A">
      <w:pPr>
        <w:pStyle w:val="SingleTxtG"/>
        <w:ind w:firstLine="567"/>
        <w:rPr>
          <w:b/>
        </w:rPr>
      </w:pPr>
      <w:r w:rsidRPr="00690FD5">
        <w:rPr>
          <w:b/>
        </w:rPr>
        <w:tab/>
      </w:r>
      <w:r w:rsidRPr="00690FD5">
        <w:rPr>
          <w:b/>
        </w:rPr>
        <w:t xml:space="preserve">(d)</w:t>
      </w:r>
      <w:r w:rsidRPr="00690FD5">
        <w:rPr>
          <w:b/>
        </w:rPr>
        <w:tab/>
      </w:r>
      <w:r w:rsidRPr="00690FD5">
        <w:rPr>
          <w:b/>
        </w:rPr>
        <w:t xml:space="preserve">Veiller à ce que la </w:t>
      </w:r>
      <w:r w:rsidR="004A7C57">
        <w:rPr>
          <w:b/>
        </w:rPr>
        <w:t xml:space="preserve">mise en œuvre du </w:t>
      </w:r>
      <w:r w:rsidRPr="00690FD5">
        <w:rPr>
          <w:b/>
        </w:rPr>
        <w:t xml:space="preserve">nouveau pacte sur les migrations et l'asile respecte les droits des personnes handicapées et aligner les politiques et les normes des </w:t>
      </w:r>
      <w:r w:rsidRPr="00690FD5">
        <w:rPr>
          <w:b/>
        </w:rPr>
        <w:t xml:space="preserve">États membres sur le site</w:t>
      </w:r>
      <w:r w:rsidRPr="00690FD5">
        <w:rPr>
          <w:b/>
        </w:rPr>
        <w:lastRenderedPageBreak/>
      </w:r>
      <w:r w:rsidRPr="00690FD5">
        <w:rPr>
          <w:b/>
        </w:rPr>
        <w:t xml:space="preserve"> afin d'empêcher la détention, le refoulement et le refus d'accès au territoire </w:t>
      </w:r>
      <w:r w:rsidRPr="00690FD5" w:rsidR="00DF7F04">
        <w:rPr>
          <w:b/>
        </w:rPr>
        <w:t xml:space="preserve">des personnes handicapées dans les </w:t>
      </w:r>
      <w:r w:rsidR="00DF7F04">
        <w:rPr>
          <w:b/>
        </w:rPr>
        <w:t xml:space="preserve">situations de </w:t>
      </w:r>
      <w:r w:rsidRPr="00690FD5" w:rsidR="00DF7F04">
        <w:rPr>
          <w:b/>
        </w:rPr>
        <w:t xml:space="preserve">migration </w:t>
      </w:r>
      <w:r w:rsidRPr="00690FD5">
        <w:rPr>
          <w:b/>
        </w:rPr>
        <w:t xml:space="preserve">;</w:t>
      </w:r>
    </w:p>
    <w:p w:rsidRPr="00690FD5" w:rsidR="00AE2A3A" w:rsidP="00881DD1" w:rsidRDefault="00AE2A3A" w14:paraId="2B579B67" w14:textId="13926C42">
      <w:pPr>
        <w:pStyle w:val="SingleTxtG"/>
        <w:ind w:firstLine="567"/>
        <w:rPr>
          <w:b/>
        </w:rPr>
      </w:pPr>
      <w:r w:rsidRPr="00690FD5">
        <w:rPr>
          <w:b/>
        </w:rPr>
        <w:tab/>
      </w:r>
      <w:r w:rsidRPr="00690FD5">
        <w:rPr>
          <w:b/>
        </w:rPr>
        <w:t xml:space="preserve">(e)</w:t>
      </w:r>
      <w:r w:rsidRPr="00690FD5">
        <w:rPr>
          <w:b/>
        </w:rPr>
        <w:tab/>
      </w:r>
      <w:r w:rsidRPr="00690FD5">
        <w:rPr>
          <w:b/>
        </w:rPr>
        <w:t xml:space="preserve">Développer des modalités d'accueil pour les migrants handicapés qui n'impliquent pas leur détention, et solliciter la coopération technique du Haut Commissariat des Nations Unies pour les Réfugiés afin de prévenir la détention dans le contexte de la migration.</w:t>
      </w:r>
    </w:p>
    <w:bookmarkEnd w:id="12"/>
    <w:p w:rsidRPr="00404879" w:rsidR="00C97C04" w:rsidP="0040077D" w:rsidRDefault="00C97C04" w14:paraId="4D2B8D26" w14:textId="7773213C">
      <w:pPr>
        <w:pStyle w:val="H23G"/>
        <w:ind w:start="0" w:firstLine="0"/>
      </w:pPr>
      <w:r w:rsidRPr="000D5A94">
        <w:tab/>
      </w:r>
      <w:bookmarkStart w:name="_Hlk193809292" w:id="13"/>
      <w:r w:rsidRPr="000D5A94">
        <w:tab/>
      </w:r>
      <w:r w:rsidRPr="00AD7122">
        <w:t xml:space="preserve">Vivre de manière indépendante et être inclus dans la communauté (art. 19)</w:t>
      </w:r>
    </w:p>
    <w:p w:rsidR="00C97C04" w:rsidP="00881DD1" w:rsidRDefault="00C97C04" w14:paraId="6AEA99ED" w14:textId="7EC6A770">
      <w:pPr>
        <w:pStyle w:val="SingleTxtG"/>
        <w:numPr>
          <w:ilvl w:val="0"/>
          <w:numId w:val="22"/>
        </w:numPr>
        <w:ind w:start="1134" w:firstLine="0"/>
      </w:pPr>
      <w:r>
        <w:t xml:space="preserve">Le Comité est préoccupé par le fait que</w:t>
      </w:r>
    </w:p>
    <w:p w:rsidR="00D600D6" w:rsidP="00881DD1" w:rsidRDefault="00C97C04" w14:paraId="64368CAE" w14:textId="3FEB219D">
      <w:pPr>
        <w:pStyle w:val="SingleTxtG"/>
        <w:ind w:firstLine="567"/>
      </w:pPr>
      <w:r>
        <w:tab/>
      </w:r>
      <w:r w:rsidR="00D600D6">
        <w:t xml:space="preserve">(a)</w:t>
      </w:r>
      <w:r w:rsidR="00D600D6">
        <w:tab/>
      </w:r>
      <w:r w:rsidR="00D600D6">
        <w:t xml:space="preserve">L'</w:t>
      </w:r>
      <w:r w:rsidR="00D600D6">
        <w:t xml:space="preserve">interprétation</w:t>
      </w:r>
      <w:r w:rsidR="00D600D6">
        <w:t xml:space="preserve"> de la Convention par l'UE </w:t>
      </w:r>
      <w:r w:rsidR="00606BB6">
        <w:t xml:space="preserve">sur l'admissibilité des petits foyers collectifs </w:t>
      </w:r>
      <w:r w:rsidR="00606BB6">
        <w:t xml:space="preserve">semble s'écarter </w:t>
      </w:r>
      <w:r w:rsidR="00606BB6">
        <w:t xml:space="preserve">de celle </w:t>
      </w:r>
      <w:r w:rsidR="00606BB6">
        <w:t xml:space="preserve">du Comité </w:t>
      </w:r>
      <w:r w:rsidR="00B9255B">
        <w:t xml:space="preserve">et que les orientations données aux États membres ne prévoient pas de recours en cas d'institutionnalisation </w:t>
      </w:r>
      <w:r w:rsidR="00D600D6">
        <w:t xml:space="preserve">;</w:t>
      </w:r>
    </w:p>
    <w:p w:rsidR="00D600D6" w:rsidP="00881DD1" w:rsidRDefault="00D600D6" w14:paraId="1BBFE2E7" w14:textId="081AA575">
      <w:pPr>
        <w:pStyle w:val="SingleTxtG"/>
        <w:ind w:firstLine="567"/>
      </w:pPr>
      <w:r>
        <w:tab/>
      </w:r>
      <w:r>
        <w:t xml:space="preserve">(b)</w:t>
      </w:r>
      <w:r>
        <w:tab/>
      </w:r>
      <w:r w:rsidR="005E1DC5">
        <w:t xml:space="preserve">Les fonds de </w:t>
      </w:r>
      <w:r>
        <w:t xml:space="preserve">l'UE </w:t>
      </w:r>
      <w:r>
        <w:t xml:space="preserve">ont été et sont utilisés pour la construction et l'entretien d'installations institutionnelles</w:t>
      </w:r>
      <w:r w:rsidR="005E1DC5">
        <w:t xml:space="preserve">, y compris des foyers pour petits groupes, </w:t>
      </w:r>
      <w:r>
        <w:t xml:space="preserve">dans les </w:t>
      </w:r>
      <w:r w:rsidR="005E1DC5">
        <w:t xml:space="preserve">États</w:t>
      </w:r>
      <w:r>
        <w:t xml:space="preserve"> membres </w:t>
      </w:r>
      <w:r>
        <w:t xml:space="preserve">;</w:t>
      </w:r>
    </w:p>
    <w:p w:rsidR="00D600D6" w:rsidP="00881DD1" w:rsidRDefault="00D600D6" w14:paraId="156FB55D" w14:textId="7AB8B1E4">
      <w:pPr>
        <w:pStyle w:val="SingleTxtG"/>
        <w:ind w:firstLine="567"/>
      </w:pPr>
      <w:r>
        <w:tab/>
      </w:r>
      <w:r>
        <w:t xml:space="preserve">(c)</w:t>
      </w:r>
      <w:r>
        <w:tab/>
      </w:r>
      <w:r>
        <w:t xml:space="preserve">Les personnes handicapées sont déplacées entre différentes structures collectives dans le cadre de la mise en œuvre de projets relevant de la législation de l'UE et/ou financés par les fonds de l'UE ;</w:t>
      </w:r>
    </w:p>
    <w:p w:rsidR="00D600D6" w:rsidP="00881DD1" w:rsidRDefault="00D600D6" w14:paraId="798D66CE" w14:textId="38063D65">
      <w:pPr>
        <w:pStyle w:val="SingleTxtG"/>
        <w:ind w:firstLine="567"/>
      </w:pPr>
      <w:r>
        <w:tab/>
      </w:r>
      <w:r w:rsidR="00B9255B">
        <w:t xml:space="preserve">(d</w:t>
      </w:r>
      <w:r>
        <w:t xml:space="preserve">)</w:t>
      </w:r>
      <w:r>
        <w:tab/>
      </w:r>
      <w:r>
        <w:t xml:space="preserve">Les systèmes actuels de contrôle de l'utilisation des fonds de l'UE par les États membres ne garantissent pas efficacement le respect des obligations découlant de la Convention, et l'accès des organisations de personnes handicapées aux processus de contrôle judiciaire est fortement limité ;</w:t>
      </w:r>
    </w:p>
    <w:p w:rsidR="00D600D6" w:rsidP="00881DD1" w:rsidRDefault="00D600D6" w14:paraId="40ADEB9D" w14:textId="5415B5CD">
      <w:pPr>
        <w:pStyle w:val="SingleTxtG"/>
        <w:ind w:firstLine="567"/>
      </w:pPr>
      <w:r>
        <w:tab/>
      </w:r>
      <w:r>
        <w:t xml:space="preserve">(</w:t>
      </w:r>
      <w:r w:rsidR="00B9255B">
        <w:t xml:space="preserve">e</w:t>
      </w:r>
      <w:r>
        <w:t xml:space="preserve">)</w:t>
      </w:r>
      <w:r>
        <w:tab/>
      </w:r>
      <w:r>
        <w:t xml:space="preserve">Les politiques et les investissements ne sont pas suffisamment ciblés </w:t>
      </w:r>
      <w:r w:rsidR="000D7E70">
        <w:t xml:space="preserve">sur l'élaboration de </w:t>
      </w:r>
      <w:r w:rsidR="00B9255B">
        <w:t xml:space="preserve">mesures d'</w:t>
      </w:r>
      <w:r>
        <w:t xml:space="preserve">accompagnement </w:t>
      </w:r>
      <w:r>
        <w:t xml:space="preserve">au sein de la communauté.    </w:t>
      </w:r>
    </w:p>
    <w:p w:rsidRPr="00D600D6" w:rsidR="00D600D6" w:rsidP="00881DD1" w:rsidRDefault="00D600D6" w14:paraId="6B34CCC2" w14:textId="2DC4326F">
      <w:pPr>
        <w:pStyle w:val="SingleTxtG"/>
        <w:numPr>
          <w:ilvl w:val="0"/>
          <w:numId w:val="22"/>
        </w:numPr>
        <w:ind w:start="1134" w:firstLine="0"/>
        <w:rPr>
          <w:b/>
          <w:bCs/>
        </w:rPr>
      </w:pPr>
      <w:r w:rsidRPr="00D600D6">
        <w:rPr>
          <w:b/>
          <w:bCs/>
        </w:rPr>
        <w:t xml:space="preserve">Rappelant son Observation générale no 5 (2017) sur l'autonomie de vie et l'inclusion dans la communauté, ses lignes directrices sur la désinstitutionnalisation, y compris dans les situations d'urgence, et le rapport du Rapporteur spécial sur les droits des personnes handicapées sur la transformation des services aux personnes </w:t>
      </w:r>
      <w:r w:rsidR="00B9255B">
        <w:rPr>
          <w:b/>
          <w:bCs/>
        </w:rPr>
        <w:t xml:space="preserve">handicapées</w:t>
      </w:r>
      <w:r w:rsidRPr="00D600D6">
        <w:rPr>
          <w:b/>
          <w:bCs/>
        </w:rPr>
        <w:t xml:space="preserve">, le Comité recommande à l'Union européenne, en étroite consultation et avec la participation active des personnes handicapées :</w:t>
      </w:r>
    </w:p>
    <w:p w:rsidRPr="00D600D6" w:rsidR="00D600D6" w:rsidP="00881DD1" w:rsidRDefault="00D600D6" w14:paraId="63A02FCD" w14:textId="69724156">
      <w:pPr>
        <w:pStyle w:val="SingleTxtG"/>
        <w:ind w:firstLine="567"/>
        <w:rPr>
          <w:b/>
          <w:bCs/>
        </w:rPr>
      </w:pPr>
      <w:r w:rsidRPr="00D600D6">
        <w:rPr>
          <w:b/>
          <w:bCs/>
        </w:rPr>
        <w:tab/>
      </w:r>
      <w:r w:rsidRPr="00D600D6">
        <w:rPr>
          <w:b/>
          <w:bCs/>
        </w:rPr>
        <w:t xml:space="preserve">(a)</w:t>
      </w:r>
      <w:r w:rsidRPr="00D600D6">
        <w:rPr>
          <w:b/>
          <w:bCs/>
        </w:rPr>
        <w:tab/>
      </w:r>
      <w:r w:rsidRPr="00D600D6">
        <w:rPr>
          <w:b/>
          <w:bCs/>
        </w:rPr>
        <w:t xml:space="preserve">Veiller à ce que la législation, les politiques, les programmes et les lignes directrices de l'UE en matière de </w:t>
      </w:r>
      <w:r w:rsidR="000D7E70">
        <w:rPr>
          <w:b/>
          <w:bCs/>
        </w:rPr>
        <w:t xml:space="preserve">vie autonome </w:t>
      </w:r>
      <w:r w:rsidRPr="00D600D6">
        <w:rPr>
          <w:b/>
          <w:bCs/>
        </w:rPr>
        <w:t xml:space="preserve">soient pleinement conformes aux </w:t>
      </w:r>
      <w:r w:rsidR="00DB5CA4">
        <w:rPr>
          <w:b/>
          <w:bCs/>
        </w:rPr>
        <w:t xml:space="preserve">exigences de la Convention, telles qu'elles sont énoncées </w:t>
      </w:r>
      <w:r w:rsidRPr="00D600D6">
        <w:rPr>
          <w:b/>
          <w:bCs/>
        </w:rPr>
        <w:t xml:space="preserve">dans l'Observation générale n° 5 (2017) du Comité, </w:t>
      </w:r>
      <w:r w:rsidR="000D7E70">
        <w:rPr>
          <w:b/>
          <w:bCs/>
        </w:rPr>
        <w:t xml:space="preserve">et </w:t>
      </w:r>
      <w:r w:rsidRPr="00D600D6">
        <w:rPr>
          <w:b/>
          <w:bCs/>
        </w:rPr>
        <w:t xml:space="preserve">abroger la note du service juridique de la Commission européenne du 29 juin 2018 (Ares[2018]2249997) ;</w:t>
      </w:r>
    </w:p>
    <w:p w:rsidRPr="00D600D6" w:rsidR="00D600D6" w:rsidP="00881DD1" w:rsidRDefault="00D600D6" w14:paraId="1356B919" w14:textId="59E86B6F">
      <w:pPr>
        <w:pStyle w:val="SingleTxtG"/>
        <w:ind w:firstLine="567"/>
        <w:rPr>
          <w:b/>
          <w:bCs/>
        </w:rPr>
      </w:pPr>
      <w:r w:rsidRPr="00D600D6">
        <w:rPr>
          <w:b/>
          <w:bCs/>
        </w:rPr>
        <w:tab/>
      </w:r>
      <w:r w:rsidRPr="00D600D6">
        <w:rPr>
          <w:b/>
          <w:bCs/>
        </w:rPr>
        <w:t xml:space="preserve">(b)</w:t>
      </w:r>
      <w:r w:rsidRPr="00D600D6">
        <w:rPr>
          <w:b/>
          <w:bCs/>
        </w:rPr>
        <w:tab/>
      </w:r>
      <w:r w:rsidRPr="00D600D6">
        <w:rPr>
          <w:b/>
          <w:bCs/>
        </w:rPr>
        <w:t xml:space="preserve">Veiller à ce qu'</w:t>
      </w:r>
      <w:r w:rsidR="00B9255B">
        <w:rPr>
          <w:b/>
          <w:bCs/>
        </w:rPr>
        <w:t xml:space="preserve">aucun </w:t>
      </w:r>
      <w:r w:rsidRPr="00D600D6">
        <w:rPr>
          <w:b/>
          <w:bCs/>
        </w:rPr>
        <w:t xml:space="preserve">financement de </w:t>
      </w:r>
      <w:r w:rsidR="00B9255B">
        <w:rPr>
          <w:b/>
          <w:bCs/>
        </w:rPr>
        <w:t xml:space="preserve">l'UE</w:t>
      </w:r>
      <w:r w:rsidR="006F0A06">
        <w:rPr>
          <w:b/>
          <w:bCs/>
        </w:rPr>
        <w:t xml:space="preserve">, </w:t>
      </w:r>
      <w:r w:rsidRPr="00D611BC" w:rsidR="006F0A06">
        <w:rPr>
          <w:b/>
          <w:bCs/>
        </w:rPr>
        <w:t xml:space="preserve">y compris la facilité de redressement et de résilience et l'instrument de voisinage, de développement et de coopération internationale, </w:t>
      </w:r>
      <w:r w:rsidR="00B9255B">
        <w:rPr>
          <w:b/>
          <w:bCs/>
        </w:rPr>
        <w:t xml:space="preserve">ne </w:t>
      </w:r>
      <w:r w:rsidR="00B9255B">
        <w:rPr>
          <w:b/>
          <w:bCs/>
        </w:rPr>
        <w:t xml:space="preserve">soit </w:t>
      </w:r>
      <w:r w:rsidRPr="00D600D6">
        <w:rPr>
          <w:b/>
          <w:bCs/>
        </w:rPr>
        <w:t xml:space="preserve">utilisé pour la construction ou l'entretien d'installations institutionnelles, y compris de foyers pour petits groupes</w:t>
      </w:r>
      <w:r w:rsidR="00B9255B">
        <w:rPr>
          <w:b/>
          <w:bCs/>
        </w:rPr>
        <w:t xml:space="preserve">, et façonner le cadre financier pluriannuel en conséquence </w:t>
      </w:r>
      <w:r w:rsidRPr="00D600D6">
        <w:rPr>
          <w:b/>
          <w:bCs/>
        </w:rPr>
        <w:t xml:space="preserve">;</w:t>
      </w:r>
    </w:p>
    <w:p w:rsidRPr="00D600D6" w:rsidR="00D600D6" w:rsidP="00881DD1" w:rsidRDefault="00D600D6" w14:paraId="01079D99" w14:textId="481BF66D">
      <w:pPr>
        <w:pStyle w:val="SingleTxtG"/>
        <w:ind w:firstLine="567"/>
        <w:rPr>
          <w:b/>
          <w:bCs/>
        </w:rPr>
      </w:pPr>
      <w:r w:rsidRPr="00D600D6">
        <w:rPr>
          <w:b/>
          <w:bCs/>
        </w:rPr>
        <w:tab/>
      </w:r>
      <w:r w:rsidRPr="00D600D6">
        <w:rPr>
          <w:b/>
          <w:bCs/>
        </w:rPr>
        <w:t xml:space="preserve">(c)</w:t>
      </w:r>
      <w:r w:rsidRPr="00D600D6">
        <w:rPr>
          <w:b/>
          <w:bCs/>
        </w:rPr>
        <w:tab/>
      </w:r>
      <w:r w:rsidR="003D7D94">
        <w:rPr>
          <w:b/>
          <w:bCs/>
        </w:rPr>
        <w:t xml:space="preserve">Veiller à ce </w:t>
      </w:r>
      <w:r w:rsidRPr="00D600D6">
        <w:rPr>
          <w:b/>
          <w:bCs/>
        </w:rPr>
        <w:t xml:space="preserve">que la législation relative à la politique de cohésion après 2027 interdise explicitement l'utilisation de fonds européens pour la construction et l'entretien de structures institutionnelles, y compris les foyers de groupe, </w:t>
      </w:r>
      <w:r w:rsidR="003D7D94">
        <w:rPr>
          <w:b/>
          <w:bCs/>
        </w:rPr>
        <w:t xml:space="preserve">que </w:t>
      </w:r>
      <w:r w:rsidRPr="00D600D6">
        <w:rPr>
          <w:b/>
          <w:bCs/>
        </w:rPr>
        <w:t xml:space="preserve">la stratégie en faveur des personnes handicapées 2021-2030 et ses plans d'action pour la période 2025-2030 soient conformes aux </w:t>
      </w:r>
      <w:r w:rsidR="00DB5CA4">
        <w:rPr>
          <w:b/>
          <w:bCs/>
        </w:rPr>
        <w:t xml:space="preserve">obligations énoncées dans </w:t>
      </w:r>
      <w:r w:rsidRPr="00D600D6">
        <w:rPr>
          <w:b/>
          <w:bCs/>
        </w:rPr>
        <w:t xml:space="preserve">l'Observation générale no 5 du Comité, et que l'Union européenne réalise et publie une analyse d'impact des financements précédents</w:t>
      </w:r>
      <w:r w:rsidRPr="00D611BC" w:rsidR="00855D2E">
        <w:rPr>
          <w:b/>
          <w:bCs/>
        </w:rPr>
        <w:t xml:space="preserve">, en étroite consultation et avec la participation active des personnes handicapées par l'intermédiaire des organisations qui les représentent </w:t>
      </w:r>
      <w:r w:rsidRPr="00D600D6">
        <w:rPr>
          <w:b/>
          <w:bCs/>
        </w:rPr>
        <w:t xml:space="preserve">;</w:t>
      </w:r>
    </w:p>
    <w:p w:rsidR="004536C8" w:rsidP="00881DD1" w:rsidRDefault="00D600D6" w14:paraId="645454B0" w14:textId="7A3F6AA8">
      <w:pPr>
        <w:pStyle w:val="SingleTxtG"/>
        <w:ind w:firstLine="567"/>
        <w:rPr>
          <w:b/>
          <w:bCs/>
        </w:rPr>
      </w:pPr>
      <w:r w:rsidRPr="00D600D6">
        <w:rPr>
          <w:b/>
          <w:bCs/>
        </w:rPr>
        <w:tab/>
      </w:r>
      <w:r w:rsidRPr="00D600D6">
        <w:rPr>
          <w:b/>
          <w:bCs/>
        </w:rPr>
        <w:t xml:space="preserve">(d)</w:t>
      </w:r>
      <w:r w:rsidRPr="00D600D6">
        <w:rPr>
          <w:b/>
          <w:bCs/>
        </w:rPr>
        <w:tab/>
      </w:r>
      <w:r w:rsidR="004536C8">
        <w:rPr>
          <w:b/>
          <w:bCs/>
        </w:rPr>
        <w:t xml:space="preserve">Modifier </w:t>
      </w:r>
      <w:r w:rsidRPr="00D600D6" w:rsidR="004536C8">
        <w:rPr>
          <w:b/>
          <w:bCs/>
        </w:rPr>
        <w:t xml:space="preserve">la communication de la Commission sur les orientations relatives à la vie autonome dans le contexte du financement de l'UE afin de préciser que les </w:t>
      </w:r>
      <w:r w:rsidR="004536C8">
        <w:rPr>
          <w:b/>
          <w:bCs/>
        </w:rPr>
        <w:t xml:space="preserve">foyers de groupe de petite taille </w:t>
      </w:r>
      <w:r w:rsidR="004536C8">
        <w:rPr>
          <w:b/>
          <w:bCs/>
        </w:rPr>
        <w:t xml:space="preserve">ne sont pas conformes à </w:t>
      </w:r>
      <w:r w:rsidRPr="00D600D6" w:rsidR="004536C8">
        <w:rPr>
          <w:b/>
          <w:bCs/>
        </w:rPr>
        <w:t xml:space="preserve">la Convention et d'offrir réparation aux personnes handicapées qui vivaient ou vivent dans des institutions ;</w:t>
      </w:r>
    </w:p>
    <w:p w:rsidR="00E87CD4" w:rsidP="00881DD1" w:rsidRDefault="00E87CD4" w14:paraId="311FA2CC" w14:textId="6CE358EA">
      <w:pPr>
        <w:pStyle w:val="SingleTxtG"/>
        <w:ind w:firstLine="567"/>
        <w:rPr>
          <w:b/>
          <w:bCs/>
        </w:rPr>
      </w:pPr>
      <w:r>
        <w:rPr>
          <w:b/>
          <w:bCs/>
        </w:rPr>
        <w:t xml:space="preserve">(e)</w:t>
      </w:r>
      <w:r>
        <w:rPr>
          <w:b/>
          <w:bCs/>
        </w:rPr>
        <w:tab/>
      </w:r>
      <w:r>
        <w:rPr>
          <w:b/>
          <w:bCs/>
        </w:rPr>
        <w:t xml:space="preserve">Reconnaître le placement en institution comme une forme de discrimination à l'égard des personnes handicapées ;</w:t>
      </w:r>
    </w:p>
    <w:p w:rsidRPr="00D600D6" w:rsidR="00D600D6" w:rsidP="00881DD1" w:rsidRDefault="00D600D6" w14:paraId="4FA7ABB2" w14:textId="3B0128F9">
      <w:pPr>
        <w:pStyle w:val="SingleTxtG"/>
        <w:ind w:firstLine="567"/>
        <w:rPr>
          <w:b/>
          <w:bCs/>
        </w:rPr>
      </w:pPr>
      <w:r w:rsidRPr="00D600D6">
        <w:rPr>
          <w:b/>
          <w:bCs/>
        </w:rPr>
        <w:tab/>
      </w:r>
      <w:r w:rsidRPr="00D600D6">
        <w:rPr>
          <w:b/>
          <w:bCs/>
        </w:rPr>
        <w:t xml:space="preserve">(f</w:t>
      </w:r>
      <w:r w:rsidR="00E87CD4">
        <w:rPr>
          <w:b/>
          <w:bCs/>
        </w:rPr>
        <w:t xml:space="preserve">)</w:t>
      </w:r>
      <w:r w:rsidRPr="00D600D6">
        <w:rPr>
          <w:b/>
          <w:bCs/>
        </w:rPr>
        <w:tab/>
      </w:r>
      <w:r w:rsidRPr="00D611BC" w:rsidR="000170AC">
        <w:rPr>
          <w:b/>
          <w:bCs/>
        </w:rPr>
        <w:t xml:space="preserve">Renforcer les </w:t>
      </w:r>
      <w:r w:rsidRPr="00D600D6">
        <w:rPr>
          <w:b/>
          <w:bCs/>
        </w:rPr>
        <w:t xml:space="preserve">mécanismes de suivi et de plainte </w:t>
      </w:r>
      <w:r w:rsidRPr="00D611BC" w:rsidR="002E73F1">
        <w:rPr>
          <w:b/>
          <w:bCs/>
        </w:rPr>
        <w:t xml:space="preserve">concernant l</w:t>
      </w:r>
      <w:r w:rsidRPr="00D600D6" w:rsidR="002E73F1">
        <w:rPr>
          <w:b/>
          <w:bCs/>
        </w:rPr>
        <w:t xml:space="preserve">'</w:t>
      </w:r>
      <w:r w:rsidRPr="00D600D6">
        <w:rPr>
          <w:b/>
          <w:bCs/>
        </w:rPr>
        <w:t xml:space="preserve">allocation des fonds de l'UE, en améliorant l'indépendance des </w:t>
      </w:r>
      <w:r w:rsidR="002E73F1">
        <w:rPr>
          <w:b/>
          <w:bCs/>
        </w:rPr>
        <w:t xml:space="preserve">comités de </w:t>
      </w:r>
      <w:r w:rsidRPr="00D600D6">
        <w:rPr>
          <w:b/>
          <w:bCs/>
        </w:rPr>
        <w:t xml:space="preserve">suivi </w:t>
      </w:r>
      <w:r w:rsidRPr="00D600D6">
        <w:rPr>
          <w:b/>
          <w:bCs/>
        </w:rPr>
        <w:t xml:space="preserve">au niveau national</w:t>
      </w:r>
      <w:r w:rsidR="003B61DA">
        <w:rPr>
          <w:b/>
          <w:bCs/>
        </w:rPr>
        <w:t xml:space="preserve">, en </w:t>
      </w:r>
      <w:r w:rsidRPr="00D600D6">
        <w:rPr>
          <w:b/>
          <w:bCs/>
        </w:rPr>
        <w:t xml:space="preserve">garantissant le </w:t>
      </w:r>
      <w:r w:rsidRPr="00446E78" w:rsidR="0006115D">
        <w:rPr>
          <w:b/>
          <w:bCs/>
        </w:rPr>
        <w:t xml:space="preserve">suivi par les institutions nationales des droits de l'homme, les personnes handicapées et les organisations qui les représentent</w:t>
      </w:r>
      <w:r w:rsidRPr="00446E78">
        <w:rPr>
          <w:b/>
          <w:bCs/>
        </w:rPr>
        <w:t xml:space="preserve">, </w:t>
      </w:r>
      <w:r w:rsidRPr="00D600D6">
        <w:rPr>
          <w:b/>
          <w:bCs/>
        </w:rPr>
        <w:t xml:space="preserve">dans l'allocation des fonds de l'UE à des </w:t>
      </w:r>
      <w:r w:rsidRPr="00D600D6">
        <w:rPr>
          <w:b/>
          <w:bCs/>
        </w:rPr>
        <w:t xml:space="preserve">fins </w:t>
      </w:r>
      <w:r w:rsidRPr="00D600D6">
        <w:rPr>
          <w:b/>
          <w:bCs/>
        </w:rPr>
        <w:t xml:space="preserve">spécifiques au handicap</w:t>
      </w:r>
      <w:r w:rsidRPr="00D600D6">
        <w:rPr>
          <w:b/>
          <w:bCs/>
        </w:rPr>
        <w:lastRenderedPageBreak/>
      </w:r>
      <w:r w:rsidR="007F61C5">
        <w:rPr>
          <w:b/>
          <w:bCs/>
        </w:rPr>
        <w:t xml:space="preserve"> , </w:t>
      </w:r>
      <w:r w:rsidR="00ED1777">
        <w:rPr>
          <w:b/>
          <w:bCs/>
        </w:rPr>
        <w:t xml:space="preserve">garantir un </w:t>
      </w:r>
      <w:r w:rsidRPr="00D600D6">
        <w:rPr>
          <w:b/>
          <w:bCs/>
        </w:rPr>
        <w:t xml:space="preserve">accès effectif à la justice pour les personnes handicapées et les organisations qui les représentent contre l'allocation de fonds de l'UE par les États membres en violation de la Convention</w:t>
      </w:r>
      <w:r w:rsidRPr="00ED1777" w:rsidR="0094163B">
        <w:rPr>
          <w:b/>
          <w:bCs/>
        </w:rPr>
        <w:t xml:space="preserve">, et </w:t>
      </w:r>
      <w:r w:rsidRPr="00ED1777" w:rsidR="00ED1777">
        <w:rPr>
          <w:b/>
          <w:bCs/>
          <w:lang w:val="en-US"/>
        </w:rPr>
        <w:t xml:space="preserve">utiliser </w:t>
      </w:r>
      <w:r w:rsidRPr="00ED1777" w:rsidR="002272D9">
        <w:rPr>
          <w:b/>
          <w:bCs/>
        </w:rPr>
        <w:t xml:space="preserve">ses </w:t>
      </w:r>
      <w:r w:rsidRPr="00ED1777" w:rsidR="0094163B">
        <w:rPr>
          <w:b/>
          <w:bCs/>
        </w:rPr>
        <w:t xml:space="preserve">pouvoirs, tels que les procédures d'infraction</w:t>
      </w:r>
      <w:r w:rsidRPr="00ED1777" w:rsidR="00ED1777">
        <w:rPr>
          <w:b/>
          <w:bCs/>
          <w:lang w:val="en-US"/>
        </w:rPr>
        <w:t xml:space="preserve">, </w:t>
      </w:r>
      <w:r w:rsidR="00ED1777">
        <w:rPr>
          <w:b/>
          <w:bCs/>
          <w:lang w:val="en-US"/>
        </w:rPr>
        <w:t xml:space="preserve">à l'encontre des </w:t>
      </w:r>
      <w:r w:rsidRPr="00ED1777" w:rsidR="002272D9">
        <w:rPr>
          <w:b/>
          <w:bCs/>
        </w:rPr>
        <w:t xml:space="preserve">États membres </w:t>
      </w:r>
      <w:r w:rsidRPr="00ED1777" w:rsidR="00ED1777">
        <w:rPr>
          <w:b/>
          <w:bCs/>
          <w:lang w:val="en-US"/>
        </w:rPr>
        <w:t xml:space="preserve">qui ne mettent pas en œuvre ces mesures </w:t>
      </w:r>
      <w:r w:rsidRPr="00ED1777" w:rsidR="00DC15F4">
        <w:rPr>
          <w:b/>
          <w:bCs/>
        </w:rPr>
        <w:t xml:space="preserve">;</w:t>
      </w:r>
    </w:p>
    <w:p w:rsidRPr="00C97C04" w:rsidR="00F52017" w:rsidP="00881DD1" w:rsidRDefault="00D600D6" w14:paraId="0FC459B3" w14:textId="368DBDFC">
      <w:pPr>
        <w:pStyle w:val="SingleTxtG"/>
        <w:ind w:firstLine="567"/>
        <w:rPr>
          <w:b/>
          <w:bCs/>
          <w:lang w:val="en-US"/>
        </w:rPr>
      </w:pPr>
      <w:r w:rsidRPr="00D600D6">
        <w:rPr>
          <w:b/>
          <w:bCs/>
        </w:rPr>
        <w:tab/>
      </w:r>
      <w:r w:rsidRPr="00D600D6">
        <w:rPr>
          <w:b/>
          <w:bCs/>
        </w:rPr>
        <w:t xml:space="preserve">(</w:t>
      </w:r>
      <w:r w:rsidR="00E87CD4">
        <w:rPr>
          <w:b/>
          <w:bCs/>
        </w:rPr>
        <w:t xml:space="preserve">g</w:t>
      </w:r>
      <w:r w:rsidRPr="00D600D6">
        <w:rPr>
          <w:b/>
          <w:bCs/>
        </w:rPr>
        <w:t xml:space="preserve">)</w:t>
      </w:r>
      <w:r w:rsidRPr="00D600D6">
        <w:rPr>
          <w:b/>
          <w:bCs/>
        </w:rPr>
        <w:tab/>
      </w:r>
      <w:r w:rsidRPr="00D600D6">
        <w:rPr>
          <w:b/>
          <w:bCs/>
        </w:rPr>
        <w:t xml:space="preserve">Adopter des définitions non ambiguës des services de proximité, y compris l'assistance personnelle</w:t>
      </w:r>
      <w:r w:rsidR="000D7E70">
        <w:rPr>
          <w:b/>
          <w:bCs/>
        </w:rPr>
        <w:t xml:space="preserve">, </w:t>
      </w:r>
      <w:r w:rsidR="00BD1789">
        <w:rPr>
          <w:b/>
          <w:bCs/>
        </w:rPr>
        <w:t xml:space="preserve">afin d'améliorer le ciblage des investissements</w:t>
      </w:r>
      <w:r w:rsidRPr="00D600D6">
        <w:rPr>
          <w:b/>
          <w:bCs/>
        </w:rPr>
        <w:t xml:space="preserve">, et collecter et publier des données ventilées sur les services </w:t>
      </w:r>
      <w:r w:rsidR="00BD1789">
        <w:rPr>
          <w:b/>
          <w:bCs/>
        </w:rPr>
        <w:t xml:space="preserve">fournis </w:t>
      </w:r>
      <w:r w:rsidRPr="00D600D6">
        <w:rPr>
          <w:b/>
          <w:bCs/>
        </w:rPr>
        <w:t xml:space="preserve">et les personnes handicapées qui les utilisent ; donner la priorité aux investissements </w:t>
      </w:r>
      <w:r w:rsidR="00BD1789">
        <w:rPr>
          <w:b/>
          <w:bCs/>
        </w:rPr>
        <w:t xml:space="preserve">pour </w:t>
      </w:r>
      <w:r w:rsidRPr="00D600D6" w:rsidR="00BD1789">
        <w:rPr>
          <w:b/>
          <w:bCs/>
        </w:rPr>
        <w:t xml:space="preserve">le </w:t>
      </w:r>
      <w:r w:rsidRPr="00D600D6">
        <w:rPr>
          <w:b/>
          <w:bCs/>
        </w:rPr>
        <w:t xml:space="preserve">développement de logements accessibles et abordables pour les personnes handicapées, l'assistance personnelle, les centres de vie autonome, le soutien par les pairs et d'autres types d'aide individualisée respectant la volonté et les préférences des personnes handicapées.</w:t>
      </w:r>
    </w:p>
    <w:bookmarkEnd w:id="13"/>
    <w:p w:rsidRPr="007C2C2C" w:rsidR="00664896" w:rsidP="00664896" w:rsidRDefault="00664896" w14:paraId="534C6B17" w14:textId="6180265D">
      <w:pPr>
        <w:pStyle w:val="H23G"/>
      </w:pPr>
      <w:r>
        <w:tab/>
      </w:r>
      <w:r>
        <w:tab/>
      </w:r>
      <w:bookmarkStart w:name="_Hlk193801994" w:id="14"/>
      <w:r w:rsidRPr="00664416">
        <w:t xml:space="preserve">Mobilité personnelle (art. 20)</w:t>
      </w:r>
    </w:p>
    <w:p w:rsidR="00664896" w:rsidP="00881DD1" w:rsidRDefault="00664896" w14:paraId="3FE686B5" w14:textId="692BB675">
      <w:pPr>
        <w:pStyle w:val="SingleTxtG"/>
        <w:numPr>
          <w:ilvl w:val="0"/>
          <w:numId w:val="22"/>
        </w:numPr>
        <w:ind w:start="1134" w:firstLine="0"/>
      </w:pPr>
      <w:r>
        <w:t xml:space="preserve">Le Comité est préoccupé </w:t>
      </w:r>
      <w:r w:rsidR="00664416">
        <w:t xml:space="preserve">par le fait que</w:t>
      </w:r>
    </w:p>
    <w:p w:rsidRPr="00664416" w:rsidR="006F1279" w:rsidP="00881DD1" w:rsidRDefault="00664416" w14:paraId="3DBD3D81" w14:textId="33892606">
      <w:pPr>
        <w:pStyle w:val="SingleTxtG"/>
        <w:ind w:firstLine="567"/>
        <w:rPr>
          <w:lang w:val="en-US"/>
        </w:rPr>
      </w:pPr>
      <w:r>
        <w:rPr>
          <w:lang w:val="en-US"/>
        </w:rPr>
        <w:tab/>
      </w:r>
      <w:r w:rsidRPr="00664416" w:rsidR="006F1279">
        <w:rPr>
          <w:lang w:val="en-US"/>
        </w:rPr>
        <w:t xml:space="preserve">(a)</w:t>
      </w:r>
      <w:r w:rsidRPr="00664416" w:rsidR="006F1279">
        <w:rPr>
          <w:lang w:val="en-US"/>
        </w:rPr>
        <w:tab/>
      </w:r>
      <w:r w:rsidRPr="00664416" w:rsidR="006F1279">
        <w:rPr>
          <w:lang w:val="en-US"/>
        </w:rPr>
        <w:t xml:space="preserve">Les personnes handicapées ne peuvent pas voyager de manière indépendante et spontanée en raison des </w:t>
      </w:r>
      <w:r w:rsidR="009E60DA">
        <w:rPr>
          <w:lang w:val="en-US"/>
        </w:rPr>
        <w:t xml:space="preserve">exigences de notification préalable et des </w:t>
      </w:r>
      <w:r w:rsidRPr="00664416" w:rsidR="006F1279">
        <w:rPr>
          <w:lang w:val="en-US"/>
        </w:rPr>
        <w:t xml:space="preserve">obstacles à la mobilité </w:t>
      </w:r>
      <w:r w:rsidR="009E60DA">
        <w:rPr>
          <w:lang w:val="en-US"/>
        </w:rPr>
        <w:t xml:space="preserve">dans </w:t>
      </w:r>
      <w:r w:rsidRPr="00664416" w:rsidR="006F1279">
        <w:rPr>
          <w:lang w:val="en-US"/>
        </w:rPr>
        <w:t xml:space="preserve">tous les modes de transport </w:t>
      </w:r>
      <w:r w:rsidR="006F1279">
        <w:rPr>
          <w:lang w:val="en-US"/>
        </w:rPr>
        <w:t xml:space="preserve">;</w:t>
      </w:r>
    </w:p>
    <w:p w:rsidR="006F1279" w:rsidP="00881DD1" w:rsidRDefault="006F1279" w14:paraId="1FED6245" w14:textId="1EA4E28C">
      <w:pPr>
        <w:pStyle w:val="SingleTxtG"/>
        <w:ind w:firstLine="567"/>
        <w:rPr>
          <w:lang w:val="en-US"/>
        </w:rPr>
      </w:pPr>
      <w:r>
        <w:rPr>
          <w:lang w:val="en-US"/>
        </w:rPr>
        <w:tab/>
      </w:r>
      <w:r w:rsidRPr="00664416">
        <w:rPr>
          <w:lang w:val="en-US"/>
        </w:rPr>
        <w:t xml:space="preserve">(b)</w:t>
      </w:r>
      <w:r w:rsidRPr="00664416">
        <w:rPr>
          <w:lang w:val="en-US"/>
        </w:rPr>
        <w:tab/>
      </w:r>
      <w:r w:rsidRPr="00664416">
        <w:rPr>
          <w:lang w:val="en-US"/>
        </w:rPr>
        <w:t xml:space="preserve">Le règlement STI-PRM </w:t>
      </w:r>
      <w:r w:rsidR="00C42858">
        <w:rPr>
          <w:lang w:val="en-US"/>
        </w:rPr>
        <w:t xml:space="preserve">autorise </w:t>
      </w:r>
      <w:r w:rsidRPr="00664416">
        <w:rPr>
          <w:lang w:val="en-US"/>
        </w:rPr>
        <w:t xml:space="preserve">l'</w:t>
      </w:r>
      <w:r w:rsidR="00C42858">
        <w:rPr>
          <w:lang w:val="en-US"/>
        </w:rPr>
        <w:t xml:space="preserve">utilisation </w:t>
      </w:r>
      <w:r w:rsidRPr="00664416">
        <w:rPr>
          <w:lang w:val="en-US"/>
        </w:rPr>
        <w:t xml:space="preserve">de trains inaccessibles et </w:t>
      </w:r>
      <w:r w:rsidR="009E60DA">
        <w:rPr>
          <w:lang w:val="en-US"/>
        </w:rPr>
        <w:t xml:space="preserve">ne traite pas de l'</w:t>
      </w:r>
      <w:r w:rsidRPr="00664416">
        <w:rPr>
          <w:lang w:val="en-US"/>
        </w:rPr>
        <w:t xml:space="preserve">interface quai-train </w:t>
      </w:r>
      <w:r>
        <w:rPr>
          <w:lang w:val="en-US"/>
        </w:rPr>
        <w:t xml:space="preserve">;</w:t>
      </w:r>
    </w:p>
    <w:p w:rsidRPr="00057000" w:rsidR="00057000" w:rsidP="00881DD1" w:rsidRDefault="00057000" w14:paraId="40409C2E" w14:textId="22294EDF">
      <w:pPr>
        <w:pStyle w:val="SingleTxtG"/>
        <w:ind w:firstLine="567"/>
        <w:rPr>
          <w:lang w:val="en-US"/>
        </w:rPr>
      </w:pPr>
      <w:r>
        <w:rPr>
          <w:lang w:val="en-US"/>
        </w:rPr>
        <w:tab/>
      </w:r>
      <w:r>
        <w:rPr>
          <w:lang w:val="en-US"/>
        </w:rPr>
        <w:t xml:space="preserve">(c</w:t>
      </w:r>
      <w:r w:rsidRPr="00057000">
        <w:rPr>
          <w:lang w:val="en-US"/>
        </w:rPr>
        <w:t xml:space="preserve">)</w:t>
      </w:r>
      <w:r w:rsidRPr="00057000">
        <w:rPr>
          <w:lang w:val="en-US"/>
        </w:rPr>
        <w:tab/>
      </w:r>
      <w:r w:rsidRPr="00057000">
        <w:rPr>
          <w:lang w:val="en-US"/>
        </w:rPr>
        <w:t xml:space="preserve">Les réglementations relatives aux droits des passagers refusent le transport sur la base de "considérations de sécurité" </w:t>
      </w:r>
      <w:r w:rsidR="009E60DA">
        <w:rPr>
          <w:lang w:val="en-US"/>
        </w:rPr>
        <w:t xml:space="preserve">et ne prévoient pas d'</w:t>
      </w:r>
      <w:r w:rsidRPr="00057000">
        <w:rPr>
          <w:lang w:val="en-US"/>
        </w:rPr>
        <w:t xml:space="preserve">indemnisation lorsque l'assistance ne se matérialise pas ou en cas de refus d'embarquement ; dans le transport aérien, l'indemnisation est limitée </w:t>
      </w:r>
      <w:r>
        <w:rPr>
          <w:lang w:val="en-US"/>
        </w:rPr>
        <w:t xml:space="preserve">;</w:t>
      </w:r>
    </w:p>
    <w:p w:rsidR="00057000" w:rsidP="00881DD1" w:rsidRDefault="00057000" w14:paraId="3ED3A783" w14:textId="595657AB">
      <w:pPr>
        <w:pStyle w:val="SingleTxtG"/>
        <w:ind w:firstLine="567"/>
        <w:rPr>
          <w:lang w:val="en-US"/>
        </w:rPr>
      </w:pPr>
      <w:r w:rsidRPr="00057000">
        <w:rPr>
          <w:lang w:val="en-US"/>
        </w:rPr>
        <w:tab/>
      </w:r>
      <w:r w:rsidRPr="00057000">
        <w:rPr>
          <w:lang w:val="en-US"/>
        </w:rPr>
        <w:t xml:space="preserve">(</w:t>
      </w:r>
      <w:r>
        <w:rPr>
          <w:lang w:val="en-US"/>
        </w:rPr>
        <w:t xml:space="preserve">d</w:t>
      </w:r>
      <w:r w:rsidRPr="00057000">
        <w:rPr>
          <w:lang w:val="en-US"/>
        </w:rPr>
        <w:t xml:space="preserve">)</w:t>
      </w:r>
      <w:r w:rsidRPr="00057000">
        <w:rPr>
          <w:lang w:val="en-US"/>
        </w:rPr>
        <w:tab/>
      </w:r>
      <w:r w:rsidRPr="00057000">
        <w:rPr>
          <w:lang w:val="en-US"/>
        </w:rPr>
        <w:t xml:space="preserve">De nombreux prestataires de transport </w:t>
      </w:r>
      <w:r w:rsidR="009E60DA">
        <w:rPr>
          <w:lang w:val="en-US"/>
        </w:rPr>
        <w:t xml:space="preserve">n'</w:t>
      </w:r>
      <w:r w:rsidRPr="00057000">
        <w:rPr>
          <w:lang w:val="en-US"/>
        </w:rPr>
        <w:t xml:space="preserve">autorisent </w:t>
      </w:r>
      <w:r w:rsidR="009E60DA">
        <w:rPr>
          <w:lang w:val="en-US"/>
        </w:rPr>
        <w:t xml:space="preserve">pas </w:t>
      </w:r>
      <w:r w:rsidRPr="00057000">
        <w:rPr>
          <w:lang w:val="en-US"/>
        </w:rPr>
        <w:t xml:space="preserve">l'utilisation d'équipements de mobilité </w:t>
      </w:r>
      <w:r w:rsidRPr="00057000">
        <w:rPr>
          <w:lang w:val="en-US"/>
        </w:rPr>
        <w:t xml:space="preserve">dans les bus ou les trains </w:t>
      </w:r>
      <w:r>
        <w:rPr>
          <w:lang w:val="en-US"/>
        </w:rPr>
        <w:t xml:space="preserve">;</w:t>
      </w:r>
    </w:p>
    <w:p w:rsidRPr="00664416" w:rsidR="00664416" w:rsidP="00881DD1" w:rsidRDefault="00057000" w14:paraId="78BB2DBC" w14:textId="4D65E6DC">
      <w:pPr>
        <w:pStyle w:val="SingleTxtG"/>
        <w:ind w:firstLine="567"/>
        <w:rPr>
          <w:lang w:val="en-US"/>
        </w:rPr>
      </w:pPr>
      <w:r>
        <w:rPr>
          <w:lang w:val="en-US"/>
        </w:rPr>
        <w:tab/>
      </w:r>
      <w:r>
        <w:rPr>
          <w:lang w:val="en-US"/>
        </w:rPr>
        <w:t xml:space="preserve">(e</w:t>
      </w:r>
      <w:r w:rsidRPr="00057000">
        <w:rPr>
          <w:lang w:val="en-US"/>
        </w:rPr>
        <w:t xml:space="preserve">)</w:t>
      </w:r>
      <w:r>
        <w:rPr>
          <w:lang w:val="en-US"/>
        </w:rPr>
        <w:tab/>
      </w:r>
      <w:r w:rsidRPr="00057000">
        <w:rPr>
          <w:lang w:val="en-US"/>
        </w:rPr>
        <w:t xml:space="preserve">Seuls 250 </w:t>
      </w:r>
      <w:r w:rsidR="00FA6884">
        <w:rPr>
          <w:lang w:val="en-US"/>
        </w:rPr>
        <w:t xml:space="preserve">arrêts de bus dans l'UE </w:t>
      </w:r>
      <w:r w:rsidRPr="00057000">
        <w:rPr>
          <w:lang w:val="en-US"/>
        </w:rPr>
        <w:t xml:space="preserve">sont désignés pour fournir une assistance et il y a un manque d'information sur la fréquence et le contenu de la formation du </w:t>
      </w:r>
      <w:r w:rsidR="009E60DA">
        <w:rPr>
          <w:lang w:val="en-US"/>
        </w:rPr>
        <w:t xml:space="preserve">personnel des</w:t>
      </w:r>
      <w:r w:rsidRPr="00057000">
        <w:rPr>
          <w:lang w:val="en-US"/>
        </w:rPr>
        <w:t xml:space="preserve"> bus et des autocars</w:t>
      </w:r>
      <w:r w:rsidRPr="00057000">
        <w:rPr>
          <w:lang w:val="en-US"/>
        </w:rPr>
        <w:t xml:space="preserve">.</w:t>
      </w:r>
    </w:p>
    <w:p w:rsidRPr="004E3F14" w:rsidR="004E3F14" w:rsidP="00E00F5D" w:rsidRDefault="004E3F14" w14:paraId="3930CE93" w14:textId="0556D5E0">
      <w:pPr>
        <w:pStyle w:val="SingleTxtG"/>
        <w:numPr>
          <w:ilvl w:val="0"/>
          <w:numId w:val="22"/>
        </w:numPr>
        <w:ind w:start="1134" w:firstLine="0"/>
        <w:rPr>
          <w:b/>
          <w:bCs/>
        </w:rPr>
      </w:pPr>
      <w:r w:rsidRPr="004E3F14">
        <w:rPr>
          <w:b/>
          <w:bCs/>
        </w:rPr>
        <w:t xml:space="preserve">Le Comité rappelle ses précédentes </w:t>
      </w:r>
      <w:r w:rsidR="00DE574F">
        <w:rPr>
          <w:b/>
          <w:bCs/>
        </w:rPr>
        <w:t xml:space="preserve">observations</w:t>
      </w:r>
      <w:r w:rsidRPr="004E3F14">
        <w:rPr>
          <w:b/>
          <w:bCs/>
        </w:rPr>
        <w:t xml:space="preserve"> finales </w:t>
      </w:r>
      <w:r w:rsidRPr="004E3F14">
        <w:rPr>
          <w:b/>
          <w:bCs/>
        </w:rPr>
        <w:t xml:space="preserve">et </w:t>
      </w:r>
      <w:r w:rsidR="00DE574F">
        <w:rPr>
          <w:b/>
          <w:bCs/>
        </w:rPr>
        <w:t xml:space="preserve">recommandations </w:t>
      </w:r>
      <w:r w:rsidRPr="004E3F14">
        <w:rPr>
          <w:b/>
          <w:bCs/>
        </w:rPr>
        <w:t xml:space="preserve">(par. 53) et recommande à l'</w:t>
      </w:r>
      <w:r>
        <w:rPr>
          <w:b/>
          <w:bCs/>
        </w:rPr>
        <w:t xml:space="preserve">Union européenne de</w:t>
      </w:r>
    </w:p>
    <w:p w:rsidRPr="00E00F5D" w:rsidR="004E3F14" w:rsidP="00E00F5D" w:rsidRDefault="004E3F14" w14:paraId="41C9C2A6" w14:textId="6962E653">
      <w:pPr>
        <w:pStyle w:val="SingleTxtG"/>
        <w:ind w:firstLine="567"/>
        <w:rPr>
          <w:b/>
          <w:bCs/>
        </w:rPr>
      </w:pPr>
      <w:r w:rsidRPr="00E00F5D">
        <w:rPr>
          <w:b/>
          <w:bCs/>
        </w:rPr>
        <w:tab/>
      </w:r>
      <w:r w:rsidRPr="00E00F5D">
        <w:rPr>
          <w:b/>
          <w:bCs/>
        </w:rPr>
        <w:t xml:space="preserve">(a)</w:t>
      </w:r>
      <w:r w:rsidRPr="00E00F5D">
        <w:rPr>
          <w:b/>
          <w:bCs/>
        </w:rPr>
        <w:tab/>
      </w:r>
      <w:r w:rsidRPr="00E00F5D">
        <w:rPr>
          <w:b/>
          <w:bCs/>
        </w:rPr>
        <w:t xml:space="preserve">De réviser les règlements relatifs aux droits des passagers pour tous les modes de transport afin d'éliminer les exigences de notification préalable et d'assurer des déplacements spontanés ;</w:t>
      </w:r>
    </w:p>
    <w:p w:rsidRPr="00E00F5D" w:rsidR="000479B7" w:rsidP="00E00F5D" w:rsidRDefault="004E3F14" w14:paraId="3862A087" w14:textId="34781F13">
      <w:pPr>
        <w:pStyle w:val="SingleTxtG"/>
        <w:ind w:firstLine="567"/>
        <w:rPr>
          <w:b/>
          <w:bCs/>
        </w:rPr>
      </w:pPr>
      <w:r w:rsidRPr="00E00F5D">
        <w:rPr>
          <w:b/>
          <w:bCs/>
        </w:rPr>
        <w:tab/>
      </w:r>
      <w:r w:rsidRPr="00E00F5D">
        <w:rPr>
          <w:b/>
          <w:bCs/>
        </w:rPr>
        <w:t xml:space="preserve">(b)</w:t>
      </w:r>
      <w:r w:rsidRPr="00E00F5D">
        <w:rPr>
          <w:b/>
          <w:bCs/>
        </w:rPr>
        <w:tab/>
      </w:r>
      <w:r w:rsidRPr="00E00F5D" w:rsidR="000270EE">
        <w:rPr>
          <w:b/>
          <w:bCs/>
        </w:rPr>
        <w:t xml:space="preserve">Inclure des </w:t>
      </w:r>
      <w:r w:rsidRPr="00E00F5D">
        <w:rPr>
          <w:b/>
          <w:bCs/>
        </w:rPr>
        <w:t xml:space="preserve">exigences d'accessibilité complètes pour les gares et le matériel roulant </w:t>
      </w:r>
      <w:r w:rsidRPr="00E00F5D" w:rsidR="008F0BE4">
        <w:rPr>
          <w:b/>
          <w:bCs/>
        </w:rPr>
        <w:t xml:space="preserve">dans la prochaine révision de la STI PRM</w:t>
      </w:r>
      <w:r w:rsidRPr="00E00F5D">
        <w:rPr>
          <w:b/>
          <w:bCs/>
        </w:rPr>
        <w:t xml:space="preserve">, en garantissant un embarquement indépendant et en supprimant les exceptions pour les trains à deux étages et les voitures-restaurants ;</w:t>
      </w:r>
    </w:p>
    <w:p w:rsidRPr="00E00F5D" w:rsidR="004E3F14" w:rsidP="00E00F5D" w:rsidRDefault="000479B7" w14:paraId="2D2050EA" w14:textId="16FAEADA">
      <w:pPr>
        <w:pStyle w:val="SingleTxtG"/>
        <w:ind w:firstLine="567"/>
        <w:rPr>
          <w:b/>
          <w:bCs/>
        </w:rPr>
      </w:pPr>
      <w:r w:rsidRPr="00E00F5D">
        <w:rPr>
          <w:b/>
          <w:bCs/>
        </w:rPr>
        <w:tab/>
      </w:r>
      <w:r w:rsidRPr="00E00F5D">
        <w:rPr>
          <w:b/>
          <w:bCs/>
        </w:rPr>
        <w:t xml:space="preserve">(</w:t>
      </w:r>
      <w:r w:rsidRPr="00E00F5D" w:rsidR="00BE5C17">
        <w:rPr>
          <w:b/>
          <w:bCs/>
        </w:rPr>
        <w:t xml:space="preserve">c</w:t>
      </w:r>
      <w:r w:rsidRPr="00E00F5D">
        <w:rPr>
          <w:b/>
          <w:bCs/>
        </w:rPr>
        <w:t xml:space="preserve">)</w:t>
      </w:r>
      <w:r w:rsidRPr="00E00F5D">
        <w:rPr>
          <w:b/>
          <w:bCs/>
        </w:rPr>
        <w:tab/>
      </w:r>
      <w:r w:rsidRPr="00E00F5D" w:rsidR="004E3F14">
        <w:rPr>
          <w:b/>
          <w:bCs/>
        </w:rPr>
        <w:t xml:space="preserve">Interdire le refus d'embarquement pour des motifs liés au handicap et établir des mécanismes de compensation </w:t>
      </w:r>
      <w:r w:rsidRPr="00E00F5D" w:rsidR="000270EE">
        <w:rPr>
          <w:b/>
          <w:bCs/>
        </w:rPr>
        <w:t xml:space="preserve">en cas de </w:t>
      </w:r>
      <w:r w:rsidRPr="00E00F5D" w:rsidR="004E3F14">
        <w:rPr>
          <w:b/>
          <w:bCs/>
        </w:rPr>
        <w:t xml:space="preserve">violation ; garantir la pleine responsabilité des transporteurs aériens pour les équipements de mobilité endommagés ou perdus et empêcher le refus d'embarquement dans les transports aériens ; </w:t>
      </w:r>
    </w:p>
    <w:p w:rsidRPr="00E00F5D" w:rsidR="0026771E" w:rsidP="00E00F5D" w:rsidRDefault="004E3F14" w14:paraId="0D510F31" w14:textId="1D877506">
      <w:pPr>
        <w:pStyle w:val="SingleTxtG"/>
        <w:ind w:firstLine="567"/>
        <w:rPr>
          <w:b/>
          <w:bCs/>
        </w:rPr>
      </w:pPr>
      <w:r w:rsidRPr="00E00F5D">
        <w:rPr>
          <w:b/>
          <w:bCs/>
        </w:rPr>
        <w:tab/>
      </w:r>
      <w:r w:rsidRPr="00E00F5D">
        <w:rPr>
          <w:b/>
          <w:bCs/>
        </w:rPr>
        <w:t xml:space="preserve">(</w:t>
      </w:r>
      <w:r w:rsidRPr="00E00F5D" w:rsidR="00BE5C17">
        <w:rPr>
          <w:b/>
          <w:bCs/>
        </w:rPr>
        <w:t xml:space="preserve">d</w:t>
      </w:r>
      <w:r w:rsidRPr="00E00F5D">
        <w:rPr>
          <w:b/>
          <w:bCs/>
        </w:rPr>
        <w:t xml:space="preserve">)</w:t>
      </w:r>
      <w:r w:rsidRPr="00E00F5D">
        <w:rPr>
          <w:b/>
          <w:bCs/>
        </w:rPr>
        <w:tab/>
      </w:r>
      <w:r w:rsidRPr="00E00F5D">
        <w:rPr>
          <w:b/>
          <w:bCs/>
        </w:rPr>
        <w:t xml:space="preserve">Élaborer des normes d'accessibilité harmonisées pour toutes les formes de transport, y compris les transports urbains, afin de garantir l'accessibilité et l'adaptation des équipements de mobilité </w:t>
      </w:r>
      <w:r w:rsidRPr="00E00F5D" w:rsidR="00BE5C17">
        <w:rPr>
          <w:b/>
          <w:bCs/>
        </w:rPr>
        <w:t xml:space="preserve">;</w:t>
      </w:r>
    </w:p>
    <w:p w:rsidRPr="00A8739F" w:rsidR="00BE5C17" w:rsidP="00E00F5D" w:rsidRDefault="00BE5C17" w14:paraId="5D34C43B" w14:textId="3BCBB9B7">
      <w:pPr>
        <w:pStyle w:val="SingleTxtG"/>
        <w:ind w:firstLine="567"/>
        <w:rPr>
          <w:b/>
          <w:bCs/>
        </w:rPr>
      </w:pPr>
      <w:r w:rsidRPr="00E00F5D">
        <w:rPr>
          <w:b/>
          <w:bCs/>
        </w:rPr>
        <w:tab/>
      </w:r>
      <w:r w:rsidRPr="00E00F5D">
        <w:rPr>
          <w:b/>
          <w:bCs/>
        </w:rPr>
        <w:t xml:space="preserve">(e)</w:t>
      </w:r>
      <w:r w:rsidRPr="00E00F5D">
        <w:rPr>
          <w:b/>
          <w:bCs/>
        </w:rPr>
        <w:tab/>
      </w:r>
      <w:r w:rsidRPr="00E00F5D" w:rsidR="00872510">
        <w:rPr>
          <w:b/>
          <w:bCs/>
        </w:rPr>
        <w:t xml:space="preserve">Augmenter le nombre d'</w:t>
      </w:r>
      <w:r w:rsidRPr="00E00F5D" w:rsidR="00D36D88">
        <w:rPr>
          <w:b/>
          <w:bCs/>
          <w:lang w:val="en-US"/>
        </w:rPr>
        <w:t xml:space="preserve">arrêts de bus </w:t>
      </w:r>
      <w:r w:rsidRPr="00E00F5D" w:rsidR="000270EE">
        <w:rPr>
          <w:b/>
          <w:bCs/>
          <w:lang w:val="en-US"/>
        </w:rPr>
        <w:t xml:space="preserve">avec </w:t>
      </w:r>
      <w:r w:rsidRPr="00E00F5D" w:rsidR="00256AB4">
        <w:rPr>
          <w:b/>
          <w:bCs/>
          <w:lang w:val="en-US"/>
        </w:rPr>
        <w:t xml:space="preserve">assistance pour les personnes handicapées </w:t>
      </w:r>
      <w:r w:rsidRPr="00A8739F" w:rsidR="003E458E">
        <w:rPr>
          <w:b/>
          <w:bCs/>
          <w:lang w:val="en-US"/>
        </w:rPr>
        <w:t xml:space="preserve">et </w:t>
      </w:r>
      <w:r w:rsidR="000270EE">
        <w:rPr>
          <w:b/>
          <w:bCs/>
          <w:lang w:val="en-US"/>
        </w:rPr>
        <w:t xml:space="preserve">dispenser </w:t>
      </w:r>
      <w:r w:rsidRPr="00A8739F" w:rsidR="003E458E">
        <w:rPr>
          <w:b/>
          <w:bCs/>
          <w:lang w:val="en-US"/>
        </w:rPr>
        <w:t xml:space="preserve">une formation </w:t>
      </w:r>
      <w:r w:rsidRPr="00A8739F" w:rsidR="003B20C6">
        <w:rPr>
          <w:b/>
          <w:bCs/>
          <w:lang w:val="en-US"/>
        </w:rPr>
        <w:t xml:space="preserve">sur l'accessibilité </w:t>
      </w:r>
      <w:r w:rsidR="000A556B">
        <w:rPr>
          <w:b/>
          <w:bCs/>
          <w:lang w:val="en-US"/>
        </w:rPr>
        <w:t xml:space="preserve">des </w:t>
      </w:r>
      <w:r w:rsidRPr="00A8739F" w:rsidR="003B20C6">
        <w:rPr>
          <w:b/>
          <w:bCs/>
          <w:lang w:val="en-US"/>
        </w:rPr>
        <w:t xml:space="preserve">personnes handicapées </w:t>
      </w:r>
      <w:r w:rsidRPr="00A8739F" w:rsidR="003E458E">
        <w:rPr>
          <w:b/>
          <w:bCs/>
          <w:lang w:val="en-US"/>
        </w:rPr>
        <w:t xml:space="preserve">aux chauffeurs et au personnel </w:t>
      </w:r>
      <w:r w:rsidRPr="00A8739F" w:rsidR="003B20C6">
        <w:rPr>
          <w:b/>
          <w:bCs/>
          <w:lang w:val="en-US"/>
        </w:rPr>
        <w:t xml:space="preserve">chargé de l'exploitation des </w:t>
      </w:r>
      <w:r w:rsidRPr="00A8739F" w:rsidR="00A8739F">
        <w:rPr>
          <w:b/>
          <w:bCs/>
          <w:lang w:val="en-US"/>
        </w:rPr>
        <w:t xml:space="preserve">arrêts de bus. </w:t>
      </w:r>
    </w:p>
    <w:bookmarkEnd w:id="14"/>
    <w:p w:rsidRPr="00AD7122" w:rsidR="0026771E" w:rsidP="00E00F5D" w:rsidRDefault="00E00F5D" w14:paraId="6E41743A" w14:textId="0DEB8639">
      <w:pPr>
        <w:pStyle w:val="H23G"/>
      </w:pPr>
      <w:r>
        <w:tab/>
      </w:r>
      <w:bookmarkStart w:name="_Hlk193804349" w:id="15"/>
      <w:r>
        <w:tab/>
      </w:r>
      <w:r w:rsidRPr="00323983" w:rsidR="000B0B6B">
        <w:t xml:space="preserve">Liberté d'expression et d'opinion et accès à l'information </w:t>
      </w:r>
      <w:r w:rsidRPr="00323983" w:rsidR="0026771E">
        <w:t xml:space="preserve">(art. 21)</w:t>
      </w:r>
    </w:p>
    <w:p w:rsidRPr="00323983" w:rsidR="00323983" w:rsidP="00E00F5D" w:rsidRDefault="00323983" w14:paraId="1F7F8FAA" w14:textId="6DF7A031">
      <w:pPr>
        <w:pStyle w:val="SingleTxtG"/>
        <w:numPr>
          <w:ilvl w:val="0"/>
          <w:numId w:val="22"/>
        </w:numPr>
        <w:ind w:start="1134" w:firstLine="0"/>
        <w:rPr>
          <w:b/>
          <w:bCs/>
          <w:lang w:val="en-US"/>
        </w:rPr>
      </w:pPr>
      <w:r w:rsidRPr="00323983">
        <w:rPr>
          <w:b/>
          <w:bCs/>
          <w:lang w:val="en-US"/>
        </w:rPr>
        <w:t xml:space="preserve">Le Comité est préoccupé par le fait que</w:t>
      </w:r>
    </w:p>
    <w:p w:rsidRPr="00323983" w:rsidR="00323983" w:rsidP="00E00F5D" w:rsidRDefault="00323983" w14:paraId="3BC3EAD0" w14:textId="4191AFA7">
      <w:pPr>
        <w:pStyle w:val="SingleTxtG"/>
        <w:ind w:firstLine="567"/>
        <w:rPr>
          <w:lang w:val="en-US"/>
        </w:rPr>
      </w:pPr>
      <w:r w:rsidRPr="00323983">
        <w:rPr>
          <w:lang w:val="en-US"/>
        </w:rPr>
        <w:t xml:space="preserve">(a)</w:t>
      </w:r>
      <w:r w:rsidRPr="00323983">
        <w:rPr>
          <w:lang w:val="en-US"/>
        </w:rPr>
        <w:tab/>
      </w:r>
      <w:r w:rsidRPr="00323983">
        <w:rPr>
          <w:lang w:val="en-US"/>
        </w:rPr>
        <w:t xml:space="preserve">De nombreuses personnes handicapées n'ont pas un accès égal à l'information et à la communication en raison de la disponibilité limitée de formats accessibles, et les langues des signes nationales </w:t>
      </w:r>
      <w:r w:rsidR="005778F3">
        <w:rPr>
          <w:lang w:val="en-US"/>
        </w:rPr>
        <w:t xml:space="preserve">(LSN) </w:t>
      </w:r>
      <w:r w:rsidRPr="00323983">
        <w:rPr>
          <w:lang w:val="en-US"/>
        </w:rPr>
        <w:t xml:space="preserve">ne sont pas considérées comme faisant partie du multilinguisme de l'UE ;</w:t>
      </w:r>
    </w:p>
    <w:p w:rsidRPr="00323983" w:rsidR="00323983" w:rsidP="00E00F5D" w:rsidRDefault="00323983" w14:paraId="2A24C3D1" w14:textId="054ECEDC">
      <w:pPr>
        <w:pStyle w:val="SingleTxtG"/>
        <w:ind w:firstLine="567"/>
        <w:rPr>
          <w:lang w:val="en-US"/>
        </w:rPr>
      </w:pPr>
      <w:r w:rsidRPr="00323983">
        <w:rPr>
          <w:lang w:val="en-US"/>
        </w:rPr>
        <w:t xml:space="preserve">(b)</w:t>
      </w:r>
      <w:r w:rsidRPr="00323983">
        <w:rPr>
          <w:lang w:val="en-US"/>
        </w:rPr>
        <w:tab/>
      </w:r>
      <w:r w:rsidRPr="00323983">
        <w:rPr>
          <w:lang w:val="en-US"/>
        </w:rPr>
        <w:t xml:space="preserve">La directive sur les services de médias audiovisuels manque de délais et d'objectifs de mise en œuvre et </w:t>
      </w:r>
      <w:r w:rsidR="000A556B">
        <w:rPr>
          <w:lang w:val="en-US"/>
        </w:rPr>
        <w:t xml:space="preserve">ne </w:t>
      </w:r>
      <w:r w:rsidRPr="00323983">
        <w:rPr>
          <w:lang w:val="en-US"/>
        </w:rPr>
        <w:t xml:space="preserve">garantit </w:t>
      </w:r>
      <w:r w:rsidR="000A556B">
        <w:rPr>
          <w:lang w:val="en-US"/>
        </w:rPr>
        <w:t xml:space="preserve">pas </w:t>
      </w:r>
      <w:r w:rsidRPr="00323983">
        <w:rPr>
          <w:lang w:val="en-US"/>
        </w:rPr>
        <w:t xml:space="preserve">l'accessibilité des plateformes de partage de vidéos, des médias sociaux et des sections audiovisuelles des sites web d'information ; </w:t>
      </w:r>
    </w:p>
    <w:p w:rsidRPr="00323983" w:rsidR="00323983" w:rsidP="00E00F5D" w:rsidRDefault="00323983" w14:paraId="3B52E597" w14:textId="0288530F">
      <w:pPr>
        <w:pStyle w:val="SingleTxtG"/>
        <w:ind w:firstLine="567"/>
        <w:rPr>
          <w:lang w:val="en-US"/>
        </w:rPr>
      </w:pPr>
      <w:r w:rsidRPr="00323983">
        <w:rPr>
          <w:lang w:val="en-US"/>
        </w:rPr>
        <w:lastRenderedPageBreak/>
      </w:r>
      <w:r w:rsidRPr="00323983">
        <w:rPr>
          <w:lang w:val="en-US"/>
        </w:rPr>
        <w:t xml:space="preserve">(c)</w:t>
      </w:r>
      <w:r w:rsidRPr="00323983">
        <w:rPr>
          <w:lang w:val="en-US"/>
        </w:rPr>
        <w:tab/>
      </w:r>
      <w:r w:rsidRPr="00323983">
        <w:rPr>
          <w:lang w:val="en-US"/>
        </w:rPr>
        <w:t xml:space="preserve">Les sites web et les médias sociaux des institutions de l'UE</w:t>
      </w:r>
      <w:r w:rsidR="00024FF5">
        <w:rPr>
          <w:lang w:val="en-US"/>
        </w:rPr>
        <w:t xml:space="preserve">, y compris ceux du Parlement européen, de la Commission européenne et du Conseil européen, </w:t>
      </w:r>
      <w:r w:rsidRPr="00323983">
        <w:rPr>
          <w:lang w:val="en-US"/>
        </w:rPr>
        <w:t xml:space="preserve">ne sont pas conformes aux lignes directrices en matière d'accessibilité du web ; </w:t>
      </w:r>
    </w:p>
    <w:p w:rsidRPr="00323983" w:rsidR="00323983" w:rsidP="00E00F5D" w:rsidRDefault="00323983" w14:paraId="5BE92D5F" w14:textId="481BBE5D">
      <w:pPr>
        <w:pStyle w:val="SingleTxtG"/>
        <w:ind w:firstLine="567"/>
        <w:rPr>
          <w:b/>
          <w:bCs/>
          <w:lang w:val="en-US"/>
        </w:rPr>
      </w:pPr>
      <w:r w:rsidRPr="00323983">
        <w:rPr>
          <w:lang w:val="en-US"/>
        </w:rPr>
        <w:t xml:space="preserve">(d)</w:t>
      </w:r>
      <w:r w:rsidRPr="00323983">
        <w:rPr>
          <w:lang w:val="en-US"/>
        </w:rPr>
        <w:tab/>
      </w:r>
      <w:r w:rsidRPr="00323983">
        <w:rPr>
          <w:lang w:val="en-US"/>
        </w:rPr>
        <w:t xml:space="preserve">La </w:t>
      </w:r>
      <w:r w:rsidR="00024FF5">
        <w:rPr>
          <w:lang w:val="en-US"/>
        </w:rPr>
        <w:t xml:space="preserve">fragmentation </w:t>
      </w:r>
      <w:r w:rsidRPr="00323983">
        <w:rPr>
          <w:lang w:val="en-US"/>
        </w:rPr>
        <w:t xml:space="preserve">des technologies d'assistance dans l'UE, avec différents systèmes de certification et modèles de fourniture</w:t>
      </w:r>
      <w:r w:rsidR="00024FF5">
        <w:rPr>
          <w:lang w:val="en-US"/>
        </w:rPr>
        <w:t xml:space="preserve">, </w:t>
      </w:r>
      <w:r w:rsidR="00024FF5">
        <w:rPr>
          <w:lang w:val="en-US"/>
        </w:rPr>
        <w:t xml:space="preserve">crée des </w:t>
      </w:r>
      <w:r w:rsidRPr="00323983">
        <w:rPr>
          <w:lang w:val="en-US"/>
        </w:rPr>
        <w:t xml:space="preserve">obstacles à l'accès et au choix.</w:t>
      </w:r>
    </w:p>
    <w:p w:rsidRPr="00323983" w:rsidR="00323983" w:rsidP="00E00F5D" w:rsidRDefault="00323983" w14:paraId="5E4E8CAC" w14:textId="12B8DF7D">
      <w:pPr>
        <w:pStyle w:val="SingleTxtG"/>
        <w:numPr>
          <w:ilvl w:val="0"/>
          <w:numId w:val="22"/>
        </w:numPr>
        <w:ind w:start="1134" w:firstLine="0"/>
        <w:rPr>
          <w:b/>
          <w:bCs/>
          <w:lang w:val="en-US"/>
        </w:rPr>
      </w:pPr>
      <w:r w:rsidRPr="00323983">
        <w:rPr>
          <w:b/>
          <w:bCs/>
          <w:lang w:val="en-US"/>
        </w:rPr>
        <w:t xml:space="preserve">Le Comité rappelle ses précédentes </w:t>
      </w:r>
      <w:r w:rsidR="00B35169">
        <w:rPr>
          <w:b/>
          <w:bCs/>
          <w:lang w:val="en-US"/>
        </w:rPr>
        <w:t xml:space="preserve">observations</w:t>
      </w:r>
      <w:r w:rsidRPr="00323983">
        <w:rPr>
          <w:b/>
          <w:bCs/>
          <w:lang w:val="en-US"/>
        </w:rPr>
        <w:t xml:space="preserve"> finales </w:t>
      </w:r>
      <w:r w:rsidRPr="00323983">
        <w:rPr>
          <w:b/>
          <w:bCs/>
          <w:lang w:val="en-US"/>
        </w:rPr>
        <w:t xml:space="preserve">et </w:t>
      </w:r>
      <w:r w:rsidR="00B35169">
        <w:rPr>
          <w:b/>
          <w:bCs/>
          <w:lang w:val="en-US"/>
        </w:rPr>
        <w:t xml:space="preserve">recommandations </w:t>
      </w:r>
      <w:r w:rsidRPr="00323983">
        <w:rPr>
          <w:b/>
          <w:bCs/>
          <w:lang w:val="en-US"/>
        </w:rPr>
        <w:t xml:space="preserve">(paragraphe 55) et recommande à l'</w:t>
      </w:r>
      <w:r w:rsidR="0044083B">
        <w:rPr>
          <w:b/>
          <w:bCs/>
          <w:lang w:val="en-US"/>
        </w:rPr>
        <w:t xml:space="preserve">Union européenne </w:t>
      </w:r>
      <w:r w:rsidR="00C547E7">
        <w:rPr>
          <w:b/>
          <w:bCs/>
          <w:lang w:val="en-US"/>
        </w:rPr>
        <w:t xml:space="preserve">:</w:t>
      </w:r>
    </w:p>
    <w:p w:rsidRPr="00323983" w:rsidR="00323983" w:rsidP="00E00F5D" w:rsidRDefault="00323983" w14:paraId="3583D8CD" w14:textId="32F52F65">
      <w:pPr>
        <w:pStyle w:val="SingleTxtG"/>
        <w:ind w:firstLine="567"/>
        <w:rPr>
          <w:lang w:val="en-US"/>
        </w:rPr>
      </w:pPr>
      <w:r w:rsidRPr="00323983">
        <w:rPr>
          <w:b/>
          <w:bCs/>
          <w:lang w:val="en-US"/>
        </w:rPr>
        <w:t xml:space="preserve">(a)</w:t>
      </w:r>
      <w:r w:rsidRPr="00323983">
        <w:rPr>
          <w:b/>
          <w:bCs/>
          <w:lang w:val="en-US"/>
        </w:rPr>
        <w:tab/>
      </w:r>
      <w:r w:rsidRPr="00323983">
        <w:rPr>
          <w:b/>
          <w:bCs/>
          <w:lang w:val="en-US"/>
        </w:rPr>
        <w:t xml:space="preserve">Modifier le règlement intérieur des institutions de l'UE pour refléter les droits des </w:t>
      </w:r>
      <w:r w:rsidR="0044083B">
        <w:rPr>
          <w:b/>
          <w:bCs/>
          <w:lang w:val="en-US"/>
        </w:rPr>
        <w:t xml:space="preserve">personnes </w:t>
      </w:r>
      <w:r w:rsidRPr="00323983">
        <w:rPr>
          <w:b/>
          <w:bCs/>
          <w:lang w:val="en-US"/>
        </w:rPr>
        <w:t xml:space="preserve">sourdes </w:t>
      </w:r>
      <w:r w:rsidRPr="00323983">
        <w:rPr>
          <w:b/>
          <w:bCs/>
          <w:lang w:val="en-US"/>
        </w:rPr>
        <w:t xml:space="preserve">; </w:t>
      </w:r>
      <w:r w:rsidRPr="00323983">
        <w:rPr>
          <w:b/>
          <w:bCs/>
          <w:lang w:val="en-US"/>
        </w:rPr>
        <w:t xml:space="preserve">reconnaître les 29 LSN de l'UE comme langues officielles de l'UE et augmenter la disponibilité des informations en </w:t>
      </w:r>
      <w:r w:rsidRPr="00323983">
        <w:rPr>
          <w:b/>
          <w:bCs/>
          <w:lang w:val="en-US"/>
        </w:rPr>
        <w:t xml:space="preserve">format </w:t>
      </w:r>
      <w:r w:rsidRPr="00323983">
        <w:rPr>
          <w:b/>
          <w:bCs/>
          <w:lang w:val="en-US"/>
        </w:rPr>
        <w:t xml:space="preserve">Easy </w:t>
      </w:r>
      <w:r w:rsidRPr="00323983">
        <w:rPr>
          <w:b/>
          <w:bCs/>
          <w:lang w:val="en-US"/>
        </w:rPr>
        <w:t xml:space="preserve">Read </w:t>
      </w:r>
      <w:r w:rsidR="0044083B">
        <w:rPr>
          <w:b/>
          <w:bCs/>
          <w:lang w:val="en-US"/>
        </w:rPr>
        <w:t xml:space="preserve">;</w:t>
      </w:r>
    </w:p>
    <w:p w:rsidRPr="00323983" w:rsidR="00323983" w:rsidP="00E00F5D" w:rsidRDefault="00323983" w14:paraId="7444F45A" w14:textId="6A964352">
      <w:pPr>
        <w:pStyle w:val="SingleTxtG"/>
        <w:ind w:firstLine="567"/>
        <w:rPr>
          <w:b/>
          <w:bCs/>
          <w:lang w:val="en-US"/>
        </w:rPr>
      </w:pPr>
      <w:r w:rsidRPr="00323983">
        <w:rPr>
          <w:b/>
          <w:bCs/>
          <w:lang w:val="en-US"/>
        </w:rPr>
        <w:t xml:space="preserve">(b)</w:t>
      </w:r>
      <w:r w:rsidRPr="00323983">
        <w:rPr>
          <w:b/>
          <w:bCs/>
          <w:lang w:val="en-US"/>
        </w:rPr>
        <w:tab/>
      </w:r>
      <w:r w:rsidRPr="00323983" w:rsidR="00BB77BD">
        <w:rPr>
          <w:b/>
          <w:bCs/>
          <w:lang w:val="en-US"/>
        </w:rPr>
        <w:t xml:space="preserve">Fixer des échéances et des critères harmonisés à l'échelle de l'UE pour l'</w:t>
      </w:r>
      <w:r w:rsidRPr="00323983" w:rsidR="00BB77BD">
        <w:rPr>
          <w:b/>
          <w:bCs/>
        </w:rPr>
        <w:t xml:space="preserve">accessibilité audiovisuelle </w:t>
      </w:r>
      <w:r w:rsidR="00BB77BD">
        <w:rPr>
          <w:b/>
          <w:bCs/>
        </w:rPr>
        <w:t xml:space="preserve">dans la </w:t>
      </w:r>
      <w:r w:rsidRPr="00323983">
        <w:rPr>
          <w:b/>
          <w:bCs/>
          <w:lang w:val="en-US"/>
        </w:rPr>
        <w:t xml:space="preserve">directive sur les services de médias audiovisuels</w:t>
      </w:r>
      <w:r w:rsidRPr="00323983">
        <w:rPr>
          <w:b/>
          <w:bCs/>
        </w:rPr>
        <w:t xml:space="preserve">, </w:t>
      </w:r>
      <w:r w:rsidRPr="00323983">
        <w:rPr>
          <w:b/>
          <w:bCs/>
          <w:lang w:val="en-US"/>
        </w:rPr>
        <w:t xml:space="preserve">y compris des objectifs quantitatifs et qualitatifs ;</w:t>
      </w:r>
    </w:p>
    <w:p w:rsidRPr="00323983" w:rsidR="00323983" w:rsidP="00E00F5D" w:rsidRDefault="00323983" w14:paraId="20782990" w14:textId="21CC3E8F">
      <w:pPr>
        <w:pStyle w:val="SingleTxtG"/>
        <w:ind w:firstLine="567"/>
        <w:rPr>
          <w:b/>
          <w:bCs/>
          <w:lang w:val="en-US"/>
        </w:rPr>
      </w:pPr>
      <w:r w:rsidRPr="00323983">
        <w:rPr>
          <w:b/>
          <w:bCs/>
          <w:lang w:val="en-US"/>
        </w:rPr>
        <w:t xml:space="preserve">(c)</w:t>
      </w:r>
      <w:r w:rsidRPr="00323983">
        <w:rPr>
          <w:b/>
          <w:bCs/>
          <w:lang w:val="en-US"/>
        </w:rPr>
        <w:tab/>
      </w:r>
      <w:r w:rsidRPr="00323983">
        <w:rPr>
          <w:b/>
          <w:bCs/>
          <w:lang w:val="en-US"/>
        </w:rPr>
        <w:t xml:space="preserve">Veiller à l'application des normes d'accessibilité du web à tous les sites web et plateformes en ligne des institutions de l'UE, conformément au plan d'action pour l'accessibilité du web et à la directive sur l'accessibilité du web ;</w:t>
      </w:r>
    </w:p>
    <w:p w:rsidRPr="00323983" w:rsidR="00664416" w:rsidP="00E00F5D" w:rsidRDefault="00323983" w14:paraId="5924A04A" w14:textId="073BF254">
      <w:pPr>
        <w:pStyle w:val="SingleTxtG"/>
        <w:ind w:firstLine="567"/>
        <w:rPr>
          <w:b/>
          <w:bCs/>
          <w:lang w:val="en-US"/>
        </w:rPr>
      </w:pPr>
      <w:r w:rsidRPr="00323983">
        <w:rPr>
          <w:b/>
          <w:bCs/>
          <w:lang w:val="en-US"/>
        </w:rPr>
        <w:t xml:space="preserve">(d)</w:t>
      </w:r>
      <w:r w:rsidRPr="00323983">
        <w:rPr>
          <w:b/>
          <w:bCs/>
          <w:lang w:val="en-US"/>
        </w:rPr>
        <w:tab/>
      </w:r>
      <w:r w:rsidRPr="00323983">
        <w:rPr>
          <w:b/>
          <w:bCs/>
          <w:lang w:val="en-US"/>
        </w:rPr>
        <w:t xml:space="preserve">garantir la disponibilité et le caractère abordable des technologies d'assistance pour les personnes handicapées </w:t>
      </w:r>
      <w:r w:rsidR="00D92F0F">
        <w:rPr>
          <w:b/>
          <w:bCs/>
          <w:lang w:val="en-US"/>
        </w:rPr>
        <w:t xml:space="preserve">dans l'ensemble de l'UE</w:t>
      </w:r>
      <w:r w:rsidRPr="00323983">
        <w:rPr>
          <w:b/>
          <w:bCs/>
          <w:lang w:val="en-US"/>
        </w:rPr>
        <w:t xml:space="preserve">.</w:t>
      </w:r>
    </w:p>
    <w:p w:rsidRPr="00AD7122" w:rsidR="0026771E" w:rsidP="00E00F5D" w:rsidRDefault="00E00F5D" w14:paraId="0D9849A8" w14:textId="567CE621">
      <w:pPr>
        <w:pStyle w:val="H23G"/>
      </w:pPr>
      <w:r>
        <w:tab/>
      </w:r>
      <w:r>
        <w:tab/>
      </w:r>
      <w:r w:rsidR="000B0B6B">
        <w:t xml:space="preserve">Respect de la vie privée </w:t>
      </w:r>
      <w:r w:rsidRPr="00AD7122" w:rsidR="0026771E">
        <w:t xml:space="preserve">(art. 22)</w:t>
      </w:r>
    </w:p>
    <w:p w:rsidR="006B2399" w:rsidP="00E00F5D" w:rsidRDefault="0094347A" w14:paraId="20C76F20" w14:textId="76A62512">
      <w:pPr>
        <w:pStyle w:val="SingleTxtG"/>
        <w:numPr>
          <w:ilvl w:val="0"/>
          <w:numId w:val="22"/>
        </w:numPr>
        <w:ind w:start="1134" w:firstLine="0"/>
        <w:rPr>
          <w:lang w:val="en-US"/>
        </w:rPr>
      </w:pPr>
      <w:r>
        <w:rPr>
          <w:lang w:val="en-US"/>
        </w:rPr>
        <w:t xml:space="preserve">Le Comité est préoccupé </w:t>
      </w:r>
      <w:r w:rsidR="006B2399">
        <w:rPr>
          <w:lang w:val="en-US"/>
        </w:rPr>
        <w:t xml:space="preserve">par</w:t>
      </w:r>
    </w:p>
    <w:p w:rsidR="00734AC5" w:rsidP="00E00F5D" w:rsidRDefault="006B2399" w14:paraId="791D225C" w14:textId="62C34C58">
      <w:pPr>
        <w:pStyle w:val="SingleTxtG"/>
        <w:ind w:firstLine="567"/>
        <w:rPr>
          <w:lang w:val="en-US"/>
        </w:rPr>
      </w:pPr>
      <w:r>
        <w:rPr>
          <w:lang w:val="en-US"/>
        </w:rPr>
        <w:tab/>
      </w:r>
      <w:r>
        <w:rPr>
          <w:lang w:val="en-US"/>
        </w:rPr>
        <w:t xml:space="preserve">(</w:t>
      </w:r>
      <w:r w:rsidRPr="0094347A" w:rsidR="0094347A">
        <w:rPr>
          <w:lang w:val="en-US"/>
        </w:rPr>
        <w:t xml:space="preserve">a)</w:t>
      </w:r>
      <w:r w:rsidRPr="0094347A" w:rsidR="0094347A">
        <w:rPr>
          <w:lang w:val="en-US"/>
        </w:rPr>
        <w:tab/>
      </w:r>
      <w:r w:rsidRPr="0094347A" w:rsidR="0094347A">
        <w:rPr>
          <w:lang w:val="en-US"/>
        </w:rPr>
        <w:t xml:space="preserve">Les risques pour la vie privée liés aux technologies émergentes, notamment l'utilisation de l'intelligence artificielle et la prise de décision automatisée, les pratiques en matière de données liées aux technologies d'assistance qui peuvent révéler des informations sensibles liées au handicap </w:t>
      </w:r>
      <w:r w:rsidRPr="0094347A" w:rsidR="0094347A">
        <w:rPr>
          <w:lang w:val="en-US"/>
        </w:rPr>
        <w:t xml:space="preserve">et la restriction du plein accès aux fonctions vitales des dispositifs d'assistance </w:t>
      </w:r>
      <w:r w:rsidRPr="0094347A" w:rsidR="0094347A">
        <w:rPr>
          <w:lang w:val="en-US"/>
        </w:rPr>
        <w:t xml:space="preserve">si les autorisations de collecte de données ne sont pas accordées ;</w:t>
      </w:r>
    </w:p>
    <w:p w:rsidRPr="0094347A" w:rsidR="0026771E" w:rsidP="00E00F5D" w:rsidRDefault="00734AC5" w14:paraId="33EBF01E" w14:textId="3056E9BC">
      <w:pPr>
        <w:pStyle w:val="SingleTxtG"/>
        <w:ind w:firstLine="567"/>
        <w:rPr>
          <w:lang w:val="en-US"/>
        </w:rPr>
      </w:pPr>
      <w:r>
        <w:rPr>
          <w:lang w:val="en-US"/>
        </w:rPr>
        <w:tab/>
      </w:r>
      <w:r w:rsidRPr="0094347A" w:rsidR="0094347A">
        <w:rPr>
          <w:lang w:val="en-US"/>
        </w:rPr>
        <w:t xml:space="preserve">(</w:t>
      </w:r>
      <w:r>
        <w:rPr>
          <w:lang w:val="en-US"/>
        </w:rPr>
        <w:t xml:space="preserve">b</w:t>
      </w:r>
      <w:r w:rsidRPr="0094347A" w:rsidR="0094347A">
        <w:rPr>
          <w:lang w:val="en-US"/>
        </w:rPr>
        <w:t xml:space="preserve">)</w:t>
      </w:r>
      <w:r w:rsidRPr="0094347A" w:rsidR="0094347A">
        <w:rPr>
          <w:lang w:val="en-US"/>
        </w:rPr>
        <w:tab/>
      </w:r>
      <w:r w:rsidR="00814C31">
        <w:rPr>
          <w:lang w:val="en-US"/>
        </w:rPr>
        <w:t xml:space="preserve">les personnes souffrant d'un handicap intellectuel et/ou psychosocial ne peuvent pas </w:t>
      </w:r>
      <w:r w:rsidRPr="0094347A" w:rsidR="0094347A">
        <w:rPr>
          <w:lang w:val="en-US"/>
        </w:rPr>
        <w:t xml:space="preserve">donner ou refuser </w:t>
      </w:r>
      <w:r w:rsidR="00814C31">
        <w:rPr>
          <w:lang w:val="en-US"/>
        </w:rPr>
        <w:t xml:space="preserve">leur consentement au </w:t>
      </w:r>
      <w:r w:rsidR="005E2973">
        <w:rPr>
          <w:lang w:val="en-US"/>
        </w:rPr>
        <w:t xml:space="preserve">traitement des </w:t>
      </w:r>
      <w:r w:rsidRPr="0094347A" w:rsidR="0094347A">
        <w:rPr>
          <w:lang w:val="en-US"/>
        </w:rPr>
        <w:t xml:space="preserve">données </w:t>
      </w:r>
      <w:r w:rsidRPr="0094347A" w:rsidR="0094347A">
        <w:rPr>
          <w:lang w:val="en-US"/>
        </w:rPr>
        <w:t xml:space="preserve">en raison des dispositifs de prise de décision de substitution. </w:t>
      </w:r>
    </w:p>
    <w:p w:rsidRPr="001D7CB2" w:rsidR="001D7CB2" w:rsidP="00E00F5D" w:rsidRDefault="001D7CB2" w14:paraId="70B7FC2D" w14:textId="3E13B860">
      <w:pPr>
        <w:pStyle w:val="SingleTxtG"/>
        <w:numPr>
          <w:ilvl w:val="0"/>
          <w:numId w:val="22"/>
        </w:numPr>
        <w:ind w:start="1134" w:firstLine="0"/>
        <w:rPr>
          <w:b/>
          <w:bCs/>
          <w:lang w:val="en-US"/>
        </w:rPr>
      </w:pPr>
      <w:r w:rsidRPr="001D7CB2">
        <w:rPr>
          <w:b/>
          <w:bCs/>
          <w:lang w:val="en-US"/>
        </w:rPr>
        <w:t xml:space="preserve">Le Comité recommande à l'</w:t>
      </w:r>
      <w:r w:rsidR="00004F41">
        <w:rPr>
          <w:b/>
          <w:bCs/>
          <w:lang w:val="en-US"/>
        </w:rPr>
        <w:t xml:space="preserve">Union européenne</w:t>
      </w:r>
    </w:p>
    <w:p w:rsidRPr="001D7CB2" w:rsidR="001D7CB2" w:rsidP="00E00F5D" w:rsidRDefault="001D7CB2" w14:paraId="1B002212" w14:textId="7EC5DABC">
      <w:pPr>
        <w:pStyle w:val="SingleTxtG"/>
        <w:ind w:firstLine="567"/>
        <w:rPr>
          <w:b/>
          <w:bCs/>
          <w:lang w:val="en-US"/>
        </w:rPr>
      </w:pPr>
      <w:r>
        <w:rPr>
          <w:b/>
          <w:bCs/>
          <w:lang w:val="en-US"/>
        </w:rPr>
        <w:tab/>
      </w:r>
      <w:r w:rsidRPr="001D7CB2">
        <w:rPr>
          <w:b/>
          <w:bCs/>
          <w:lang w:val="en-US"/>
        </w:rPr>
        <w:t xml:space="preserve">(a)</w:t>
      </w:r>
      <w:r w:rsidRPr="001D7CB2">
        <w:rPr>
          <w:b/>
          <w:bCs/>
          <w:lang w:val="en-US"/>
        </w:rPr>
        <w:tab/>
      </w:r>
      <w:r w:rsidRPr="001D7CB2">
        <w:rPr>
          <w:b/>
          <w:bCs/>
          <w:lang w:val="en-US"/>
        </w:rPr>
        <w:t xml:space="preserve">De veiller à ce </w:t>
      </w:r>
      <w:r w:rsidR="00814C31">
        <w:rPr>
          <w:b/>
          <w:bCs/>
          <w:lang w:val="en-US"/>
        </w:rPr>
        <w:t xml:space="preserve">que </w:t>
      </w:r>
      <w:r w:rsidRPr="001D7CB2">
        <w:rPr>
          <w:b/>
          <w:bCs/>
          <w:lang w:val="en-US"/>
        </w:rPr>
        <w:t xml:space="preserve">les personnes handicapées reçoivent des informations claires et accessibles sur leurs droits en matière de données</w:t>
      </w:r>
      <w:r w:rsidR="00814C31">
        <w:rPr>
          <w:b/>
          <w:bCs/>
          <w:lang w:val="en-US"/>
        </w:rPr>
        <w:t xml:space="preserve">, à ce que </w:t>
      </w:r>
      <w:r w:rsidRPr="001D7CB2">
        <w:rPr>
          <w:b/>
          <w:bCs/>
          <w:lang w:val="en-US"/>
        </w:rPr>
        <w:t xml:space="preserve">la collecte de données </w:t>
      </w:r>
      <w:r w:rsidR="00814C31">
        <w:rPr>
          <w:b/>
          <w:bCs/>
          <w:lang w:val="en-US"/>
        </w:rPr>
        <w:t xml:space="preserve">soit limitée </w:t>
      </w:r>
      <w:r w:rsidR="00C42858">
        <w:rPr>
          <w:b/>
          <w:bCs/>
          <w:lang w:val="en-US"/>
        </w:rPr>
        <w:t xml:space="preserve">à </w:t>
      </w:r>
      <w:r w:rsidRPr="00913118" w:rsidR="00913118">
        <w:rPr>
          <w:b/>
          <w:bCs/>
          <w:lang w:val="en-US"/>
        </w:rPr>
        <w:t xml:space="preserve">ce qui est nécessaire à l'objectif poursuivi </w:t>
      </w:r>
      <w:r w:rsidR="00AE685C">
        <w:rPr>
          <w:b/>
          <w:bCs/>
          <w:lang w:val="en-US"/>
        </w:rPr>
        <w:t xml:space="preserve">et </w:t>
      </w:r>
      <w:r w:rsidRPr="001D7CB2">
        <w:rPr>
          <w:b/>
          <w:bCs/>
          <w:lang w:val="en-US"/>
        </w:rPr>
        <w:t xml:space="preserve">à ce que les technologies d'assistance </w:t>
      </w:r>
      <w:r w:rsidR="00C42858">
        <w:rPr>
          <w:b/>
          <w:bCs/>
          <w:lang w:val="en-US"/>
        </w:rPr>
        <w:t xml:space="preserve">restent </w:t>
      </w:r>
      <w:r w:rsidRPr="001D7CB2">
        <w:rPr>
          <w:b/>
          <w:bCs/>
          <w:lang w:val="en-US"/>
        </w:rPr>
        <w:t xml:space="preserve">disponibles</w:t>
      </w:r>
      <w:r w:rsidR="00814C31">
        <w:rPr>
          <w:b/>
          <w:bCs/>
          <w:lang w:val="en-US"/>
        </w:rPr>
        <w:t xml:space="preserve">, </w:t>
      </w:r>
      <w:r w:rsidRPr="001D7CB2">
        <w:rPr>
          <w:b/>
          <w:bCs/>
          <w:lang w:val="en-US"/>
        </w:rPr>
        <w:t xml:space="preserve">quelles que soient les décisions prises en matière de partage des données ;</w:t>
      </w:r>
    </w:p>
    <w:p w:rsidR="00C547E7" w:rsidP="00E00F5D" w:rsidRDefault="00687C98" w14:paraId="340F68CE" w14:textId="1D21A39A">
      <w:pPr>
        <w:pStyle w:val="SingleTxtG"/>
        <w:ind w:firstLine="567"/>
        <w:rPr>
          <w:b/>
          <w:bCs/>
          <w:lang w:val="en-US"/>
        </w:rPr>
      </w:pPr>
      <w:r>
        <w:rPr>
          <w:b/>
          <w:bCs/>
          <w:lang w:val="en-US"/>
        </w:rPr>
        <w:tab/>
      </w:r>
      <w:r>
        <w:rPr>
          <w:b/>
          <w:bCs/>
          <w:lang w:val="en-US"/>
        </w:rPr>
        <w:t xml:space="preserve">(b</w:t>
      </w:r>
      <w:r w:rsidRPr="001D7CB2" w:rsidR="001D7CB2">
        <w:rPr>
          <w:b/>
          <w:bCs/>
          <w:lang w:val="en-US"/>
        </w:rPr>
        <w:t xml:space="preserve">)</w:t>
      </w:r>
      <w:r w:rsidRPr="001D7CB2" w:rsidR="001D7CB2">
        <w:rPr>
          <w:b/>
          <w:bCs/>
          <w:lang w:val="en-US"/>
        </w:rPr>
        <w:tab/>
      </w:r>
      <w:r w:rsidRPr="001D7CB2" w:rsidR="001D7CB2">
        <w:rPr>
          <w:b/>
          <w:bCs/>
          <w:lang w:val="en-US"/>
        </w:rPr>
        <w:t xml:space="preserve">modifier les dispositions légales </w:t>
      </w:r>
      <w:r w:rsidRPr="001D7CB2" w:rsidR="001D7CB2">
        <w:rPr>
          <w:b/>
          <w:bCs/>
          <w:lang w:val="en-US"/>
        </w:rPr>
        <w:t xml:space="preserve">afin de garantir que les personnes handicapées disposent de droits effectifs de consentement ou d'opposition au traitement des données </w:t>
      </w:r>
      <w:r w:rsidR="002A1F0C">
        <w:rPr>
          <w:b/>
          <w:bCs/>
          <w:lang w:val="en-US"/>
        </w:rPr>
        <w:t xml:space="preserve">et qu'elles peuvent contrôler leurs données de santé, et fournir des </w:t>
      </w:r>
      <w:r w:rsidRPr="001D7CB2" w:rsidR="001D7CB2">
        <w:rPr>
          <w:b/>
          <w:bCs/>
          <w:lang w:val="en-US"/>
        </w:rPr>
        <w:t xml:space="preserve">interfaces conviviales et accessibles qui permettent de refuser le partage des données</w:t>
      </w:r>
      <w:r>
        <w:rPr>
          <w:b/>
          <w:bCs/>
          <w:lang w:val="en-US"/>
        </w:rPr>
        <w:t xml:space="preserve">.</w:t>
      </w:r>
    </w:p>
    <w:bookmarkEnd w:id="15"/>
    <w:p w:rsidRPr="00AD7122" w:rsidR="0026771E" w:rsidP="00E00F5D" w:rsidRDefault="00E00F5D" w14:paraId="67D4D6D6" w14:textId="17A6665F">
      <w:pPr>
        <w:pStyle w:val="H23G"/>
      </w:pPr>
      <w:r>
        <w:tab/>
      </w:r>
      <w:r>
        <w:tab/>
      </w:r>
      <w:r w:rsidR="006A2B00">
        <w:t xml:space="preserve">Respect du domicile et de la famille </w:t>
      </w:r>
      <w:r w:rsidRPr="00AD7122" w:rsidR="0026771E">
        <w:t xml:space="preserve">(art. 23)</w:t>
      </w:r>
    </w:p>
    <w:p w:rsidR="00715180" w:rsidP="00E00F5D" w:rsidRDefault="0055499E" w14:paraId="22CFA708" w14:textId="5FC9C1CB">
      <w:pPr>
        <w:pStyle w:val="SingleTxtG"/>
        <w:numPr>
          <w:ilvl w:val="0"/>
          <w:numId w:val="22"/>
        </w:numPr>
        <w:ind w:start="1134" w:firstLine="0"/>
        <w:rPr>
          <w:lang w:val="en-US"/>
        </w:rPr>
      </w:pPr>
      <w:r>
        <w:rPr>
          <w:lang w:val="en-US"/>
        </w:rPr>
        <w:t xml:space="preserve">Le Comité est préoccupé </w:t>
      </w:r>
      <w:r w:rsidR="00715180">
        <w:rPr>
          <w:lang w:val="en-US"/>
        </w:rPr>
        <w:t xml:space="preserve">par le fait que</w:t>
      </w:r>
    </w:p>
    <w:p w:rsidRPr="0055499E" w:rsidR="0055499E" w:rsidP="00E00F5D" w:rsidRDefault="00715180" w14:paraId="3FC8043A" w14:textId="1E4CA535">
      <w:pPr>
        <w:pStyle w:val="SingleTxtG"/>
        <w:ind w:firstLine="567"/>
        <w:rPr>
          <w:lang w:val="en-US"/>
        </w:rPr>
      </w:pPr>
      <w:r>
        <w:rPr>
          <w:lang w:val="en-US"/>
        </w:rPr>
        <w:tab/>
      </w:r>
      <w:r>
        <w:rPr>
          <w:lang w:val="en-US"/>
        </w:rPr>
        <w:t xml:space="preserve">(a</w:t>
      </w:r>
      <w:r w:rsidRPr="0055499E" w:rsidR="0055499E">
        <w:rPr>
          <w:lang w:val="en-US"/>
        </w:rPr>
        <w:t xml:space="preserve">)</w:t>
      </w:r>
      <w:r w:rsidR="008166F3">
        <w:rPr>
          <w:lang w:val="en-US"/>
        </w:rPr>
        <w:tab/>
      </w:r>
      <w:r w:rsidRPr="0055499E" w:rsidR="0055499E">
        <w:rPr>
          <w:lang w:val="en-US"/>
        </w:rPr>
        <w:t xml:space="preserve">La stratégie de l'UE en matière de soins </w:t>
      </w:r>
      <w:r w:rsidR="00A714BC">
        <w:rPr>
          <w:lang w:val="en-US"/>
        </w:rPr>
        <w:t xml:space="preserve">et les deux règlements qui l'accompagnent </w:t>
      </w:r>
      <w:r w:rsidR="000A556B">
        <w:rPr>
          <w:lang w:val="en-US"/>
        </w:rPr>
        <w:t xml:space="preserve">n'</w:t>
      </w:r>
      <w:r w:rsidRPr="0055499E" w:rsidR="0055499E">
        <w:rPr>
          <w:lang w:val="en-US"/>
        </w:rPr>
        <w:t xml:space="preserve">encouragent </w:t>
      </w:r>
      <w:r w:rsidR="000A556B">
        <w:rPr>
          <w:lang w:val="en-US"/>
        </w:rPr>
        <w:t xml:space="preserve">pas </w:t>
      </w:r>
      <w:r w:rsidRPr="0055499E" w:rsidR="0055499E">
        <w:rPr>
          <w:lang w:val="en-US"/>
        </w:rPr>
        <w:t xml:space="preserve">les États membres à fournir aux personnes handicapées </w:t>
      </w:r>
      <w:r w:rsidRPr="0055499E" w:rsidR="0055499E">
        <w:rPr>
          <w:lang w:val="en-US"/>
        </w:rPr>
        <w:t xml:space="preserve">des services autogérés à leur domicile et dans la communauté ; </w:t>
      </w:r>
    </w:p>
    <w:p w:rsidRPr="0055499E" w:rsidR="0055499E" w:rsidP="00E00F5D" w:rsidRDefault="00AE511B" w14:paraId="1BAD0838" w14:textId="7F30EFD5">
      <w:pPr>
        <w:pStyle w:val="SingleTxtG"/>
        <w:ind w:firstLine="567"/>
        <w:rPr>
          <w:lang w:val="en-US"/>
        </w:rPr>
      </w:pPr>
      <w:r>
        <w:rPr>
          <w:lang w:val="en-US"/>
        </w:rPr>
        <w:tab/>
      </w:r>
      <w:r>
        <w:rPr>
          <w:lang w:val="en-US"/>
        </w:rPr>
        <w:t xml:space="preserve">(b</w:t>
      </w:r>
      <w:r w:rsidRPr="0055499E" w:rsidR="0055499E">
        <w:rPr>
          <w:lang w:val="en-US"/>
        </w:rPr>
        <w:t xml:space="preserve">)</w:t>
      </w:r>
      <w:r w:rsidRPr="0055499E" w:rsidR="0055499E">
        <w:rPr>
          <w:lang w:val="en-US"/>
        </w:rPr>
        <w:tab/>
      </w:r>
      <w:r w:rsidRPr="0055499E" w:rsidR="0055499E">
        <w:rPr>
          <w:lang w:val="en-US"/>
        </w:rPr>
        <w:t xml:space="preserve">Pendant la pandémie de COVID-19, les </w:t>
      </w:r>
      <w:r w:rsidR="00126E2C">
        <w:rPr>
          <w:lang w:val="en-US"/>
        </w:rPr>
        <w:t xml:space="preserve">personnes handicapées placées en institution ont </w:t>
      </w:r>
      <w:r w:rsidR="00C42858">
        <w:rPr>
          <w:lang w:val="en-US"/>
        </w:rPr>
        <w:t xml:space="preserve">souvent </w:t>
      </w:r>
      <w:r w:rsidR="00126E2C">
        <w:rPr>
          <w:lang w:val="en-US"/>
        </w:rPr>
        <w:t xml:space="preserve">été </w:t>
      </w:r>
      <w:r w:rsidR="00126E2C">
        <w:rPr>
          <w:lang w:val="en-US"/>
        </w:rPr>
        <w:t xml:space="preserve">séparées de leur famille </w:t>
      </w:r>
      <w:r w:rsidR="002314F5">
        <w:rPr>
          <w:lang w:val="en-US"/>
        </w:rPr>
        <w:t xml:space="preserve">;</w:t>
      </w:r>
    </w:p>
    <w:p w:rsidRPr="0055499E" w:rsidR="0026771E" w:rsidP="00E00F5D" w:rsidRDefault="00AE511B" w14:paraId="62D7E4EF" w14:textId="3C88DF55">
      <w:pPr>
        <w:pStyle w:val="SingleTxtG"/>
        <w:ind w:firstLine="567"/>
        <w:rPr>
          <w:lang w:val="en-US"/>
        </w:rPr>
      </w:pPr>
      <w:r>
        <w:rPr>
          <w:lang w:val="en-US"/>
        </w:rPr>
        <w:tab/>
      </w:r>
      <w:r>
        <w:rPr>
          <w:lang w:val="en-US"/>
        </w:rPr>
        <w:t xml:space="preserve">(c</w:t>
      </w:r>
      <w:r w:rsidRPr="0055499E" w:rsidR="0055499E">
        <w:rPr>
          <w:lang w:val="en-US"/>
        </w:rPr>
        <w:t xml:space="preserve">)</w:t>
      </w:r>
      <w:r w:rsidRPr="0055499E" w:rsidR="0055499E">
        <w:rPr>
          <w:lang w:val="en-US"/>
        </w:rPr>
        <w:tab/>
      </w:r>
      <w:r w:rsidRPr="0055499E" w:rsidR="0055499E">
        <w:rPr>
          <w:lang w:val="en-US"/>
        </w:rPr>
        <w:t xml:space="preserve">Aucune des </w:t>
      </w:r>
      <w:r w:rsidR="002314F5">
        <w:rPr>
          <w:lang w:val="en-US"/>
        </w:rPr>
        <w:t xml:space="preserve">questions relatives au </w:t>
      </w:r>
      <w:r w:rsidRPr="0055499E" w:rsidR="0055499E">
        <w:rPr>
          <w:lang w:val="en-US"/>
        </w:rPr>
        <w:t xml:space="preserve">domicile et à la famille </w:t>
      </w:r>
      <w:r w:rsidR="008166F3">
        <w:rPr>
          <w:lang w:val="en-US"/>
        </w:rPr>
        <w:t xml:space="preserve">des personnes handicapées </w:t>
      </w:r>
      <w:r w:rsidRPr="0055499E" w:rsidR="0055499E">
        <w:rPr>
          <w:lang w:val="en-US"/>
        </w:rPr>
        <w:t xml:space="preserve">soulevées dans le cadre du Semestre européen </w:t>
      </w:r>
      <w:r w:rsidRPr="0055499E" w:rsidR="0055499E">
        <w:rPr>
          <w:lang w:val="en-US"/>
        </w:rPr>
        <w:t xml:space="preserve">n'</w:t>
      </w:r>
      <w:r w:rsidRPr="0055499E" w:rsidR="0055499E">
        <w:rPr>
          <w:lang w:val="en-US"/>
        </w:rPr>
        <w:t xml:space="preserve">a été reprise dans les Recommandations par pays.</w:t>
      </w:r>
    </w:p>
    <w:p w:rsidRPr="00763FAD" w:rsidR="009E5F20" w:rsidP="00E00F5D" w:rsidRDefault="009E5F20" w14:paraId="614B5994" w14:textId="2BD8B510">
      <w:pPr>
        <w:pStyle w:val="SingleTxtG"/>
        <w:numPr>
          <w:ilvl w:val="0"/>
          <w:numId w:val="22"/>
        </w:numPr>
        <w:ind w:start="1134" w:firstLine="0"/>
        <w:rPr>
          <w:b/>
          <w:bCs/>
        </w:rPr>
      </w:pPr>
      <w:r w:rsidRPr="00763FAD">
        <w:rPr>
          <w:b/>
          <w:bCs/>
        </w:rPr>
        <w:t xml:space="preserve">Le Comité recommande à l'</w:t>
      </w:r>
      <w:r w:rsidR="00126E2C">
        <w:rPr>
          <w:b/>
          <w:bCs/>
        </w:rPr>
        <w:t xml:space="preserve">Union européenne</w:t>
      </w:r>
    </w:p>
    <w:p w:rsidRPr="00763FAD" w:rsidR="009E5F20" w:rsidP="00E00F5D" w:rsidRDefault="009E5F20" w14:paraId="2A08A8F9" w14:textId="269A035A">
      <w:pPr>
        <w:pStyle w:val="SingleTxtG"/>
        <w:ind w:firstLine="567"/>
        <w:rPr>
          <w:b/>
          <w:bCs/>
        </w:rPr>
      </w:pPr>
      <w:r w:rsidRPr="00763FAD">
        <w:rPr>
          <w:b/>
          <w:bCs/>
        </w:rPr>
        <w:tab/>
      </w:r>
      <w:r w:rsidRPr="00763FAD">
        <w:rPr>
          <w:b/>
          <w:bCs/>
        </w:rPr>
        <w:t xml:space="preserve">(</w:t>
      </w:r>
      <w:r w:rsidR="00126E2C">
        <w:rPr>
          <w:b/>
          <w:bCs/>
        </w:rPr>
        <w:t xml:space="preserve">a</w:t>
      </w:r>
      <w:r w:rsidRPr="00763FAD">
        <w:rPr>
          <w:b/>
          <w:bCs/>
        </w:rPr>
        <w:t xml:space="preserve">)</w:t>
      </w:r>
      <w:r w:rsidRPr="00763FAD">
        <w:rPr>
          <w:b/>
          <w:bCs/>
        </w:rPr>
        <w:tab/>
      </w:r>
      <w:r w:rsidR="00B709E0">
        <w:rPr>
          <w:b/>
          <w:bCs/>
        </w:rPr>
        <w:t xml:space="preserve">De fournir des orientations </w:t>
      </w:r>
      <w:r w:rsidRPr="00D24C7A" w:rsidR="00126E2C">
        <w:rPr>
          <w:b/>
          <w:bCs/>
          <w:lang w:val="en-US"/>
        </w:rPr>
        <w:t xml:space="preserve">et d'encourager les États membres à fournir aux personnes handicapées </w:t>
      </w:r>
      <w:r w:rsidRPr="00D24C7A" w:rsidR="00126E2C">
        <w:rPr>
          <w:b/>
          <w:bCs/>
          <w:lang w:val="en-US"/>
        </w:rPr>
        <w:t xml:space="preserve">des services autogérés à leur domicile et dans </w:t>
      </w:r>
      <w:r w:rsidR="00C42858">
        <w:rPr>
          <w:b/>
          <w:bCs/>
          <w:lang w:val="en-US"/>
        </w:rPr>
        <w:t xml:space="preserve">leur </w:t>
      </w:r>
      <w:r w:rsidRPr="00D24C7A" w:rsidR="00126E2C">
        <w:rPr>
          <w:b/>
          <w:bCs/>
          <w:lang w:val="en-US"/>
        </w:rPr>
        <w:t xml:space="preserve">communauté, </w:t>
      </w:r>
      <w:r w:rsidRPr="00763FAD" w:rsidR="0048429E">
        <w:rPr>
          <w:b/>
          <w:bCs/>
        </w:rPr>
        <w:t xml:space="preserve">et</w:t>
      </w:r>
      <w:r w:rsidRPr="00763FAD" w:rsidR="0048429E">
        <w:rPr>
          <w:b/>
          <w:bCs/>
        </w:rPr>
        <w:lastRenderedPageBreak/>
      </w:r>
      <w:r w:rsidRPr="00763FAD" w:rsidR="0048429E">
        <w:rPr>
          <w:b/>
          <w:bCs/>
        </w:rPr>
        <w:t xml:space="preserve"> </w:t>
      </w:r>
      <w:r w:rsidRPr="00763FAD" w:rsidR="0048429E">
        <w:rPr>
          <w:b/>
          <w:bCs/>
        </w:rPr>
        <w:t xml:space="preserve">de consulter </w:t>
      </w:r>
      <w:r w:rsidR="00126E2C">
        <w:rPr>
          <w:b/>
          <w:bCs/>
        </w:rPr>
        <w:t xml:space="preserve">étroitement </w:t>
      </w:r>
      <w:r w:rsidRPr="00763FAD" w:rsidR="0048429E">
        <w:rPr>
          <w:b/>
          <w:bCs/>
        </w:rPr>
        <w:t xml:space="preserve">et d'</w:t>
      </w:r>
      <w:r w:rsidRPr="00763FAD" w:rsidR="0048429E">
        <w:rPr>
          <w:b/>
          <w:bCs/>
        </w:rPr>
        <w:t xml:space="preserve">impliquer </w:t>
      </w:r>
      <w:r w:rsidR="00126E2C">
        <w:rPr>
          <w:b/>
          <w:bCs/>
        </w:rPr>
        <w:t xml:space="preserve">activement </w:t>
      </w:r>
      <w:r w:rsidRPr="00763FAD" w:rsidR="0048429E">
        <w:rPr>
          <w:b/>
          <w:bCs/>
        </w:rPr>
        <w:t xml:space="preserve">les </w:t>
      </w:r>
      <w:r w:rsidRPr="00763FAD">
        <w:rPr>
          <w:b/>
          <w:bCs/>
        </w:rPr>
        <w:t xml:space="preserve">personnes handicapées</w:t>
      </w:r>
      <w:r w:rsidRPr="00763FAD" w:rsidR="00C970CE">
        <w:rPr>
          <w:b/>
          <w:bCs/>
        </w:rPr>
        <w:t xml:space="preserve">, par l'intermédiaire des </w:t>
      </w:r>
      <w:r w:rsidRPr="00763FAD">
        <w:rPr>
          <w:b/>
          <w:bCs/>
        </w:rPr>
        <w:t xml:space="preserve">organisations qui les représentent, </w:t>
      </w:r>
      <w:r w:rsidR="00126E2C">
        <w:rPr>
          <w:b/>
          <w:bCs/>
        </w:rPr>
        <w:t xml:space="preserve">dans la </w:t>
      </w:r>
      <w:r w:rsidRPr="00763FAD">
        <w:rPr>
          <w:b/>
          <w:bCs/>
        </w:rPr>
        <w:t xml:space="preserve">mise en œuvre de </w:t>
      </w:r>
      <w:r w:rsidR="00126E2C">
        <w:rPr>
          <w:b/>
          <w:bCs/>
        </w:rPr>
        <w:t xml:space="preserve">ces orientations </w:t>
      </w:r>
      <w:r w:rsidRPr="00763FAD">
        <w:rPr>
          <w:b/>
          <w:bCs/>
        </w:rPr>
        <w:t xml:space="preserve">;</w:t>
      </w:r>
    </w:p>
    <w:p w:rsidRPr="00763FAD" w:rsidR="009E5F20" w:rsidP="00E00F5D" w:rsidRDefault="00C970CE" w14:paraId="29472DE1" w14:textId="412FA8A9">
      <w:pPr>
        <w:pStyle w:val="SingleTxtG"/>
        <w:ind w:firstLine="567"/>
        <w:rPr>
          <w:b/>
          <w:bCs/>
        </w:rPr>
      </w:pPr>
      <w:r w:rsidRPr="00763FAD">
        <w:rPr>
          <w:b/>
          <w:bCs/>
        </w:rPr>
        <w:tab/>
      </w:r>
      <w:r w:rsidRPr="00763FAD" w:rsidR="009E5F20">
        <w:rPr>
          <w:b/>
          <w:bCs/>
        </w:rPr>
        <w:t xml:space="preserve">(</w:t>
      </w:r>
      <w:r w:rsidR="00B62793">
        <w:rPr>
          <w:b/>
          <w:bCs/>
        </w:rPr>
        <w:t xml:space="preserve">b</w:t>
      </w:r>
      <w:r w:rsidRPr="00763FAD" w:rsidR="009E5F20">
        <w:rPr>
          <w:b/>
          <w:bCs/>
        </w:rPr>
        <w:t xml:space="preserve">)</w:t>
      </w:r>
      <w:r w:rsidRPr="00763FAD" w:rsidR="009E5F20">
        <w:rPr>
          <w:b/>
          <w:bCs/>
        </w:rPr>
        <w:tab/>
      </w:r>
      <w:r w:rsidR="00AB7633">
        <w:rPr>
          <w:b/>
          <w:bCs/>
        </w:rPr>
        <w:t xml:space="preserve">Aider les États membres à </w:t>
      </w:r>
      <w:r w:rsidRPr="00763FAD" w:rsidR="009E5F20">
        <w:rPr>
          <w:b/>
          <w:bCs/>
        </w:rPr>
        <w:t xml:space="preserve">éviter que </w:t>
      </w:r>
      <w:r w:rsidRPr="00763FAD" w:rsidR="009E5F20">
        <w:rPr>
          <w:b/>
          <w:bCs/>
        </w:rPr>
        <w:t xml:space="preserve">les personnes handicapées </w:t>
      </w:r>
      <w:r w:rsidR="00126E2C">
        <w:rPr>
          <w:b/>
          <w:bCs/>
        </w:rPr>
        <w:t xml:space="preserve">placées en institution ne </w:t>
      </w:r>
      <w:r w:rsidRPr="00763FAD" w:rsidR="009E5F20">
        <w:rPr>
          <w:b/>
          <w:bCs/>
        </w:rPr>
        <w:t xml:space="preserve">soient séparées </w:t>
      </w:r>
      <w:r w:rsidRPr="00763FAD" w:rsidR="009E5F20">
        <w:rPr>
          <w:b/>
          <w:bCs/>
        </w:rPr>
        <w:t xml:space="preserve">de leur famille </w:t>
      </w:r>
      <w:r w:rsidR="00B62793">
        <w:rPr>
          <w:b/>
          <w:bCs/>
        </w:rPr>
        <w:t xml:space="preserve">dans les </w:t>
      </w:r>
      <w:r w:rsidRPr="00763FAD" w:rsidR="009E5F20">
        <w:rPr>
          <w:b/>
          <w:bCs/>
        </w:rPr>
        <w:t xml:space="preserve">situations d'urgence ; </w:t>
      </w:r>
    </w:p>
    <w:p w:rsidRPr="00763FAD" w:rsidR="0026771E" w:rsidP="00E00F5D" w:rsidRDefault="00C970CE" w14:paraId="3A65C923" w14:textId="74EF71AF">
      <w:pPr>
        <w:pStyle w:val="SingleTxtG"/>
        <w:ind w:firstLine="567"/>
        <w:rPr>
          <w:b/>
          <w:bCs/>
        </w:rPr>
      </w:pPr>
      <w:r w:rsidRPr="00763FAD">
        <w:rPr>
          <w:b/>
          <w:bCs/>
        </w:rPr>
        <w:tab/>
      </w:r>
      <w:r w:rsidRPr="00763FAD" w:rsidR="009E5F20">
        <w:rPr>
          <w:b/>
          <w:bCs/>
        </w:rPr>
        <w:t xml:space="preserve">(</w:t>
      </w:r>
      <w:r w:rsidR="00B62793">
        <w:rPr>
          <w:b/>
          <w:bCs/>
        </w:rPr>
        <w:t xml:space="preserve">c</w:t>
      </w:r>
      <w:r w:rsidRPr="00763FAD" w:rsidR="009E5F20">
        <w:rPr>
          <w:b/>
          <w:bCs/>
        </w:rPr>
        <w:t xml:space="preserve">)</w:t>
      </w:r>
      <w:r w:rsidRPr="00763FAD" w:rsidR="009E5F20">
        <w:rPr>
          <w:b/>
          <w:bCs/>
        </w:rPr>
        <w:tab/>
      </w:r>
      <w:r w:rsidRPr="005A7803" w:rsidR="005A7803">
        <w:rPr>
          <w:b/>
          <w:bCs/>
        </w:rPr>
        <w:t xml:space="preserve">Renforcer le </w:t>
      </w:r>
      <w:r w:rsidR="0031100A">
        <w:rPr>
          <w:b/>
          <w:bCs/>
        </w:rPr>
        <w:t xml:space="preserve">soutien </w:t>
      </w:r>
      <w:r w:rsidRPr="005A7803" w:rsidR="005A7803">
        <w:rPr>
          <w:b/>
          <w:bCs/>
        </w:rPr>
        <w:t xml:space="preserve">aux personnes handicapées dans le cadre du prochain cycle du semestre européen.</w:t>
      </w:r>
    </w:p>
    <w:p w:rsidRPr="00AD7122" w:rsidR="0026771E" w:rsidP="005E61CE" w:rsidRDefault="005E61CE" w14:paraId="2EDEEB98" w14:textId="02755BAF">
      <w:pPr>
        <w:pStyle w:val="H23G"/>
      </w:pPr>
      <w:r>
        <w:tab/>
      </w:r>
      <w:r>
        <w:tab/>
      </w:r>
      <w:r w:rsidR="006A2B00">
        <w:t xml:space="preserve">Éducation </w:t>
      </w:r>
      <w:r w:rsidRPr="00AD7122" w:rsidR="0026771E">
        <w:t xml:space="preserve">(article 24)</w:t>
      </w:r>
    </w:p>
    <w:p w:rsidRPr="00BE4AC0" w:rsidR="00BE4AC0" w:rsidP="005E61CE" w:rsidRDefault="00BE4AC0" w14:paraId="0C7F7EFC" w14:textId="562A5BD0">
      <w:pPr>
        <w:pStyle w:val="SingleTxtG"/>
        <w:numPr>
          <w:ilvl w:val="0"/>
          <w:numId w:val="22"/>
        </w:numPr>
        <w:ind w:start="1134" w:firstLine="0"/>
        <w:rPr>
          <w:lang w:val="en-US"/>
        </w:rPr>
      </w:pPr>
      <w:r w:rsidRPr="00BE4AC0">
        <w:rPr>
          <w:lang w:val="en-US"/>
        </w:rPr>
        <w:t xml:space="preserve">Le Comité est préoccupé </w:t>
      </w:r>
      <w:r w:rsidR="00543841">
        <w:rPr>
          <w:lang w:val="en-US"/>
        </w:rPr>
        <w:t xml:space="preserve">par </w:t>
      </w:r>
      <w:r w:rsidRPr="00BE4AC0">
        <w:rPr>
          <w:lang w:val="en-US"/>
        </w:rPr>
        <w:t xml:space="preserve">le</w:t>
      </w:r>
      <w:r w:rsidR="00543841">
        <w:rPr>
          <w:lang w:val="en-US"/>
        </w:rPr>
        <w:t xml:space="preserve"> fait que </w:t>
      </w:r>
    </w:p>
    <w:p w:rsidRPr="00BE4AC0" w:rsidR="00BE4AC0" w:rsidP="005E61CE" w:rsidRDefault="00BE4AC0" w14:paraId="6A8653DC" w14:textId="57C35774">
      <w:pPr>
        <w:pStyle w:val="SingleTxtG"/>
        <w:ind w:firstLine="567"/>
        <w:rPr>
          <w:lang w:val="en-US"/>
        </w:rPr>
      </w:pPr>
      <w:r>
        <w:rPr>
          <w:lang w:val="en-US"/>
        </w:rPr>
        <w:tab/>
      </w:r>
      <w:r w:rsidRPr="00BE4AC0">
        <w:rPr>
          <w:lang w:val="en-US"/>
        </w:rPr>
        <w:t xml:space="preserve">(a)</w:t>
      </w:r>
      <w:r w:rsidRPr="00BE4AC0">
        <w:rPr>
          <w:lang w:val="en-US"/>
        </w:rPr>
        <w:tab/>
      </w:r>
      <w:r w:rsidR="00543841">
        <w:rPr>
          <w:lang w:val="en-US"/>
        </w:rPr>
        <w:t xml:space="preserve">De nombreux États membres </w:t>
      </w:r>
      <w:r w:rsidRPr="00BE4AC0">
        <w:rPr>
          <w:lang w:val="en-US"/>
        </w:rPr>
        <w:t xml:space="preserve">pratiquent la ségrégation dans l'éducation des enfants handicapés ; </w:t>
      </w:r>
      <w:r w:rsidRPr="00BE4AC0">
        <w:rPr>
          <w:lang w:val="en-US"/>
        </w:rPr>
        <w:t xml:space="preserve">les enfants handicapés </w:t>
      </w:r>
      <w:r w:rsidR="00543841">
        <w:rPr>
          <w:lang w:val="en-US"/>
        </w:rPr>
        <w:t xml:space="preserve">ont </w:t>
      </w:r>
      <w:r w:rsidRPr="00BE4AC0">
        <w:rPr>
          <w:lang w:val="en-US"/>
        </w:rPr>
        <w:t xml:space="preserve">des difficultés à </w:t>
      </w:r>
      <w:r w:rsidR="00543841">
        <w:rPr>
          <w:lang w:val="en-US"/>
        </w:rPr>
        <w:t xml:space="preserve">accéder aux </w:t>
      </w:r>
      <w:r w:rsidRPr="00BE4AC0">
        <w:rPr>
          <w:lang w:val="en-US"/>
        </w:rPr>
        <w:t xml:space="preserve">écoles ordinaires en raison du manque d'enseignants qualifiés et de personnel d'appui pédagogique, d'aménagements raisonnables, de </w:t>
      </w:r>
      <w:r w:rsidRPr="00BE4AC0">
        <w:rPr>
          <w:lang w:val="en-CA"/>
        </w:rPr>
        <w:t xml:space="preserve">bâtiments </w:t>
      </w:r>
      <w:r w:rsidRPr="00BE4AC0">
        <w:rPr>
          <w:lang w:val="en-US"/>
        </w:rPr>
        <w:t xml:space="preserve">scolaires accessibles</w:t>
      </w:r>
      <w:r w:rsidRPr="00BE4AC0">
        <w:rPr>
          <w:lang w:val="en-CA"/>
        </w:rPr>
        <w:t xml:space="preserve">, de </w:t>
      </w:r>
      <w:r w:rsidRPr="00BE4AC0">
        <w:rPr>
          <w:lang w:val="en-US"/>
        </w:rPr>
        <w:t xml:space="preserve">programmes d'études normalisés </w:t>
      </w:r>
      <w:r w:rsidR="00543841">
        <w:rPr>
          <w:lang w:val="en-US"/>
        </w:rPr>
        <w:t xml:space="preserve">qui ne </w:t>
      </w:r>
      <w:r w:rsidRPr="00BE4AC0">
        <w:rPr>
          <w:lang w:val="en-US"/>
        </w:rPr>
        <w:t xml:space="preserve">répondent </w:t>
      </w:r>
      <w:r w:rsidR="00543841">
        <w:rPr>
          <w:lang w:val="en-US"/>
        </w:rPr>
        <w:t xml:space="preserve">pas </w:t>
      </w:r>
      <w:r w:rsidRPr="00BE4AC0">
        <w:rPr>
          <w:lang w:val="en-US"/>
        </w:rPr>
        <w:t xml:space="preserve">aux besoins divers des élèves handicapés</w:t>
      </w:r>
      <w:r w:rsidR="00543841">
        <w:rPr>
          <w:lang w:val="en-US"/>
        </w:rPr>
        <w:t xml:space="preserve">, et des </w:t>
      </w:r>
      <w:r w:rsidR="00ED1777">
        <w:rPr>
          <w:lang w:val="en-US"/>
        </w:rPr>
        <w:t xml:space="preserve">préjugés </w:t>
      </w:r>
      <w:r w:rsidRPr="00BE4AC0" w:rsidR="00543841">
        <w:rPr>
          <w:lang w:val="en-US"/>
        </w:rPr>
        <w:t xml:space="preserve">dont </w:t>
      </w:r>
      <w:r w:rsidR="00543841">
        <w:rPr>
          <w:lang w:val="en-US"/>
        </w:rPr>
        <w:t xml:space="preserve">ils</w:t>
      </w:r>
      <w:r w:rsidRPr="00BE4AC0" w:rsidR="00543841">
        <w:rPr>
          <w:lang w:val="en-US"/>
        </w:rPr>
        <w:t xml:space="preserve"> sont victimes </w:t>
      </w:r>
      <w:r w:rsidRPr="00BE4AC0">
        <w:rPr>
          <w:lang w:val="en-US"/>
        </w:rPr>
        <w:t xml:space="preserve">;</w:t>
      </w:r>
    </w:p>
    <w:p w:rsidR="00980E9A" w:rsidP="00335F73" w:rsidRDefault="00BE4AC0" w14:paraId="13E88AA2" w14:textId="57555103">
      <w:pPr>
        <w:pStyle w:val="SingleTxtG"/>
        <w:ind w:firstLine="567"/>
        <w:rPr>
          <w:lang w:val="en-US"/>
        </w:rPr>
      </w:pPr>
      <w:r>
        <w:rPr>
          <w:lang w:val="en-US"/>
        </w:rPr>
        <w:tab/>
      </w:r>
      <w:r w:rsidRPr="00BE4AC0">
        <w:rPr>
          <w:lang w:val="en-US"/>
        </w:rPr>
        <w:t xml:space="preserve">(b)</w:t>
      </w:r>
      <w:r w:rsidRPr="00BE4AC0">
        <w:rPr>
          <w:lang w:val="en-US"/>
        </w:rPr>
        <w:tab/>
      </w:r>
      <w:r w:rsidRPr="00BE4AC0">
        <w:rPr>
          <w:lang w:val="en-US"/>
        </w:rPr>
        <w:t xml:space="preserve">Le règlement de l'UE sur l'intelligence artificielle autorise l'utilisation de l'IA pour la prise de décisions en matière d'éducation, malgré les risques de discrimination ; </w:t>
      </w:r>
    </w:p>
    <w:p w:rsidRPr="00106F65" w:rsidR="00BE4AC0" w:rsidP="005E61CE" w:rsidRDefault="00004D80" w14:paraId="1E5EDF5B" w14:textId="2111A2F6">
      <w:pPr>
        <w:pStyle w:val="SingleTxtG"/>
        <w:ind w:firstLine="567"/>
        <w:rPr>
          <w:lang w:val="en-US"/>
        </w:rPr>
      </w:pPr>
      <w:r>
        <w:rPr>
          <w:lang w:val="en-US"/>
        </w:rPr>
        <w:tab/>
      </w:r>
      <w:r>
        <w:rPr>
          <w:lang w:val="en-US"/>
        </w:rPr>
        <w:t xml:space="preserve">(</w:t>
      </w:r>
      <w:r w:rsidR="00335F73">
        <w:rPr>
          <w:lang w:val="en-US"/>
        </w:rPr>
        <w:t xml:space="preserve">c</w:t>
      </w:r>
      <w:r>
        <w:rPr>
          <w:lang w:val="en-US"/>
        </w:rPr>
        <w:t xml:space="preserve">)</w:t>
      </w:r>
      <w:r>
        <w:rPr>
          <w:lang w:val="en-US"/>
        </w:rPr>
        <w:tab/>
      </w:r>
      <w:r w:rsidR="00543841">
        <w:rPr>
          <w:lang w:val="en-US"/>
        </w:rPr>
        <w:t xml:space="preserve">Le programme Erasmus+ ne couvre pas entièrement les </w:t>
      </w:r>
      <w:r w:rsidR="00C94C6B">
        <w:rPr>
          <w:lang w:val="en-US"/>
        </w:rPr>
        <w:t xml:space="preserve">dépenses </w:t>
      </w:r>
      <w:r w:rsidR="00543841">
        <w:rPr>
          <w:lang w:val="en-US"/>
        </w:rPr>
        <w:t xml:space="preserve">liées au handicap</w:t>
      </w:r>
      <w:r w:rsidR="00543841">
        <w:rPr>
          <w:lang w:val="en-US"/>
        </w:rPr>
        <w:t xml:space="preserve">.</w:t>
      </w:r>
    </w:p>
    <w:p w:rsidRPr="00BE4AC0" w:rsidR="00BE4AC0" w:rsidP="00723F78" w:rsidRDefault="00BE4AC0" w14:paraId="38AB7050" w14:textId="352D6EC5">
      <w:pPr>
        <w:pStyle w:val="SingleTxtG"/>
        <w:numPr>
          <w:ilvl w:val="0"/>
          <w:numId w:val="22"/>
        </w:numPr>
        <w:ind w:start="1134" w:firstLine="0"/>
        <w:rPr>
          <w:b/>
          <w:bCs/>
          <w:lang w:val="en-US"/>
        </w:rPr>
      </w:pPr>
      <w:r w:rsidRPr="00BE4AC0">
        <w:rPr>
          <w:b/>
          <w:bCs/>
          <w:lang w:val="en-US"/>
        </w:rPr>
        <w:t xml:space="preserve">Le Comité rappelle ses précédentes </w:t>
      </w:r>
      <w:r w:rsidR="007B2A76">
        <w:rPr>
          <w:b/>
          <w:bCs/>
          <w:lang w:val="en-US"/>
        </w:rPr>
        <w:t xml:space="preserve">Observations</w:t>
      </w:r>
      <w:r w:rsidRPr="00BE4AC0">
        <w:rPr>
          <w:b/>
          <w:bCs/>
          <w:lang w:val="en-US"/>
        </w:rPr>
        <w:t xml:space="preserve"> finales </w:t>
      </w:r>
      <w:r w:rsidRPr="00BE4AC0">
        <w:rPr>
          <w:b/>
          <w:bCs/>
          <w:lang w:val="en-US"/>
        </w:rPr>
        <w:t xml:space="preserve">et </w:t>
      </w:r>
      <w:r w:rsidR="00D4625C">
        <w:rPr>
          <w:b/>
          <w:bCs/>
          <w:lang w:val="en-US"/>
        </w:rPr>
        <w:t xml:space="preserve">recommandations </w:t>
      </w:r>
      <w:r w:rsidRPr="00BE4AC0">
        <w:rPr>
          <w:b/>
          <w:bCs/>
          <w:lang w:val="en-US"/>
        </w:rPr>
        <w:t xml:space="preserve">(paragraphe 61) </w:t>
      </w:r>
      <w:r w:rsidR="00543841">
        <w:rPr>
          <w:b/>
          <w:bCs/>
          <w:lang w:val="en-US"/>
        </w:rPr>
        <w:t xml:space="preserve">et </w:t>
      </w:r>
      <w:r w:rsidRPr="00BE4AC0">
        <w:rPr>
          <w:b/>
          <w:bCs/>
          <w:lang w:val="en-US"/>
        </w:rPr>
        <w:t xml:space="preserve">son Observation générale n°4 (2016) et recommande à l'</w:t>
      </w:r>
      <w:r w:rsidR="00543841">
        <w:rPr>
          <w:b/>
          <w:bCs/>
          <w:lang w:val="en-US"/>
        </w:rPr>
        <w:t xml:space="preserve">Union européenne </w:t>
      </w:r>
      <w:r w:rsidRPr="00BE4AC0">
        <w:rPr>
          <w:b/>
          <w:bCs/>
          <w:lang w:val="en-US"/>
        </w:rPr>
        <w:t xml:space="preserve">:</w:t>
      </w:r>
    </w:p>
    <w:p w:rsidRPr="00723F78" w:rsidR="00BE4AC0" w:rsidP="00723F78" w:rsidRDefault="00BE4AC0" w14:paraId="24008721" w14:textId="55FE1AEE">
      <w:pPr>
        <w:pStyle w:val="SingleTxtG"/>
        <w:ind w:firstLine="567"/>
        <w:rPr>
          <w:b/>
          <w:bCs/>
          <w:lang w:val="en-US"/>
        </w:rPr>
      </w:pPr>
      <w:r w:rsidRPr="00723F78">
        <w:rPr>
          <w:b/>
          <w:bCs/>
          <w:lang w:val="en-US"/>
        </w:rPr>
        <w:t xml:space="preserve">(a)</w:t>
      </w:r>
      <w:r w:rsidRPr="00723F78">
        <w:rPr>
          <w:b/>
          <w:bCs/>
          <w:lang w:val="en-US"/>
        </w:rPr>
        <w:tab/>
      </w:r>
      <w:r w:rsidRPr="00723F78" w:rsidR="000A556B">
        <w:rPr>
          <w:b/>
          <w:bCs/>
          <w:lang w:val="en-US"/>
        </w:rPr>
        <w:t xml:space="preserve">D'encourager les </w:t>
      </w:r>
      <w:r w:rsidRPr="00723F78">
        <w:rPr>
          <w:b/>
          <w:bCs/>
          <w:lang w:val="en-US"/>
        </w:rPr>
        <w:t xml:space="preserve">États membres </w:t>
      </w:r>
      <w:r w:rsidRPr="00723F78" w:rsidR="00543841">
        <w:rPr>
          <w:b/>
          <w:bCs/>
          <w:lang w:val="en-US"/>
        </w:rPr>
        <w:t xml:space="preserve">à s'acquitter de leur </w:t>
      </w:r>
      <w:r w:rsidRPr="00723F78">
        <w:rPr>
          <w:b/>
          <w:bCs/>
          <w:lang w:val="en-US"/>
        </w:rPr>
        <w:t xml:space="preserve">obligation de fournir une éducation inclusive de qualité tout au long du cycle éducatif </w:t>
      </w:r>
      <w:r w:rsidRPr="00723F78" w:rsidR="00543841">
        <w:rPr>
          <w:b/>
          <w:bCs/>
          <w:lang w:val="en-US"/>
        </w:rPr>
        <w:t xml:space="preserve">et de les soutenir dans leurs efforts respectifs </w:t>
      </w:r>
      <w:r w:rsidRPr="00723F78">
        <w:rPr>
          <w:b/>
          <w:bCs/>
          <w:lang w:val="en-US"/>
        </w:rPr>
        <w:t xml:space="preserve">;</w:t>
      </w:r>
    </w:p>
    <w:p w:rsidRPr="00723F78" w:rsidR="00BE4AC0" w:rsidP="00723F78" w:rsidRDefault="00BE4AC0" w14:paraId="720340EA" w14:textId="799B35D9">
      <w:pPr>
        <w:pStyle w:val="SingleTxtG"/>
        <w:ind w:firstLine="567"/>
        <w:rPr>
          <w:b/>
          <w:bCs/>
          <w:lang w:val="en-US"/>
        </w:rPr>
      </w:pPr>
      <w:r w:rsidRPr="00723F78">
        <w:rPr>
          <w:b/>
          <w:bCs/>
          <w:lang w:val="en-US"/>
        </w:rPr>
        <w:t xml:space="preserve">(b)</w:t>
      </w:r>
      <w:r w:rsidRPr="00723F78">
        <w:rPr>
          <w:b/>
          <w:bCs/>
          <w:lang w:val="en-US"/>
        </w:rPr>
        <w:tab/>
      </w:r>
      <w:r w:rsidRPr="00723F78" w:rsidR="00C94C6B">
        <w:rPr>
          <w:b/>
          <w:bCs/>
          <w:lang w:val="en-US"/>
        </w:rPr>
        <w:t xml:space="preserve">Veiller à ce que l</w:t>
      </w:r>
      <w:r w:rsidRPr="00723F78">
        <w:rPr>
          <w:b/>
          <w:bCs/>
          <w:lang w:val="en-US"/>
        </w:rPr>
        <w:t xml:space="preserve">'utilisation de l'IA pour la prise de décision dans l'éducation </w:t>
      </w:r>
      <w:r w:rsidRPr="00723F78" w:rsidR="00C94C6B">
        <w:rPr>
          <w:b/>
          <w:bCs/>
          <w:lang w:val="en-US"/>
        </w:rPr>
        <w:t xml:space="preserve">ne soit pas discriminatoire à l'égard des personnes handicapées</w:t>
      </w:r>
      <w:r w:rsidR="00335F73">
        <w:rPr>
          <w:b/>
          <w:bCs/>
          <w:lang w:val="en-US"/>
        </w:rPr>
        <w:t xml:space="preserve">, comme indiqué dans les 2022 Lignes directrices éthiques sur l'utilisation de l'intelligence artificielle (IA) et des données dans l'enseignement et l'apprentissage à l'intention des éducateurs de la Commission européenne </w:t>
      </w:r>
      <w:r w:rsidRPr="00723F78">
        <w:rPr>
          <w:b/>
          <w:bCs/>
          <w:lang w:val="en-US"/>
        </w:rPr>
        <w:t xml:space="preserve">;</w:t>
      </w:r>
    </w:p>
    <w:p w:rsidRPr="00723F78" w:rsidR="005C0ABD" w:rsidP="00723F78" w:rsidRDefault="00BE4AC0" w14:paraId="4631D88C" w14:textId="74B18F87">
      <w:pPr>
        <w:pStyle w:val="SingleTxtG"/>
        <w:ind w:firstLine="567"/>
        <w:rPr>
          <w:b/>
          <w:bCs/>
          <w:lang w:val="en-US"/>
        </w:rPr>
      </w:pPr>
      <w:r w:rsidRPr="00723F78">
        <w:rPr>
          <w:b/>
          <w:bCs/>
          <w:lang w:val="en-US"/>
        </w:rPr>
        <w:t xml:space="preserve">(c)</w:t>
      </w:r>
      <w:r w:rsidRPr="00723F78">
        <w:rPr>
          <w:b/>
          <w:bCs/>
          <w:lang w:val="en-US"/>
        </w:rPr>
        <w:tab/>
      </w:r>
      <w:r w:rsidRPr="00723F78">
        <w:rPr>
          <w:b/>
          <w:bCs/>
          <w:lang w:val="en-US"/>
        </w:rPr>
        <w:t xml:space="preserve">Veiller à </w:t>
      </w:r>
      <w:r w:rsidRPr="00723F78" w:rsidR="006714C3">
        <w:rPr>
          <w:b/>
          <w:bCs/>
          <w:lang w:val="en-US"/>
        </w:rPr>
        <w:t xml:space="preserve">ce que </w:t>
      </w:r>
      <w:r w:rsidRPr="00723F78">
        <w:rPr>
          <w:b/>
          <w:bCs/>
          <w:lang w:val="en-US"/>
        </w:rPr>
        <w:t xml:space="preserve">la mise en œuvre du plan d'action pour l'éducation numérique </w:t>
      </w:r>
      <w:r w:rsidRPr="00723F78" w:rsidR="00C94C6B">
        <w:rPr>
          <w:b/>
          <w:bCs/>
          <w:lang w:val="en-US"/>
        </w:rPr>
        <w:t xml:space="preserve">garantisse l'accessibilité aux étudiants handicapés ;</w:t>
      </w:r>
    </w:p>
    <w:p w:rsidRPr="00BE4AC0" w:rsidR="00BE4AC0" w:rsidP="00723F78" w:rsidRDefault="005C0ABD" w14:paraId="01DE46B9" w14:textId="47BF687C">
      <w:pPr>
        <w:pStyle w:val="SingleTxtG"/>
        <w:ind w:firstLine="567"/>
        <w:rPr>
          <w:b/>
          <w:bCs/>
          <w:lang w:val="en-US"/>
        </w:rPr>
      </w:pPr>
      <w:r w:rsidRPr="00723F78">
        <w:rPr>
          <w:b/>
          <w:bCs/>
          <w:lang w:val="en-US"/>
        </w:rPr>
        <w:t xml:space="preserve">(d)</w:t>
      </w:r>
      <w:r w:rsidRPr="00723F78" w:rsidR="00C94C6B">
        <w:rPr>
          <w:b/>
          <w:bCs/>
          <w:lang w:val="en-US"/>
        </w:rPr>
        <w:tab/>
      </w:r>
      <w:r w:rsidRPr="000D2D26" w:rsidR="00C94C6B">
        <w:rPr>
          <w:b/>
          <w:bCs/>
          <w:lang w:val="en-US"/>
        </w:rPr>
        <w:t xml:space="preserve">Veiller à ce que le programme Erasmus+ couvre toutes les dépenses liées au handicap.</w:t>
      </w:r>
    </w:p>
    <w:p w:rsidRPr="00AD7122" w:rsidR="0026771E" w:rsidP="00723F78" w:rsidRDefault="00723F78" w14:paraId="2A65B682" w14:textId="20ED39F5">
      <w:pPr>
        <w:pStyle w:val="H23G"/>
      </w:pPr>
      <w:r>
        <w:tab/>
      </w:r>
      <w:r>
        <w:tab/>
      </w:r>
      <w:r w:rsidR="006A2B00">
        <w:t xml:space="preserve">Santé </w:t>
      </w:r>
      <w:r w:rsidRPr="00AD7122" w:rsidR="0026771E">
        <w:t xml:space="preserve">(article 25)</w:t>
      </w:r>
    </w:p>
    <w:p w:rsidRPr="00BE691F" w:rsidR="00BE691F" w:rsidP="00723F78" w:rsidRDefault="00BE691F" w14:paraId="62FC74BB" w14:textId="710301B3">
      <w:pPr>
        <w:pStyle w:val="SingleTxtG"/>
        <w:numPr>
          <w:ilvl w:val="0"/>
          <w:numId w:val="22"/>
        </w:numPr>
        <w:ind w:start="1134" w:firstLine="0"/>
        <w:rPr>
          <w:lang w:val="en-US"/>
        </w:rPr>
      </w:pPr>
      <w:r w:rsidRPr="00BE691F">
        <w:rPr>
          <w:lang w:val="en-US"/>
        </w:rPr>
        <w:t xml:space="preserve">Le Comité est préoccupé </w:t>
      </w:r>
      <w:r w:rsidR="000A556B">
        <w:rPr>
          <w:lang w:val="en-US"/>
        </w:rPr>
        <w:t xml:space="preserve">par</w:t>
      </w:r>
    </w:p>
    <w:p w:rsidRPr="00BE691F" w:rsidR="00BE691F" w:rsidP="00723F78" w:rsidRDefault="00BE691F" w14:paraId="0A1727D1" w14:textId="6D7E9A75">
      <w:pPr>
        <w:pStyle w:val="SingleTxtG"/>
        <w:ind w:firstLine="567"/>
        <w:rPr>
          <w:lang w:val="en-US"/>
        </w:rPr>
      </w:pPr>
      <w:r w:rsidRPr="00BE691F">
        <w:rPr>
          <w:lang w:val="en-US"/>
        </w:rPr>
        <w:t xml:space="preserve">(a)</w:t>
      </w:r>
      <w:r w:rsidRPr="00BE691F">
        <w:rPr>
          <w:lang w:val="en-US"/>
        </w:rPr>
        <w:tab/>
      </w:r>
      <w:r w:rsidR="000A556B">
        <w:rPr>
          <w:lang w:val="en-US"/>
        </w:rPr>
        <w:t xml:space="preserve">L</w:t>
      </w:r>
      <w:r w:rsidR="00707CFC">
        <w:rPr>
          <w:lang w:val="en-US"/>
        </w:rPr>
        <w:t xml:space="preserve">'absence de protection juridique explicite contre la discrimination fondée sur le handicap dans le domaine des soins de santé </w:t>
      </w:r>
      <w:r w:rsidR="000A556B">
        <w:rPr>
          <w:lang w:val="en-US"/>
        </w:rPr>
        <w:t xml:space="preserve">et le fait que </w:t>
      </w:r>
      <w:r w:rsidRPr="00BE691F">
        <w:rPr>
          <w:lang w:val="en-US"/>
        </w:rPr>
        <w:t xml:space="preserve">les personnes handicapées </w:t>
      </w:r>
      <w:r w:rsidR="000A556B">
        <w:rPr>
          <w:lang w:val="en-US"/>
        </w:rPr>
        <w:t xml:space="preserve">soient confrontées à des </w:t>
      </w:r>
      <w:r w:rsidRPr="00BE691F">
        <w:rPr>
          <w:lang w:val="en-US"/>
        </w:rPr>
        <w:t xml:space="preserve">obstacles </w:t>
      </w:r>
      <w:r w:rsidR="00707CFC">
        <w:rPr>
          <w:lang w:val="en-US"/>
        </w:rPr>
        <w:t xml:space="preserve">systémiques </w:t>
      </w:r>
      <w:r w:rsidRPr="00BE691F">
        <w:rPr>
          <w:lang w:val="en-US"/>
        </w:rPr>
        <w:t xml:space="preserve">en matière d'accès aux soins de santé, en raison de l'indifférence des prestataires de soins de santé ou de l'attribution automatique des problèmes de santé à un handicap</w:t>
      </w:r>
      <w:r w:rsidR="00707CFC">
        <w:rPr>
          <w:lang w:val="en-US"/>
        </w:rPr>
        <w:t xml:space="preserve">, de l'</w:t>
      </w:r>
      <w:r w:rsidRPr="00BE691F">
        <w:rPr>
          <w:lang w:val="en-US"/>
        </w:rPr>
        <w:t xml:space="preserve">insuffisance des aménagements raisonnables, du </w:t>
      </w:r>
      <w:r w:rsidRPr="00BE691F">
        <w:rPr>
          <w:lang w:val="en-US"/>
        </w:rPr>
        <w:t xml:space="preserve">manque de matériel et de processus accessibles </w:t>
      </w:r>
      <w:r w:rsidR="00707CFC">
        <w:rPr>
          <w:lang w:val="en-US"/>
        </w:rPr>
        <w:t xml:space="preserve">et de la </w:t>
      </w:r>
      <w:r w:rsidRPr="00BE691F">
        <w:rPr>
          <w:lang w:val="en-US"/>
        </w:rPr>
        <w:t xml:space="preserve">formation inadéquate du personnel de santé. </w:t>
      </w:r>
    </w:p>
    <w:p w:rsidR="00723F78" w:rsidP="00723F78" w:rsidRDefault="00BE691F" w14:paraId="1E330663" w14:textId="77777777">
      <w:pPr>
        <w:pStyle w:val="SingleTxtG"/>
        <w:ind w:firstLine="567"/>
        <w:rPr>
          <w:b/>
          <w:bCs/>
          <w:lang w:val="en-US"/>
        </w:rPr>
      </w:pPr>
      <w:r w:rsidRPr="00BE691F">
        <w:rPr>
          <w:lang w:val="en-US"/>
        </w:rPr>
        <w:t xml:space="preserve">(b)</w:t>
      </w:r>
      <w:r w:rsidRPr="00BE691F">
        <w:rPr>
          <w:lang w:val="en-US"/>
        </w:rPr>
        <w:tab/>
      </w:r>
      <w:r w:rsidR="000A556B">
        <w:rPr>
          <w:lang w:val="en-US"/>
        </w:rPr>
        <w:t xml:space="preserve">Les lacunes </w:t>
      </w:r>
      <w:r w:rsidRPr="00BE691F">
        <w:rPr>
          <w:lang w:val="en-US"/>
        </w:rPr>
        <w:t xml:space="preserve">dans l'accès aux soins de santé transfrontaliers, y compris le manque d'</w:t>
      </w:r>
      <w:r w:rsidRPr="00BE691F">
        <w:rPr>
          <w:lang w:val="en-US"/>
        </w:rPr>
        <w:t xml:space="preserve">informations accessibles par les points de contact nationaux</w:t>
      </w:r>
      <w:r w:rsidR="00A66ACF">
        <w:rPr>
          <w:lang w:val="en-US"/>
        </w:rPr>
        <w:t xml:space="preserve">, l'absence de remboursement des dépenses liées au handicap et les exigences des personnes à mobilité réduite dans la </w:t>
      </w:r>
      <w:r w:rsidRPr="00BE691F">
        <w:rPr>
          <w:lang w:val="en-US"/>
        </w:rPr>
        <w:t xml:space="preserve">directive 2011/24/UE</w:t>
      </w:r>
      <w:r w:rsidR="00ED1777">
        <w:rPr>
          <w:lang w:val="en-US"/>
        </w:rPr>
        <w:t xml:space="preserve">.</w:t>
      </w:r>
      <w:r w:rsidRPr="00BE691F">
        <w:rPr>
          <w:lang w:val="en-US"/>
        </w:rPr>
        <w:t xml:space="preserve">61</w:t>
      </w:r>
      <w:r>
        <w:rPr>
          <w:b/>
          <w:bCs/>
          <w:lang w:val="en-US"/>
        </w:rPr>
        <w:t xml:space="preserve">. </w:t>
      </w:r>
    </w:p>
    <w:p w:rsidRPr="00BE691F" w:rsidR="00BE691F" w:rsidP="00723F78" w:rsidRDefault="00BE691F" w14:paraId="1A27B000" w14:textId="79A3DBC5">
      <w:pPr>
        <w:pStyle w:val="SingleTxtG"/>
        <w:numPr>
          <w:ilvl w:val="0"/>
          <w:numId w:val="22"/>
        </w:numPr>
        <w:ind w:start="1134" w:firstLine="0"/>
        <w:rPr>
          <w:b/>
          <w:bCs/>
          <w:lang w:val="en-US"/>
        </w:rPr>
      </w:pPr>
      <w:r w:rsidRPr="00BE691F">
        <w:rPr>
          <w:b/>
          <w:bCs/>
          <w:lang w:val="en-US"/>
        </w:rPr>
        <w:t xml:space="preserve">Le Comité rappelle ses précédentes Observation finale et Recommandation (para. 63) et recommande à l'</w:t>
      </w:r>
      <w:r w:rsidR="00C24EAC">
        <w:rPr>
          <w:b/>
          <w:bCs/>
          <w:lang w:val="en-US"/>
        </w:rPr>
        <w:t xml:space="preserve">Union européenne </w:t>
      </w:r>
      <w:r w:rsidRPr="00BE691F">
        <w:rPr>
          <w:b/>
          <w:bCs/>
          <w:lang w:val="en-US"/>
        </w:rPr>
        <w:t xml:space="preserve">:</w:t>
      </w:r>
    </w:p>
    <w:p w:rsidRPr="00BE691F" w:rsidR="00BE691F" w:rsidP="00723F78" w:rsidRDefault="00BE691F" w14:paraId="7F97B5D4" w14:textId="0FB8F39E">
      <w:pPr>
        <w:pStyle w:val="SingleTxtG"/>
        <w:ind w:firstLine="567"/>
        <w:rPr>
          <w:b/>
          <w:bCs/>
          <w:lang w:val="en-US"/>
        </w:rPr>
      </w:pPr>
      <w:r w:rsidRPr="00BE691F">
        <w:rPr>
          <w:b/>
          <w:bCs/>
          <w:lang w:val="en-US"/>
        </w:rPr>
        <w:t xml:space="preserve">(a)</w:t>
      </w:r>
      <w:r w:rsidRPr="00BE691F">
        <w:rPr>
          <w:b/>
          <w:bCs/>
          <w:lang w:val="en-US"/>
        </w:rPr>
        <w:tab/>
      </w:r>
      <w:r w:rsidR="00C24EAC">
        <w:rPr>
          <w:b/>
          <w:bCs/>
          <w:lang w:val="en-US"/>
        </w:rPr>
        <w:t xml:space="preserve">D'établir des </w:t>
      </w:r>
      <w:r w:rsidRPr="00BE691F">
        <w:rPr>
          <w:b/>
          <w:bCs/>
          <w:lang w:val="en-US"/>
        </w:rPr>
        <w:t xml:space="preserve">normes d'accessibilité complètes dans les systèmes de soins de santé, en exigeant des États membres qu'ils développent du </w:t>
      </w:r>
      <w:r w:rsidRPr="00BE691F">
        <w:rPr>
          <w:b/>
          <w:bCs/>
          <w:lang w:val="en-US"/>
        </w:rPr>
        <w:t xml:space="preserve">matériel médical </w:t>
      </w:r>
      <w:r w:rsidRPr="00BE691F">
        <w:rPr>
          <w:b/>
          <w:bCs/>
          <w:lang w:val="en-US"/>
        </w:rPr>
        <w:t xml:space="preserve">facile à </w:t>
      </w:r>
      <w:r w:rsidRPr="00BE691F">
        <w:rPr>
          <w:b/>
          <w:bCs/>
          <w:lang w:val="en-US"/>
        </w:rPr>
        <w:t xml:space="preserve">lire, des </w:t>
      </w:r>
      <w:r w:rsidRPr="00BE691F">
        <w:rPr>
          <w:b/>
          <w:bCs/>
          <w:lang w:val="en-US"/>
        </w:rPr>
        <w:t xml:space="preserve">processus administratifs </w:t>
      </w:r>
      <w:r w:rsidR="00C24EAC">
        <w:rPr>
          <w:b/>
          <w:bCs/>
          <w:lang w:val="en-US"/>
        </w:rPr>
        <w:t xml:space="preserve">accessibles </w:t>
      </w:r>
      <w:r w:rsidRPr="00BE691F">
        <w:rPr>
          <w:b/>
          <w:bCs/>
          <w:lang w:val="en-US"/>
        </w:rPr>
        <w:t xml:space="preserve">et une formation à la communication pour les professionnels de la santé afin d'aider les personnes handicapées mentales </w:t>
      </w:r>
      <w:r w:rsidR="00ED1777">
        <w:rPr>
          <w:b/>
          <w:bCs/>
          <w:lang w:val="en-US"/>
        </w:rPr>
        <w:t xml:space="preserve">;</w:t>
      </w:r>
    </w:p>
    <w:p w:rsidRPr="00BE691F" w:rsidR="00BE691F" w:rsidP="00723F78" w:rsidRDefault="00BE691F" w14:paraId="7A27914E" w14:textId="4566A8B3">
      <w:pPr>
        <w:pStyle w:val="SingleTxtG"/>
        <w:ind w:firstLine="567"/>
        <w:rPr>
          <w:b/>
          <w:bCs/>
          <w:lang w:val="en-US"/>
        </w:rPr>
      </w:pPr>
      <w:r w:rsidRPr="00BE691F">
        <w:rPr>
          <w:b/>
          <w:bCs/>
          <w:lang w:val="en-US"/>
        </w:rPr>
        <w:t xml:space="preserve">(b)</w:t>
      </w:r>
      <w:r w:rsidRPr="00BE691F">
        <w:rPr>
          <w:b/>
          <w:bCs/>
          <w:lang w:val="en-US"/>
        </w:rPr>
        <w:tab/>
      </w:r>
      <w:r w:rsidRPr="00BE691F">
        <w:rPr>
          <w:b/>
          <w:bCs/>
          <w:lang w:val="en-US"/>
        </w:rPr>
        <w:t xml:space="preserve">Rétablisse le financement </w:t>
      </w:r>
      <w:r w:rsidRPr="00BE691F" w:rsidR="00C24EAC">
        <w:rPr>
          <w:b/>
          <w:bCs/>
          <w:lang w:val="en-US"/>
        </w:rPr>
        <w:t xml:space="preserve">du </w:t>
      </w:r>
      <w:r w:rsidRPr="00BE691F">
        <w:rPr>
          <w:b/>
          <w:bCs/>
          <w:lang w:val="en-US"/>
        </w:rPr>
        <w:t xml:space="preserve">programme EU4Health </w:t>
      </w:r>
      <w:r w:rsidRPr="00BE691F">
        <w:rPr>
          <w:b/>
          <w:bCs/>
        </w:rPr>
        <w:t xml:space="preserve">pour </w:t>
      </w:r>
      <w:r w:rsidRPr="00BE691F">
        <w:rPr>
          <w:b/>
          <w:bCs/>
          <w:lang w:val="en-US"/>
        </w:rPr>
        <w:t xml:space="preserve">lutter contre les inégalités en matière de santé pour les personnes handicapées </w:t>
      </w:r>
      <w:r w:rsidR="00A2060A">
        <w:rPr>
          <w:b/>
          <w:bCs/>
          <w:lang w:val="en-US"/>
        </w:rPr>
        <w:t xml:space="preserve">;</w:t>
      </w:r>
    </w:p>
    <w:p w:rsidRPr="00BE691F" w:rsidR="00BE691F" w:rsidP="00723F78" w:rsidRDefault="00BE691F" w14:paraId="5AFE50F3" w14:textId="0FD61A16">
      <w:pPr>
        <w:pStyle w:val="SingleTxtG"/>
        <w:ind w:firstLine="567"/>
        <w:rPr>
          <w:b/>
          <w:bCs/>
          <w:lang w:val="en-US"/>
        </w:rPr>
      </w:pPr>
      <w:r w:rsidRPr="00BE691F">
        <w:rPr>
          <w:b/>
          <w:bCs/>
          <w:lang w:val="en-US"/>
        </w:rPr>
        <w:lastRenderedPageBreak/>
      </w:r>
      <w:r w:rsidRPr="00BE691F">
        <w:rPr>
          <w:b/>
          <w:bCs/>
          <w:lang w:val="en-US"/>
        </w:rPr>
        <w:t xml:space="preserve">(c)</w:t>
      </w:r>
      <w:r w:rsidRPr="00BE691F">
        <w:rPr>
          <w:lang w:val="en-US"/>
        </w:rPr>
        <w:tab/>
      </w:r>
      <w:r w:rsidRPr="00BE691F">
        <w:rPr>
          <w:b/>
          <w:bCs/>
          <w:lang w:val="en-US"/>
        </w:rPr>
        <w:t xml:space="preserve">Réviser la directive sur la mobilité des patients afin de garantir l'égalité d'accès aux soins pour les </w:t>
      </w:r>
      <w:r w:rsidR="00A9666C">
        <w:rPr>
          <w:b/>
          <w:bCs/>
          <w:lang w:val="en-US"/>
        </w:rPr>
        <w:t xml:space="preserve">personnes </w:t>
      </w:r>
      <w:r w:rsidRPr="00BE691F">
        <w:rPr>
          <w:b/>
          <w:bCs/>
          <w:lang w:val="en-US"/>
        </w:rPr>
        <w:t xml:space="preserve">handicapées dans les situations transfrontalières </w:t>
      </w:r>
      <w:r w:rsidR="00C24EAC">
        <w:rPr>
          <w:b/>
          <w:bCs/>
          <w:lang w:val="en-US"/>
        </w:rPr>
        <w:t xml:space="preserve">;</w:t>
      </w:r>
    </w:p>
    <w:p w:rsidR="00446E78" w:rsidP="00723F78" w:rsidRDefault="00BE691F" w14:paraId="50E88C15" w14:textId="56EC1B23">
      <w:pPr>
        <w:pStyle w:val="SingleTxtG"/>
        <w:ind w:firstLine="567"/>
        <w:rPr>
          <w:b/>
          <w:bCs/>
        </w:rPr>
      </w:pPr>
      <w:r w:rsidRPr="00BE691F">
        <w:rPr>
          <w:b/>
          <w:bCs/>
          <w:lang w:val="en-US"/>
        </w:rPr>
        <w:t xml:space="preserve">(d)</w:t>
      </w:r>
      <w:r w:rsidRPr="00BE691F">
        <w:tab/>
      </w:r>
      <w:r w:rsidRPr="00BE691F">
        <w:rPr>
          <w:b/>
          <w:bCs/>
        </w:rPr>
        <w:t xml:space="preserve">soutenir les États membres </w:t>
      </w:r>
      <w:r w:rsidRPr="00BE691F">
        <w:rPr>
          <w:b/>
          <w:bCs/>
        </w:rPr>
        <w:t xml:space="preserve">dans la mise en œuvre de lignes directrices visant à améliorer l'accès aux soins de santé.</w:t>
      </w:r>
    </w:p>
    <w:p w:rsidR="009B6B39" w:rsidP="00723F78" w:rsidRDefault="00723F78" w14:paraId="1C8A2933" w14:textId="62721279">
      <w:pPr>
        <w:pStyle w:val="H23G"/>
      </w:pPr>
      <w:r>
        <w:tab/>
      </w:r>
      <w:r>
        <w:tab/>
      </w:r>
      <w:r w:rsidR="009B6B39">
        <w:t xml:space="preserve">Habilitation et réadaptation (art. 26)</w:t>
      </w:r>
    </w:p>
    <w:p w:rsidRPr="009B6B39" w:rsidR="009B6B39" w:rsidP="00723F78" w:rsidRDefault="009B6B39" w14:paraId="7FBCDFE1" w14:textId="61E518AE">
      <w:pPr>
        <w:pStyle w:val="SingleTxtG"/>
        <w:numPr>
          <w:ilvl w:val="0"/>
          <w:numId w:val="22"/>
        </w:numPr>
        <w:ind w:start="1134" w:firstLine="0"/>
      </w:pPr>
      <w:r w:rsidRPr="009B6B39">
        <w:t xml:space="preserve">Le Comité est préoccupé par le fait que</w:t>
      </w:r>
    </w:p>
    <w:p w:rsidRPr="009B6B39" w:rsidR="009B6B39" w:rsidP="00723F78" w:rsidRDefault="009B6B39" w14:paraId="063BECFF" w14:textId="601FE3E6">
      <w:pPr>
        <w:pStyle w:val="SingleTxtG"/>
        <w:ind w:firstLine="567"/>
      </w:pPr>
      <w:r w:rsidRPr="009B6B39">
        <w:t xml:space="preserve">(a)</w:t>
      </w:r>
      <w:r w:rsidR="00723F78">
        <w:tab/>
      </w:r>
      <w:r w:rsidR="000A5B58">
        <w:t xml:space="preserve">L'UE </w:t>
      </w:r>
      <w:r w:rsidRPr="009B6B39">
        <w:t xml:space="preserve">ne dispose pas de stratégies spécifiques </w:t>
      </w:r>
      <w:r w:rsidR="000A5B58">
        <w:t xml:space="preserve">pour la </w:t>
      </w:r>
      <w:r w:rsidR="002909F1">
        <w:t xml:space="preserve">fourniture de </w:t>
      </w:r>
      <w:r w:rsidR="000A5B58">
        <w:t xml:space="preserve">services d'adaptation et de réadaptation</w:t>
      </w:r>
      <w:r w:rsidRPr="009B6B39">
        <w:t xml:space="preserve">, </w:t>
      </w:r>
      <w:r w:rsidR="000A5B58">
        <w:t xml:space="preserve">leur </w:t>
      </w:r>
      <w:r w:rsidRPr="009B6B39" w:rsidR="000A5B58">
        <w:t xml:space="preserve">inclusion dans la couverture des soins de santé transfrontaliers </w:t>
      </w:r>
      <w:r w:rsidR="000A5B58">
        <w:t xml:space="preserve">et les </w:t>
      </w:r>
      <w:r w:rsidRPr="009B6B39">
        <w:t xml:space="preserve">mécanismes de financement ;</w:t>
      </w:r>
    </w:p>
    <w:p w:rsidRPr="009B6B39" w:rsidR="009B6B39" w:rsidP="00723F78" w:rsidRDefault="009B6B39" w14:paraId="4038A7DB" w14:textId="4276E218">
      <w:pPr>
        <w:pStyle w:val="SingleTxtG"/>
        <w:ind w:firstLine="567"/>
      </w:pPr>
      <w:r w:rsidRPr="009B6B39">
        <w:t xml:space="preserve">(b)</w:t>
      </w:r>
      <w:r w:rsidRPr="009B6B39">
        <w:tab/>
      </w:r>
      <w:r w:rsidRPr="009B6B39">
        <w:t xml:space="preserve">L'inégalité est grande en ce qui concerne la disponibilité, l'accessibilité financière </w:t>
      </w:r>
      <w:r w:rsidR="002909F1">
        <w:t xml:space="preserve">et la </w:t>
      </w:r>
      <w:r w:rsidRPr="009B6B39">
        <w:t xml:space="preserve">qualité </w:t>
      </w:r>
      <w:r w:rsidR="00233DAE">
        <w:t xml:space="preserve">des </w:t>
      </w:r>
      <w:r w:rsidRPr="009B6B39">
        <w:t xml:space="preserve">services d'adaptation pour les personnes handicapées ;</w:t>
      </w:r>
    </w:p>
    <w:p w:rsidRPr="009B6B39" w:rsidR="00CB3FF0" w:rsidP="00723F78" w:rsidRDefault="009B6B39" w14:paraId="63A4C084" w14:textId="65CC9001">
      <w:pPr>
        <w:pStyle w:val="SingleTxtG"/>
        <w:ind w:firstLine="567"/>
      </w:pPr>
      <w:r w:rsidRPr="009B6B39">
        <w:t xml:space="preserve">(c)</w:t>
      </w:r>
      <w:r w:rsidRPr="009B6B39">
        <w:tab/>
      </w:r>
      <w:r w:rsidRPr="009B6B39">
        <w:t xml:space="preserve">Les mesures </w:t>
      </w:r>
      <w:r w:rsidR="002909F1">
        <w:t xml:space="preserve">budgétaires </w:t>
      </w:r>
      <w:r w:rsidRPr="009B6B39">
        <w:t xml:space="preserve">des États membres </w:t>
      </w:r>
      <w:r w:rsidR="002909F1">
        <w:t xml:space="preserve">aggravent </w:t>
      </w:r>
      <w:r w:rsidRPr="009B6B39">
        <w:t xml:space="preserve">la pénurie de services de réadaptation et augmentent la charge financière des personnes handicapées, et l</w:t>
      </w:r>
      <w:r w:rsidR="002909F1">
        <w:t xml:space="preserve">'</w:t>
      </w:r>
      <w:r w:rsidRPr="009B6B39">
        <w:t xml:space="preserve">accès aux programmes d'adaptation </w:t>
      </w:r>
      <w:r w:rsidR="002909F1">
        <w:t xml:space="preserve">n'est pas suffisamment </w:t>
      </w:r>
      <w:r w:rsidRPr="009B6B39">
        <w:t xml:space="preserve">adapté aux </w:t>
      </w:r>
      <w:r w:rsidR="00BE3A1E">
        <w:t xml:space="preserve">besoins </w:t>
      </w:r>
      <w:r w:rsidRPr="009B6B39">
        <w:t xml:space="preserve">individuels</w:t>
      </w:r>
      <w:r w:rsidR="00BE3A1E">
        <w:t xml:space="preserve">.</w:t>
      </w:r>
    </w:p>
    <w:p w:rsidRPr="009B6B39" w:rsidR="009B6B39" w:rsidP="00723F78" w:rsidRDefault="009B6B39" w14:paraId="1B666A2D" w14:textId="4770E578">
      <w:pPr>
        <w:pStyle w:val="SingleTxtG"/>
        <w:numPr>
          <w:ilvl w:val="0"/>
          <w:numId w:val="22"/>
        </w:numPr>
        <w:ind w:start="1134" w:firstLine="0"/>
        <w:rPr>
          <w:b/>
          <w:bCs/>
        </w:rPr>
      </w:pPr>
      <w:r w:rsidRPr="009B6B39">
        <w:rPr>
          <w:b/>
          <w:bCs/>
        </w:rPr>
        <w:t xml:space="preserve">Le Comité recommande à l'</w:t>
      </w:r>
      <w:r w:rsidR="00004F41">
        <w:rPr>
          <w:b/>
          <w:bCs/>
        </w:rPr>
        <w:t xml:space="preserve">Union européenne</w:t>
      </w:r>
    </w:p>
    <w:p w:rsidRPr="00723F78" w:rsidR="009B6B39" w:rsidP="00723F78" w:rsidRDefault="009B6B39" w14:paraId="0B430518" w14:textId="5CE47943">
      <w:pPr>
        <w:pStyle w:val="SingleTxtG"/>
        <w:ind w:firstLine="567"/>
        <w:rPr>
          <w:b/>
          <w:bCs/>
        </w:rPr>
      </w:pPr>
      <w:r w:rsidRPr="00723F78">
        <w:rPr>
          <w:b/>
          <w:bCs/>
        </w:rPr>
        <w:t xml:space="preserve">(a)</w:t>
      </w:r>
      <w:r w:rsidRPr="00723F78">
        <w:rPr>
          <w:b/>
          <w:bCs/>
        </w:rPr>
        <w:tab/>
      </w:r>
      <w:r w:rsidRPr="00723F78" w:rsidR="00F7685E">
        <w:rPr>
          <w:b/>
          <w:bCs/>
        </w:rPr>
        <w:t xml:space="preserve">D'augmenter les allocations budgétaires pour les </w:t>
      </w:r>
      <w:r w:rsidRPr="00723F78">
        <w:rPr>
          <w:b/>
          <w:bCs/>
        </w:rPr>
        <w:t xml:space="preserve">services d'</w:t>
      </w:r>
      <w:r w:rsidRPr="00723F78" w:rsidR="00F7685E">
        <w:rPr>
          <w:b/>
          <w:bCs/>
        </w:rPr>
        <w:t xml:space="preserve">adaptation et de </w:t>
      </w:r>
      <w:r w:rsidRPr="00723F78">
        <w:rPr>
          <w:b/>
          <w:bCs/>
        </w:rPr>
        <w:t xml:space="preserve">réadaptation</w:t>
      </w:r>
      <w:r w:rsidRPr="00723F78" w:rsidR="00F7685E">
        <w:rPr>
          <w:b/>
          <w:bCs/>
        </w:rPr>
        <w:t xml:space="preserve">, d'</w:t>
      </w:r>
      <w:r w:rsidRPr="00723F78">
        <w:rPr>
          <w:b/>
          <w:bCs/>
        </w:rPr>
        <w:t xml:space="preserve">élaborer des lignes directrices sur les interventions fondées sur des preuves et des droits</w:t>
      </w:r>
      <w:r w:rsidRPr="00723F78">
        <w:rPr>
          <w:b/>
          <w:bCs/>
        </w:rPr>
        <w:t xml:space="preserve">, et d'</w:t>
      </w:r>
      <w:r w:rsidRPr="00723F78" w:rsidR="00B2501D">
        <w:rPr>
          <w:b/>
          <w:bCs/>
        </w:rPr>
        <w:t xml:space="preserve">inclure les services de réadaptation dans </w:t>
      </w:r>
      <w:r w:rsidRPr="00723F78">
        <w:rPr>
          <w:b/>
          <w:bCs/>
        </w:rPr>
        <w:t xml:space="preserve">la directive sur la mobilité des patients ;</w:t>
      </w:r>
    </w:p>
    <w:p w:rsidRPr="00723F78" w:rsidR="009B6B39" w:rsidP="00723F78" w:rsidRDefault="009B6B39" w14:paraId="67AF034F" w14:textId="6299A0E9">
      <w:pPr>
        <w:pStyle w:val="SingleTxtG"/>
        <w:ind w:firstLine="567"/>
        <w:rPr>
          <w:b/>
          <w:bCs/>
        </w:rPr>
      </w:pPr>
      <w:r w:rsidRPr="00723F78">
        <w:rPr>
          <w:b/>
          <w:bCs/>
        </w:rPr>
        <w:t xml:space="preserve">(b)</w:t>
      </w:r>
      <w:r w:rsidRPr="00723F78">
        <w:rPr>
          <w:b/>
          <w:bCs/>
        </w:rPr>
        <w:tab/>
      </w:r>
      <w:r w:rsidRPr="00723F78">
        <w:rPr>
          <w:b/>
          <w:bCs/>
        </w:rPr>
        <w:t xml:space="preserve">Soutenir </w:t>
      </w:r>
      <w:r w:rsidRPr="00723F78" w:rsidR="00F7685E">
        <w:rPr>
          <w:b/>
          <w:bCs/>
        </w:rPr>
        <w:t xml:space="preserve">financièrement </w:t>
      </w:r>
      <w:r w:rsidRPr="00723F78">
        <w:rPr>
          <w:b/>
          <w:bCs/>
        </w:rPr>
        <w:t xml:space="preserve">les États membres </w:t>
      </w:r>
      <w:r w:rsidRPr="00723F78">
        <w:rPr>
          <w:b/>
          <w:bCs/>
        </w:rPr>
        <w:t xml:space="preserve">et échanger les meilleures pratiques pour améliorer l'accès à l'</w:t>
      </w:r>
      <w:r w:rsidRPr="00723F78" w:rsidR="00F7685E">
        <w:rPr>
          <w:b/>
          <w:bCs/>
        </w:rPr>
        <w:t xml:space="preserve">habilitation et à la réadaptation </w:t>
      </w:r>
      <w:r w:rsidRPr="00723F78">
        <w:rPr>
          <w:b/>
          <w:bCs/>
        </w:rPr>
        <w:t xml:space="preserve">des personnes handicapées</w:t>
      </w:r>
      <w:r w:rsidRPr="00723F78" w:rsidR="00F7685E">
        <w:rPr>
          <w:b/>
          <w:bCs/>
        </w:rPr>
        <w:t xml:space="preserve">, </w:t>
      </w:r>
      <w:r w:rsidRPr="00723F78">
        <w:rPr>
          <w:b/>
          <w:bCs/>
        </w:rPr>
        <w:t xml:space="preserve">et adopter un plan d'action pour une réadaptation abordable et accessible tout au long de la vie, conformément à l'agenda Réadaptation 2030 de l'OMS ;</w:t>
      </w:r>
    </w:p>
    <w:p w:rsidR="009B6B39" w:rsidP="00723F78" w:rsidRDefault="009B6B39" w14:paraId="098E2047" w14:textId="37EB1BE5">
      <w:pPr>
        <w:pStyle w:val="SingleTxtG"/>
        <w:ind w:firstLine="567"/>
        <w:rPr>
          <w:b/>
          <w:bCs/>
        </w:rPr>
      </w:pPr>
      <w:r w:rsidRPr="00723F78">
        <w:rPr>
          <w:b/>
          <w:bCs/>
        </w:rPr>
        <w:t xml:space="preserve">(c)</w:t>
      </w:r>
      <w:r w:rsidRPr="009B6B39">
        <w:rPr>
          <w:b/>
          <w:bCs/>
        </w:rPr>
        <w:tab/>
      </w:r>
      <w:r w:rsidRPr="009B6B39">
        <w:rPr>
          <w:b/>
          <w:bCs/>
        </w:rPr>
        <w:t xml:space="preserve">Promouvoir une formation obligatoire sur des stratégies d'habilitation spécifiques et fondées sur des données probantes pour l'autisme</w:t>
      </w:r>
      <w:r w:rsidRPr="009B6B39">
        <w:rPr>
          <w:b/>
          <w:bCs/>
        </w:rPr>
        <w:t xml:space="preserve">, et adopter des systèmes d'évaluation de la qualité des services d'habilitation axés sur l'inclusion, la participation et la qualité de vie des utilisateurs.</w:t>
      </w:r>
    </w:p>
    <w:p w:rsidRPr="00AD7122" w:rsidR="00E766E3" w:rsidP="00723F78" w:rsidRDefault="00723F78" w14:paraId="73FA714F" w14:textId="72AC1EDE">
      <w:pPr>
        <w:pStyle w:val="H23G"/>
      </w:pPr>
      <w:r>
        <w:tab/>
      </w:r>
      <w:r>
        <w:tab/>
      </w:r>
      <w:bookmarkStart w:name="_Hlk193809390" w:id="16"/>
      <w:r w:rsidR="006A2B00">
        <w:t xml:space="preserve">Travail et emploi </w:t>
      </w:r>
      <w:r w:rsidRPr="00AD7122" w:rsidR="00E766E3">
        <w:t xml:space="preserve">(art. 27)</w:t>
      </w:r>
    </w:p>
    <w:p w:rsidR="00B573AF" w:rsidP="00723F78" w:rsidRDefault="00B573AF" w14:paraId="3F93D799" w14:textId="3DCF5909">
      <w:pPr>
        <w:pStyle w:val="SingleTxtG"/>
        <w:numPr>
          <w:ilvl w:val="0"/>
          <w:numId w:val="22"/>
        </w:numPr>
        <w:ind w:start="1134" w:firstLine="0"/>
      </w:pPr>
      <w:r>
        <w:t xml:space="preserve">Le Comité est préoccupé par le fait que</w:t>
      </w:r>
    </w:p>
    <w:p w:rsidR="00B573AF" w:rsidP="00723F78" w:rsidRDefault="00B573AF" w14:paraId="3E3914A4" w14:textId="3CD58D58">
      <w:pPr>
        <w:pStyle w:val="SingleTxtG"/>
        <w:ind w:firstLine="567"/>
      </w:pPr>
      <w:r>
        <w:t xml:space="preserve">(a)</w:t>
      </w:r>
      <w:r>
        <w:tab/>
      </w:r>
      <w:r>
        <w:t xml:space="preserve">Des pratiques de ségrégation dans l'emploi </w:t>
      </w:r>
      <w:r w:rsidR="0097545A">
        <w:t xml:space="preserve">(voir l'Observation générale no 8 du Comité [2022], par. 14) </w:t>
      </w:r>
      <w:r w:rsidR="00B2501D">
        <w:t xml:space="preserve">existent </w:t>
      </w:r>
      <w:r>
        <w:t xml:space="preserve">dans les </w:t>
      </w:r>
      <w:r>
        <w:t xml:space="preserve">États membres </w:t>
      </w:r>
      <w:r w:rsidR="00696712">
        <w:t xml:space="preserve">et </w:t>
      </w:r>
      <w:r w:rsidR="00E53A54">
        <w:t xml:space="preserve">que </w:t>
      </w:r>
      <w:r w:rsidR="00992426">
        <w:t xml:space="preserve">ces derniers utilisent les aides publiques pour </w:t>
      </w:r>
      <w:r w:rsidR="002B780B">
        <w:t xml:space="preserve">soutenir la </w:t>
      </w:r>
      <w:r w:rsidR="00696712">
        <w:t xml:space="preserve">ségrégation dans l'emploi </w:t>
      </w:r>
      <w:r>
        <w:t xml:space="preserve">;</w:t>
      </w:r>
    </w:p>
    <w:p w:rsidR="00B573AF" w:rsidP="00723F78" w:rsidRDefault="00B573AF" w14:paraId="7291AF5B" w14:textId="6F5A42F6">
      <w:pPr>
        <w:pStyle w:val="SingleTxtG"/>
        <w:ind w:firstLine="567"/>
      </w:pPr>
      <w:r>
        <w:t xml:space="preserve">(b)</w:t>
      </w:r>
      <w:r>
        <w:tab/>
      </w:r>
      <w:r>
        <w:t xml:space="preserve">Les disparités </w:t>
      </w:r>
      <w:r>
        <w:t xml:space="preserve">en matière d'</w:t>
      </w:r>
      <w:r>
        <w:t xml:space="preserve">emploi </w:t>
      </w:r>
      <w:r>
        <w:t xml:space="preserve">parmi les personnes handicapées </w:t>
      </w:r>
      <w:r w:rsidR="00F7685E">
        <w:t xml:space="preserve">persistent dans </w:t>
      </w:r>
      <w:r>
        <w:t xml:space="preserve">les </w:t>
      </w:r>
      <w:r>
        <w:t xml:space="preserve">États membres, en raison de l'absence d'aménagements raisonnables, de la stigmatisation du handicap</w:t>
      </w:r>
      <w:r w:rsidR="009A24ED">
        <w:t xml:space="preserve">, des préjugés </w:t>
      </w:r>
      <w:r>
        <w:t xml:space="preserve">et de l'incompatibilité des </w:t>
      </w:r>
      <w:r w:rsidR="00F7685E">
        <w:t xml:space="preserve">prestations d'</w:t>
      </w:r>
      <w:r>
        <w:t xml:space="preserve">invalidité </w:t>
      </w:r>
      <w:r>
        <w:t xml:space="preserve">avec un travail rémunéré ; </w:t>
      </w:r>
    </w:p>
    <w:p w:rsidR="00B573AF" w:rsidP="00723F78" w:rsidRDefault="00B573AF" w14:paraId="7AF8E09B" w14:textId="62F7FCC0">
      <w:pPr>
        <w:pStyle w:val="SingleTxtG"/>
        <w:ind w:firstLine="567"/>
      </w:pPr>
      <w:r>
        <w:t xml:space="preserve">(c)</w:t>
      </w:r>
      <w:r>
        <w:tab/>
      </w:r>
      <w:r w:rsidR="00B94A4E">
        <w:t xml:space="preserve">Malgré les </w:t>
      </w:r>
      <w:r w:rsidR="001352EE">
        <w:t xml:space="preserve">progrès réalisés ces dernières années, </w:t>
      </w:r>
      <w:r w:rsidR="00B155AD">
        <w:t xml:space="preserve">la </w:t>
      </w:r>
      <w:r>
        <w:t xml:space="preserve">discrimination à l'égard des personnes handicapées dans le domaine du </w:t>
      </w:r>
      <w:r>
        <w:t xml:space="preserve">travail et de l'emploi </w:t>
      </w:r>
      <w:r w:rsidR="001352EE">
        <w:t xml:space="preserve">reste </w:t>
      </w:r>
      <w:r w:rsidR="00B155AD">
        <w:t xml:space="preserve">omniprésente </w:t>
      </w:r>
      <w:r>
        <w:t xml:space="preserve">: salaires inférieurs, emplois à temps partiel ou faiblement rémunérés, faible participation à l'emploi à temps plein, touchant en </w:t>
      </w:r>
      <w:r>
        <w:t xml:space="preserve">particulier les femmes handicapées, les personnes souffrant de handicaps intellectuels et/ou psychosociaux et les personnes ayant des </w:t>
      </w:r>
      <w:r>
        <w:t xml:space="preserve">besoins d'assistance </w:t>
      </w:r>
      <w:r w:rsidR="00076133">
        <w:t xml:space="preserve">intensifs</w:t>
      </w:r>
      <w:r>
        <w:t xml:space="preserve">. </w:t>
      </w:r>
    </w:p>
    <w:p w:rsidRPr="00B573AF" w:rsidR="00B573AF" w:rsidP="00723F78" w:rsidRDefault="00B573AF" w14:paraId="38CD860E" w14:textId="28CA5971">
      <w:pPr>
        <w:pStyle w:val="SingleTxtG"/>
        <w:numPr>
          <w:ilvl w:val="0"/>
          <w:numId w:val="22"/>
        </w:numPr>
        <w:ind w:start="1134" w:firstLine="0"/>
        <w:rPr>
          <w:b/>
          <w:bCs/>
        </w:rPr>
      </w:pPr>
      <w:r w:rsidRPr="00B573AF">
        <w:rPr>
          <w:b/>
          <w:bCs/>
        </w:rPr>
        <w:t xml:space="preserve">Le Comité recommande à l'</w:t>
      </w:r>
      <w:r w:rsidR="00B155AD">
        <w:rPr>
          <w:b/>
          <w:bCs/>
        </w:rPr>
        <w:t xml:space="preserve">Union européenne</w:t>
      </w:r>
    </w:p>
    <w:p w:rsidRPr="00723F78" w:rsidR="00B573AF" w:rsidP="00723F78" w:rsidRDefault="00B573AF" w14:paraId="78016851" w14:textId="3CDE03E9">
      <w:pPr>
        <w:pStyle w:val="SingleTxtG"/>
        <w:ind w:firstLine="567"/>
        <w:rPr>
          <w:b/>
          <w:bCs/>
        </w:rPr>
      </w:pPr>
      <w:r w:rsidRPr="00B573AF">
        <w:rPr>
          <w:b/>
          <w:bCs/>
        </w:rPr>
        <w:t xml:space="preserve">(a)</w:t>
      </w:r>
      <w:r w:rsidRPr="00B573AF">
        <w:rPr>
          <w:b/>
          <w:bCs/>
        </w:rPr>
        <w:tab/>
      </w:r>
      <w:r w:rsidRPr="00B573AF" w:rsidR="00E53A54">
        <w:rPr>
          <w:b/>
          <w:bCs/>
        </w:rPr>
        <w:t xml:space="preserve">Abroger la législation qui </w:t>
      </w:r>
      <w:r w:rsidR="00E53A54">
        <w:rPr>
          <w:b/>
          <w:bCs/>
        </w:rPr>
        <w:t xml:space="preserve">autorise le </w:t>
      </w:r>
      <w:r w:rsidRPr="00B573AF" w:rsidR="00E53A54">
        <w:rPr>
          <w:b/>
          <w:bCs/>
        </w:rPr>
        <w:t xml:space="preserve">financement public des formes d'</w:t>
      </w:r>
      <w:r w:rsidRPr="00723F78" w:rsidR="00E53A54">
        <w:rPr>
          <w:b/>
          <w:bCs/>
        </w:rPr>
        <w:t xml:space="preserve">emploi </w:t>
      </w:r>
      <w:r w:rsidRPr="00B573AF" w:rsidR="00E53A54">
        <w:rPr>
          <w:b/>
          <w:bCs/>
        </w:rPr>
        <w:t xml:space="preserve">ségrégué </w:t>
      </w:r>
      <w:r w:rsidRPr="00723F78" w:rsidR="00E53A54">
        <w:rPr>
          <w:b/>
          <w:bCs/>
        </w:rPr>
        <w:t xml:space="preserve">pour les personnes handicapées, telles que les institutions et autres établissements ségrégués, modifier les directives 2014/23/UE et 2014/24/UE pour supprimer la possibilité d'attribuer des marchés publics à ces établissements, abroger l'article 34(2)(f) du règlement général d'exemption par catégorie (règlement (UE) n° 651/2014), et interdire les aides d'État en faveur de l'emploi ségrégué </w:t>
      </w:r>
      <w:r w:rsidR="00181FD3">
        <w:rPr>
          <w:b/>
          <w:bCs/>
        </w:rPr>
        <w:t xml:space="preserve">;</w:t>
      </w:r>
    </w:p>
    <w:p w:rsidRPr="00723F78" w:rsidR="00B573AF" w:rsidP="00723F78" w:rsidRDefault="00B573AF" w14:paraId="084D1D65" w14:textId="36146A0A">
      <w:pPr>
        <w:pStyle w:val="SingleTxtG"/>
        <w:ind w:firstLine="567"/>
        <w:rPr>
          <w:b/>
          <w:bCs/>
        </w:rPr>
      </w:pPr>
      <w:r w:rsidRPr="00723F78">
        <w:rPr>
          <w:b/>
          <w:bCs/>
        </w:rPr>
        <w:t xml:space="preserve">(b)</w:t>
      </w:r>
      <w:r w:rsidRPr="001352EE">
        <w:tab/>
      </w:r>
      <w:r w:rsidR="001352EE">
        <w:rPr>
          <w:b/>
          <w:bCs/>
        </w:rPr>
        <w:t xml:space="preserve">Soutenir les États membres dans leurs efforts pour mettre en œuvre le paquet sur l'emploi des personnes handicapées visant l'</w:t>
      </w:r>
      <w:r w:rsidRPr="00723F78">
        <w:rPr>
          <w:b/>
          <w:bCs/>
        </w:rPr>
        <w:t xml:space="preserve">emploi des personnes handicapées sur le marché du travail ouvert qui </w:t>
      </w:r>
      <w:r w:rsidRPr="00723F78" w:rsidR="00A61F14">
        <w:rPr>
          <w:b/>
          <w:bCs/>
        </w:rPr>
        <w:t xml:space="preserve">améliore</w:t>
      </w:r>
      <w:r w:rsidRPr="00723F78">
        <w:rPr>
          <w:b/>
          <w:bCs/>
        </w:rPr>
        <w:t xml:space="preserve"> l'</w:t>
      </w:r>
      <w:r w:rsidRPr="00723F78">
        <w:rPr>
          <w:b/>
          <w:bCs/>
        </w:rPr>
        <w:t xml:space="preserve">accès au travail et à l'emploi, </w:t>
      </w:r>
      <w:r w:rsidRPr="00723F78" w:rsidR="00A61F14">
        <w:rPr>
          <w:b/>
          <w:bCs/>
        </w:rPr>
        <w:t xml:space="preserve">ferme les </w:t>
      </w:r>
      <w:r w:rsidRPr="00723F78">
        <w:rPr>
          <w:b/>
          <w:bCs/>
        </w:rPr>
        <w:t xml:space="preserve">ateliers </w:t>
      </w:r>
      <w:r w:rsidRPr="00723F78" w:rsidR="005011C5">
        <w:rPr>
          <w:b/>
          <w:bCs/>
        </w:rPr>
        <w:t xml:space="preserve">ségrégués</w:t>
      </w:r>
      <w:r w:rsidRPr="00723F78">
        <w:rPr>
          <w:b/>
          <w:bCs/>
        </w:rPr>
        <w:t xml:space="preserve">, </w:t>
      </w:r>
      <w:r w:rsidRPr="00723F78">
        <w:rPr>
          <w:b/>
          <w:bCs/>
        </w:rPr>
        <w:t xml:space="preserve">sensibilise au droit au travail et à l'emploi de toutes les personnes</w:t>
      </w:r>
      <w:r w:rsidRPr="00723F78">
        <w:rPr>
          <w:b/>
          <w:bCs/>
        </w:rPr>
        <w:lastRenderedPageBreak/>
      </w:r>
      <w:r w:rsidRPr="00723F78">
        <w:rPr>
          <w:b/>
          <w:bCs/>
        </w:rPr>
        <w:t xml:space="preserve"> handicapées</w:t>
      </w:r>
      <w:r w:rsidRPr="00723F78" w:rsidR="00A61F14">
        <w:rPr>
          <w:b/>
          <w:bCs/>
        </w:rPr>
        <w:t xml:space="preserve">, </w:t>
      </w:r>
      <w:r w:rsidRPr="00723F78" w:rsidR="006841AD">
        <w:rPr>
          <w:b/>
          <w:bCs/>
        </w:rPr>
        <w:t xml:space="preserve">garantit l'</w:t>
      </w:r>
      <w:r w:rsidRPr="00723F78">
        <w:rPr>
          <w:b/>
          <w:bCs/>
        </w:rPr>
        <w:t xml:space="preserve">égalité de rémunération et de conditions de travail pour les personnes handicapées et la </w:t>
      </w:r>
      <w:r w:rsidRPr="00723F78" w:rsidR="006841AD">
        <w:rPr>
          <w:b/>
          <w:bCs/>
        </w:rPr>
        <w:t xml:space="preserve">mise en place d'</w:t>
      </w:r>
      <w:r w:rsidRPr="00723F78">
        <w:rPr>
          <w:b/>
          <w:bCs/>
        </w:rPr>
        <w:t xml:space="preserve">aménagements raisonnables</w:t>
      </w:r>
      <w:r w:rsidRPr="00723F78" w:rsidR="00B2501D">
        <w:rPr>
          <w:b/>
          <w:bCs/>
        </w:rPr>
        <w:t xml:space="preserve">, </w:t>
      </w:r>
      <w:r w:rsidRPr="00723F78" w:rsidR="006841AD">
        <w:rPr>
          <w:b/>
          <w:bCs/>
        </w:rPr>
        <w:t xml:space="preserve">prévoit des mesures de transition et </w:t>
      </w:r>
      <w:r w:rsidRPr="00723F78" w:rsidR="006841AD">
        <w:rPr>
          <w:b/>
          <w:bCs/>
        </w:rPr>
        <w:t xml:space="preserve">recueille</w:t>
      </w:r>
      <w:r w:rsidRPr="00723F78">
        <w:rPr>
          <w:b/>
          <w:bCs/>
        </w:rPr>
        <w:t xml:space="preserve"> des </w:t>
      </w:r>
      <w:r w:rsidRPr="00723F78">
        <w:rPr>
          <w:b/>
          <w:bCs/>
        </w:rPr>
        <w:t xml:space="preserve">données ventilées sur les personnes handicapées occupant un </w:t>
      </w:r>
      <w:r w:rsidRPr="00723F78">
        <w:rPr>
          <w:b/>
          <w:bCs/>
        </w:rPr>
        <w:t xml:space="preserve">emploi </w:t>
      </w:r>
      <w:r w:rsidR="00181FD3">
        <w:rPr>
          <w:b/>
          <w:bCs/>
        </w:rPr>
        <w:t xml:space="preserve">ségrégué </w:t>
      </w:r>
      <w:r w:rsidR="00181FD3">
        <w:rPr>
          <w:b/>
          <w:bCs/>
        </w:rPr>
        <w:t xml:space="preserve">;</w:t>
      </w:r>
    </w:p>
    <w:p w:rsidRPr="00B573AF" w:rsidR="00B573AF" w:rsidP="00723F78" w:rsidRDefault="00B573AF" w14:paraId="65B6C19D" w14:textId="1FB12336">
      <w:pPr>
        <w:pStyle w:val="SingleTxtG"/>
        <w:ind w:firstLine="567"/>
        <w:rPr>
          <w:b/>
          <w:bCs/>
        </w:rPr>
      </w:pPr>
      <w:r w:rsidRPr="00723F78">
        <w:rPr>
          <w:b/>
          <w:bCs/>
        </w:rPr>
        <w:t xml:space="preserve">(c)</w:t>
      </w:r>
      <w:r>
        <w:tab/>
      </w:r>
      <w:r w:rsidRPr="001352EE" w:rsidR="001352EE">
        <w:rPr>
          <w:b/>
          <w:bCs/>
        </w:rPr>
        <w:t xml:space="preserve">Poursuivre et renforcer les efforts pour </w:t>
      </w:r>
      <w:r w:rsidRPr="001352EE" w:rsidR="00CF0CBE">
        <w:rPr>
          <w:b/>
          <w:bCs/>
        </w:rPr>
        <w:t xml:space="preserve">lutter contre la </w:t>
      </w:r>
      <w:r w:rsidR="00CF0CBE">
        <w:rPr>
          <w:b/>
          <w:bCs/>
        </w:rPr>
        <w:t xml:space="preserve">discrimination </w:t>
      </w:r>
      <w:r w:rsidR="005011C5">
        <w:rPr>
          <w:b/>
          <w:bCs/>
        </w:rPr>
        <w:t xml:space="preserve">des </w:t>
      </w:r>
      <w:r w:rsidRPr="00B573AF">
        <w:rPr>
          <w:b/>
          <w:bCs/>
        </w:rPr>
        <w:t xml:space="preserve">personnes handicapées </w:t>
      </w:r>
      <w:r w:rsidR="00B33428">
        <w:rPr>
          <w:b/>
          <w:bCs/>
        </w:rPr>
        <w:t xml:space="preserve">dans l'emploi</w:t>
      </w:r>
      <w:r w:rsidR="00B2501D">
        <w:rPr>
          <w:b/>
          <w:bCs/>
        </w:rPr>
        <w:t xml:space="preserve">, y compris les femmes et les personnes souffrant de handicaps intellectuels et/ou psychosociaux</w:t>
      </w:r>
      <w:r w:rsidRPr="00B573AF">
        <w:rPr>
          <w:b/>
          <w:bCs/>
        </w:rPr>
        <w:t xml:space="preserve">, </w:t>
      </w:r>
      <w:r w:rsidR="00B2501D">
        <w:rPr>
          <w:b/>
          <w:bCs/>
        </w:rPr>
        <w:t xml:space="preserve">notamment </w:t>
      </w:r>
      <w:r w:rsidRPr="00B573AF">
        <w:rPr>
          <w:b/>
          <w:bCs/>
        </w:rPr>
        <w:t xml:space="preserve">en </w:t>
      </w:r>
      <w:r w:rsidRPr="00B573AF">
        <w:rPr>
          <w:b/>
          <w:bCs/>
        </w:rPr>
        <w:t xml:space="preserve">appliquant la directive sur l'égalité dans l'emploi dans tous les </w:t>
      </w:r>
      <w:r w:rsidRPr="00B573AF">
        <w:rPr>
          <w:b/>
          <w:bCs/>
        </w:rPr>
        <w:t xml:space="preserve">États membres </w:t>
      </w:r>
      <w:r w:rsidR="00B94A4E">
        <w:rPr>
          <w:b/>
          <w:bCs/>
        </w:rPr>
        <w:t xml:space="preserve">et en </w:t>
      </w:r>
      <w:r w:rsidRPr="00B573AF">
        <w:rPr>
          <w:b/>
          <w:bCs/>
        </w:rPr>
        <w:t xml:space="preserve">renforçant les organismes de promotion de l'égalité</w:t>
      </w:r>
      <w:r w:rsidR="00B94A4E">
        <w:rPr>
          <w:b/>
          <w:bCs/>
        </w:rPr>
        <w:t xml:space="preserve">, comme le prévoit la directive 2024/1499</w:t>
      </w:r>
      <w:r w:rsidRPr="00B573AF">
        <w:rPr>
          <w:b/>
          <w:bCs/>
        </w:rPr>
        <w:t xml:space="preserve">, </w:t>
      </w:r>
      <w:r w:rsidR="00B2501D">
        <w:rPr>
          <w:b/>
          <w:bCs/>
        </w:rPr>
        <w:t xml:space="preserve">et </w:t>
      </w:r>
      <w:r w:rsidR="00092D79">
        <w:rPr>
          <w:b/>
          <w:bCs/>
        </w:rPr>
        <w:t xml:space="preserve">en garantissant l'</w:t>
      </w:r>
      <w:r w:rsidRPr="00B573AF">
        <w:rPr>
          <w:b/>
          <w:bCs/>
        </w:rPr>
        <w:t xml:space="preserve">accès au salaire minimum sur la base de l'égalité avec les </w:t>
      </w:r>
      <w:r w:rsidR="00092D79">
        <w:rPr>
          <w:b/>
          <w:bCs/>
        </w:rPr>
        <w:t xml:space="preserve">autres personnes</w:t>
      </w:r>
      <w:r w:rsidRPr="00B573AF">
        <w:rPr>
          <w:b/>
          <w:bCs/>
        </w:rPr>
        <w:t xml:space="preserve">.</w:t>
      </w:r>
    </w:p>
    <w:bookmarkEnd w:id="16"/>
    <w:p w:rsidRPr="00AD7122" w:rsidR="00E766E3" w:rsidP="00723F78" w:rsidRDefault="00723F78" w14:paraId="63964153" w14:textId="6DA33C8D">
      <w:pPr>
        <w:pStyle w:val="H23G"/>
      </w:pPr>
      <w:r>
        <w:tab/>
      </w:r>
      <w:r>
        <w:tab/>
      </w:r>
      <w:r w:rsidR="006A2B00">
        <w:t xml:space="preserve">Niveau de vie suffisant et protection sociale </w:t>
      </w:r>
      <w:r w:rsidRPr="00AD7122" w:rsidR="00E766E3">
        <w:t xml:space="preserve">(art. 28)</w:t>
      </w:r>
    </w:p>
    <w:p w:rsidR="003B0EC3" w:rsidP="00723F78" w:rsidRDefault="003B0EC3" w14:paraId="55F8CB8A" w14:textId="54D35288">
      <w:pPr>
        <w:pStyle w:val="SingleTxtG"/>
        <w:numPr>
          <w:ilvl w:val="0"/>
          <w:numId w:val="22"/>
        </w:numPr>
        <w:ind w:start="1134" w:firstLine="0"/>
      </w:pPr>
      <w:r>
        <w:t xml:space="preserve">Le Comité note avec préoccupation</w:t>
      </w:r>
    </w:p>
    <w:p w:rsidR="003B0EC3" w:rsidP="00723F78" w:rsidRDefault="003B0EC3" w14:paraId="16FEE955" w14:textId="41BD57A2">
      <w:pPr>
        <w:pStyle w:val="SingleTxtG"/>
        <w:ind w:firstLine="567"/>
      </w:pPr>
      <w:r>
        <w:t xml:space="preserve">(a)</w:t>
      </w:r>
      <w:r>
        <w:tab/>
      </w:r>
      <w:r>
        <w:t xml:space="preserve">Les niveaux </w:t>
      </w:r>
      <w:r w:rsidR="000A48CC">
        <w:t xml:space="preserve">élevés </w:t>
      </w:r>
      <w:r>
        <w:t xml:space="preserve">de pauvreté et d'exclusion sociale </w:t>
      </w:r>
      <w:r w:rsidR="000A48CC">
        <w:t xml:space="preserve">des </w:t>
      </w:r>
      <w:r>
        <w:t xml:space="preserve">personnes handicapées, </w:t>
      </w:r>
      <w:r w:rsidR="000A48CC">
        <w:t xml:space="preserve">en particulier des </w:t>
      </w:r>
      <w:r>
        <w:t xml:space="preserve">femmes handicapées, des personnes autistes et des personnes handicapées ayant des </w:t>
      </w:r>
      <w:r>
        <w:t xml:space="preserve">besoins d'accompagnement </w:t>
      </w:r>
      <w:r w:rsidR="007B4991">
        <w:t xml:space="preserve">intensifs ; </w:t>
      </w:r>
    </w:p>
    <w:p w:rsidR="003B0EC3" w:rsidP="00723F78" w:rsidRDefault="003B0EC3" w14:paraId="5583234B" w14:textId="654019EE">
      <w:pPr>
        <w:pStyle w:val="SingleTxtG"/>
        <w:ind w:firstLine="567"/>
      </w:pPr>
      <w:r>
        <w:t xml:space="preserve">(b)</w:t>
      </w:r>
      <w:r>
        <w:tab/>
      </w:r>
      <w:r>
        <w:t xml:space="preserve">Le niveau plus élevé des dépenses de logement des personnes handicapées par rapport à l'ensemble de la population, et les </w:t>
      </w:r>
      <w:r>
        <w:t xml:space="preserve">coûts  </w:t>
      </w:r>
      <w:r w:rsidR="000A48CC">
        <w:t xml:space="preserve">élevés </w:t>
      </w:r>
      <w:r>
        <w:t xml:space="preserve">des aménagements d'accessibilité.  </w:t>
      </w:r>
    </w:p>
    <w:p w:rsidRPr="003B0EC3" w:rsidR="003B0EC3" w:rsidP="00723F78" w:rsidRDefault="003B0EC3" w14:paraId="1891ED76" w14:textId="3DFCB8A1">
      <w:pPr>
        <w:pStyle w:val="SingleTxtG"/>
        <w:numPr>
          <w:ilvl w:val="0"/>
          <w:numId w:val="22"/>
        </w:numPr>
        <w:ind w:start="1134" w:firstLine="0"/>
        <w:rPr>
          <w:b/>
          <w:bCs/>
        </w:rPr>
      </w:pPr>
      <w:r w:rsidRPr="003B0EC3">
        <w:rPr>
          <w:b/>
          <w:bCs/>
        </w:rPr>
        <w:t xml:space="preserve">Le Comité recommande à l'</w:t>
      </w:r>
      <w:r w:rsidR="000A48CC">
        <w:rPr>
          <w:b/>
          <w:bCs/>
        </w:rPr>
        <w:t xml:space="preserve">Union européenne</w:t>
      </w:r>
      <w:r w:rsidRPr="003B0EC3">
        <w:rPr>
          <w:b/>
          <w:bCs/>
        </w:rPr>
        <w:t xml:space="preserve">, en étroite consultation et avec la participation active des personnes handicapées par l'intermédiaire des organisations qui les représentent :</w:t>
      </w:r>
    </w:p>
    <w:p w:rsidRPr="00723F78" w:rsidR="003B0EC3" w:rsidP="00723F78" w:rsidRDefault="003B0EC3" w14:paraId="50447BC3" w14:textId="21C34EC8">
      <w:pPr>
        <w:pStyle w:val="SingleTxtG"/>
        <w:ind w:firstLine="567"/>
        <w:rPr>
          <w:b/>
          <w:bCs/>
        </w:rPr>
      </w:pPr>
      <w:r w:rsidRPr="00723F78">
        <w:rPr>
          <w:b/>
          <w:bCs/>
        </w:rPr>
        <w:t xml:space="preserve">(a)</w:t>
      </w:r>
      <w:r w:rsidRPr="00723F78">
        <w:rPr>
          <w:b/>
          <w:bCs/>
        </w:rPr>
        <w:tab/>
      </w:r>
      <w:r w:rsidRPr="00723F78">
        <w:rPr>
          <w:b/>
          <w:bCs/>
        </w:rPr>
        <w:t xml:space="preserve">D'affecter des crédits </w:t>
      </w:r>
      <w:r w:rsidRPr="00723F78" w:rsidR="000A48CC">
        <w:rPr>
          <w:b/>
          <w:bCs/>
        </w:rPr>
        <w:t xml:space="preserve">au </w:t>
      </w:r>
      <w:r w:rsidRPr="00723F78">
        <w:rPr>
          <w:b/>
          <w:bCs/>
        </w:rPr>
        <w:t xml:space="preserve">Fonds social européen afin d'accroître le financement de l'inclusion sociale et de la lutte contre la pauvreté </w:t>
      </w:r>
      <w:r w:rsidRPr="00723F78" w:rsidR="000A48CC">
        <w:rPr>
          <w:b/>
          <w:bCs/>
        </w:rPr>
        <w:t xml:space="preserve">des </w:t>
      </w:r>
      <w:r w:rsidRPr="00723F78">
        <w:rPr>
          <w:b/>
          <w:bCs/>
        </w:rPr>
        <w:t xml:space="preserve">personnes handicapées, et de veiller à ce que les investissements du </w:t>
      </w:r>
      <w:r w:rsidRPr="00723F78">
        <w:rPr>
          <w:b/>
          <w:bCs/>
        </w:rPr>
        <w:t xml:space="preserve">Fonds </w:t>
      </w:r>
      <w:r w:rsidRPr="00723F78">
        <w:rPr>
          <w:b/>
          <w:bCs/>
        </w:rPr>
        <w:t xml:space="preserve">social </w:t>
      </w:r>
      <w:r w:rsidRPr="00723F78">
        <w:rPr>
          <w:b/>
          <w:bCs/>
        </w:rPr>
        <w:t xml:space="preserve">s'attaquent aux inégalités structurelles et à la discrimination intersectionnelle </w:t>
      </w:r>
      <w:r w:rsidRPr="00723F78" w:rsidR="000A48CC">
        <w:rPr>
          <w:b/>
          <w:bCs/>
        </w:rPr>
        <w:t xml:space="preserve">dont sont victimes les </w:t>
      </w:r>
      <w:r w:rsidRPr="00723F78">
        <w:rPr>
          <w:b/>
          <w:bCs/>
        </w:rPr>
        <w:t xml:space="preserve">femmes et les filles handicapées, les personnes autistes et les personnes ayant des </w:t>
      </w:r>
      <w:r w:rsidRPr="00723F78">
        <w:rPr>
          <w:b/>
          <w:bCs/>
        </w:rPr>
        <w:t xml:space="preserve">besoins d'assistance </w:t>
      </w:r>
      <w:r w:rsidRPr="00723F78" w:rsidR="008E27A2">
        <w:rPr>
          <w:b/>
          <w:bCs/>
        </w:rPr>
        <w:t xml:space="preserve">intensifs ; </w:t>
      </w:r>
    </w:p>
    <w:p w:rsidRPr="00723F78" w:rsidR="003B0EC3" w:rsidP="00723F78" w:rsidRDefault="003B0EC3" w14:paraId="12FC72E2" w14:textId="2831EE45">
      <w:pPr>
        <w:pStyle w:val="SingleTxtG"/>
        <w:ind w:firstLine="567"/>
        <w:rPr>
          <w:b/>
          <w:bCs/>
        </w:rPr>
      </w:pPr>
      <w:r w:rsidRPr="00723F78">
        <w:rPr>
          <w:b/>
          <w:bCs/>
        </w:rPr>
        <w:t xml:space="preserve">(b)</w:t>
      </w:r>
      <w:r w:rsidRPr="00723F78">
        <w:rPr>
          <w:b/>
          <w:bCs/>
        </w:rPr>
        <w:tab/>
      </w:r>
      <w:r w:rsidRPr="00723F78" w:rsidR="00400F2A">
        <w:rPr>
          <w:b/>
          <w:bCs/>
        </w:rPr>
        <w:t xml:space="preserve">au cours de la deuxième phase de la stratégie en faveur des droits des personnes handicapées, </w:t>
      </w:r>
      <w:r w:rsidRPr="00723F78">
        <w:rPr>
          <w:b/>
          <w:bCs/>
        </w:rPr>
        <w:t xml:space="preserve">fournir des orientations </w:t>
      </w:r>
      <w:r w:rsidRPr="00723F78" w:rsidR="00400F2A">
        <w:rPr>
          <w:b/>
          <w:bCs/>
        </w:rPr>
        <w:t xml:space="preserve">aux </w:t>
      </w:r>
      <w:r w:rsidRPr="00723F78">
        <w:rPr>
          <w:b/>
          <w:bCs/>
        </w:rPr>
        <w:t xml:space="preserve">États membres </w:t>
      </w:r>
      <w:r w:rsidRPr="00723F78" w:rsidR="00400F2A">
        <w:rPr>
          <w:b/>
          <w:bCs/>
        </w:rPr>
        <w:t xml:space="preserve">sur les </w:t>
      </w:r>
      <w:r w:rsidRPr="00723F78">
        <w:rPr>
          <w:b/>
          <w:bCs/>
        </w:rPr>
        <w:t xml:space="preserve">mesures concrètes </w:t>
      </w:r>
      <w:r w:rsidRPr="00723F78" w:rsidR="000A48CC">
        <w:rPr>
          <w:b/>
          <w:bCs/>
        </w:rPr>
        <w:t xml:space="preserve">à </w:t>
      </w:r>
      <w:r w:rsidRPr="00723F78">
        <w:rPr>
          <w:b/>
          <w:bCs/>
        </w:rPr>
        <w:t xml:space="preserve">prendre </w:t>
      </w:r>
      <w:r w:rsidRPr="00723F78" w:rsidR="000A48CC">
        <w:rPr>
          <w:b/>
          <w:bCs/>
        </w:rPr>
        <w:t xml:space="preserve">pour améliorer leurs </w:t>
      </w:r>
      <w:r w:rsidRPr="00723F78">
        <w:rPr>
          <w:b/>
          <w:bCs/>
        </w:rPr>
        <w:t xml:space="preserve">cadres </w:t>
      </w:r>
      <w:r w:rsidRPr="00723F78">
        <w:rPr>
          <w:b/>
          <w:bCs/>
        </w:rPr>
        <w:t xml:space="preserve">législatifs </w:t>
      </w:r>
      <w:r w:rsidRPr="00723F78" w:rsidR="000A48CC">
        <w:rPr>
          <w:b/>
          <w:bCs/>
        </w:rPr>
        <w:t xml:space="preserve">et </w:t>
      </w:r>
      <w:r w:rsidRPr="00723F78">
        <w:rPr>
          <w:b/>
          <w:bCs/>
        </w:rPr>
        <w:t xml:space="preserve">politiques </w:t>
      </w:r>
      <w:r w:rsidRPr="00723F78" w:rsidR="000A48CC">
        <w:rPr>
          <w:b/>
          <w:bCs/>
        </w:rPr>
        <w:t xml:space="preserve">en matière de </w:t>
      </w:r>
      <w:r w:rsidRPr="00723F78">
        <w:rPr>
          <w:b/>
          <w:bCs/>
        </w:rPr>
        <w:t xml:space="preserve">protection sociale, y compris la couverture des </w:t>
      </w:r>
      <w:r w:rsidRPr="00723F78" w:rsidR="000A48CC">
        <w:rPr>
          <w:b/>
          <w:bCs/>
        </w:rPr>
        <w:t xml:space="preserve">dépenses </w:t>
      </w:r>
      <w:r w:rsidRPr="00723F78">
        <w:rPr>
          <w:b/>
          <w:bCs/>
        </w:rPr>
        <w:t xml:space="preserve">liées au handicap </w:t>
      </w:r>
      <w:r w:rsidRPr="00723F78" w:rsidR="000A48CC">
        <w:rPr>
          <w:b/>
          <w:bCs/>
        </w:rPr>
        <w:t xml:space="preserve">des </w:t>
      </w:r>
      <w:r w:rsidRPr="00723F78">
        <w:rPr>
          <w:b/>
          <w:bCs/>
        </w:rPr>
        <w:t xml:space="preserve">personnes handicapées, </w:t>
      </w:r>
      <w:r w:rsidRPr="00723F78">
        <w:rPr>
          <w:b/>
          <w:bCs/>
        </w:rPr>
        <w:t xml:space="preserve">et </w:t>
      </w:r>
      <w:r w:rsidRPr="00723F78" w:rsidR="000A48CC">
        <w:rPr>
          <w:b/>
          <w:bCs/>
        </w:rPr>
        <w:t xml:space="preserve">veiller à </w:t>
      </w:r>
      <w:r w:rsidRPr="00723F78">
        <w:rPr>
          <w:b/>
          <w:bCs/>
        </w:rPr>
        <w:t xml:space="preserve">ce que </w:t>
      </w:r>
      <w:r w:rsidRPr="00723F78">
        <w:rPr>
          <w:b/>
          <w:bCs/>
        </w:rPr>
        <w:t xml:space="preserve">les systèmes de </w:t>
      </w:r>
      <w:r w:rsidRPr="00723F78">
        <w:rPr>
          <w:b/>
          <w:bCs/>
        </w:rPr>
        <w:t xml:space="preserve">protection </w:t>
      </w:r>
      <w:r w:rsidR="00394E3A">
        <w:rPr>
          <w:b/>
          <w:bCs/>
        </w:rPr>
        <w:t xml:space="preserve">et d'inclusion sociales </w:t>
      </w:r>
      <w:r w:rsidRPr="00723F78">
        <w:rPr>
          <w:b/>
          <w:bCs/>
        </w:rPr>
        <w:t xml:space="preserve">soient fondés sur les droits et tiennent compte des spécificités des hommes et des femmes </w:t>
      </w:r>
    </w:p>
    <w:p w:rsidR="003B0EC3" w:rsidP="00723F78" w:rsidRDefault="003B0EC3" w14:paraId="79D00FF4" w14:textId="0A8B5C23">
      <w:pPr>
        <w:pStyle w:val="SingleTxtG"/>
        <w:ind w:firstLine="567"/>
      </w:pPr>
      <w:r w:rsidRPr="00723F78">
        <w:rPr>
          <w:b/>
          <w:bCs/>
        </w:rPr>
        <w:t xml:space="preserve">(c)</w:t>
      </w:r>
      <w:r>
        <w:tab/>
      </w:r>
      <w:r w:rsidRPr="003B0EC3">
        <w:rPr>
          <w:b/>
          <w:bCs/>
        </w:rPr>
        <w:t xml:space="preserve">Donner la priorité au financement de logements accessibles et abordables </w:t>
      </w:r>
      <w:r w:rsidR="000A48CC">
        <w:rPr>
          <w:b/>
          <w:bCs/>
        </w:rPr>
        <w:t xml:space="preserve">pour les personnes handicapées </w:t>
      </w:r>
      <w:r w:rsidR="000A48CC">
        <w:rPr>
          <w:b/>
          <w:bCs/>
        </w:rPr>
        <w:t xml:space="preserve">par </w:t>
      </w:r>
      <w:r w:rsidRPr="003B0EC3" w:rsidR="000A48CC">
        <w:rPr>
          <w:b/>
          <w:bCs/>
        </w:rPr>
        <w:t xml:space="preserve">le </w:t>
      </w:r>
      <w:r w:rsidRPr="003B0EC3">
        <w:rPr>
          <w:b/>
          <w:bCs/>
        </w:rPr>
        <w:t xml:space="preserve">Fonds européen de développement régional </w:t>
      </w:r>
      <w:r w:rsidR="000A48CC">
        <w:rPr>
          <w:b/>
          <w:bCs/>
        </w:rPr>
        <w:t xml:space="preserve">dans le cadre </w:t>
      </w:r>
      <w:r w:rsidR="000A48CC">
        <w:rPr>
          <w:b/>
          <w:bCs/>
        </w:rPr>
        <w:t xml:space="preserve">du</w:t>
      </w:r>
      <w:r w:rsidR="000A48CC">
        <w:rPr>
          <w:b/>
          <w:bCs/>
        </w:rPr>
        <w:t xml:space="preserve"> processus de </w:t>
      </w:r>
      <w:r w:rsidRPr="003B0EC3">
        <w:rPr>
          <w:b/>
          <w:bCs/>
        </w:rPr>
        <w:t xml:space="preserve">révision des règlements de financement de l'UE pour la période 2028-2034</w:t>
      </w:r>
      <w:r w:rsidRPr="003B0EC3">
        <w:rPr>
          <w:b/>
          <w:bCs/>
        </w:rPr>
        <w:t xml:space="preserve">, et adopter des actions concrètes pour améliorer la disponibilité de logements accessibles et abordables pour les personnes handicapées </w:t>
      </w:r>
      <w:r w:rsidRPr="003B0EC3">
        <w:rPr>
          <w:b/>
          <w:bCs/>
        </w:rPr>
        <w:t xml:space="preserve">dans le cadre du Plan européen pour le logement abordable.</w:t>
      </w:r>
    </w:p>
    <w:p w:rsidRPr="00AD7122" w:rsidR="00E766E3" w:rsidP="00723F78" w:rsidRDefault="00723F78" w14:paraId="7C49ED58" w14:textId="28E8F32F">
      <w:pPr>
        <w:pStyle w:val="H23G"/>
      </w:pPr>
      <w:r>
        <w:tab/>
      </w:r>
      <w:r>
        <w:tab/>
      </w:r>
      <w:r w:rsidR="006A2B00">
        <w:t xml:space="preserve">Participation à la vie politique et publique </w:t>
      </w:r>
      <w:r w:rsidRPr="00AD7122" w:rsidR="00E766E3">
        <w:t xml:space="preserve">(article 29)</w:t>
      </w:r>
    </w:p>
    <w:p w:rsidR="009240E4" w:rsidP="00723F78" w:rsidRDefault="009240E4" w14:paraId="09915EC6" w14:textId="67257D5B">
      <w:pPr>
        <w:pStyle w:val="SingleTxtG"/>
        <w:numPr>
          <w:ilvl w:val="0"/>
          <w:numId w:val="22"/>
        </w:numPr>
        <w:ind w:start="1134" w:firstLine="0"/>
      </w:pPr>
      <w:r>
        <w:t xml:space="preserve">Le Comité est préoccupé par</w:t>
      </w:r>
    </w:p>
    <w:p w:rsidR="009240E4" w:rsidP="00723F78" w:rsidRDefault="009240E4" w14:paraId="6D5F9502" w14:textId="6AAB1AA6">
      <w:pPr>
        <w:pStyle w:val="SingleTxtG"/>
        <w:ind w:firstLine="567"/>
      </w:pPr>
      <w:r>
        <w:t xml:space="preserve">(a)</w:t>
      </w:r>
      <w:r>
        <w:tab/>
      </w:r>
      <w:r>
        <w:t xml:space="preserve">Les obstacles </w:t>
      </w:r>
      <w:r w:rsidR="00400F2A">
        <w:t xml:space="preserve">à la pleine participation des </w:t>
      </w:r>
      <w:r>
        <w:t xml:space="preserve">personnes handicapées à </w:t>
      </w:r>
      <w:r w:rsidR="00400F2A">
        <w:t xml:space="preserve">la vie publique et politique</w:t>
      </w:r>
      <w:r>
        <w:t xml:space="preserve">, notamment le </w:t>
      </w:r>
      <w:r w:rsidR="004279E7">
        <w:t xml:space="preserve">déni de </w:t>
      </w:r>
      <w:r w:rsidR="00400F2A">
        <w:t xml:space="preserve">leur </w:t>
      </w:r>
      <w:r>
        <w:t xml:space="preserve">droit de vote aux élections européennes et d'éligibilité à des fonctions publiques</w:t>
      </w:r>
      <w:r>
        <w:t xml:space="preserve">, l'inaccessibilité des procédures de vote et le manque d'informations accessibles ; </w:t>
      </w:r>
    </w:p>
    <w:p w:rsidR="00C45072" w:rsidP="00723F78" w:rsidRDefault="009240E4" w14:paraId="0DE8CB35" w14:textId="77777777">
      <w:pPr>
        <w:pStyle w:val="SingleTxtG"/>
        <w:ind w:firstLine="567"/>
      </w:pPr>
      <w:r>
        <w:t xml:space="preserve">(</w:t>
      </w:r>
      <w:r w:rsidR="00BF12DF">
        <w:t xml:space="preserve">b</w:t>
      </w:r>
      <w:r>
        <w:t xml:space="preserve">)</w:t>
      </w:r>
      <w:r>
        <w:tab/>
      </w:r>
      <w:r>
        <w:t xml:space="preserve">les obstacles à l'accès au Parlement européen, à la Commission européenne et aux autres bâtiments de l'UE, y compris les délégations européennes en Europe et hors d'Europe</w:t>
      </w:r>
      <w:r w:rsidR="004279E7">
        <w:t xml:space="preserve">.</w:t>
      </w:r>
    </w:p>
    <w:p w:rsidR="009240E4" w:rsidP="00723F78" w:rsidRDefault="009240E4" w14:paraId="73603971" w14:textId="5C37C4B1">
      <w:pPr>
        <w:pStyle w:val="SingleTxtG"/>
        <w:numPr>
          <w:ilvl w:val="0"/>
          <w:numId w:val="22"/>
        </w:numPr>
        <w:ind w:start="1134" w:firstLine="0"/>
      </w:pPr>
      <w:r w:rsidRPr="009240E4">
        <w:rPr>
          <w:b/>
          <w:bCs/>
        </w:rPr>
        <w:t xml:space="preserve">Le Comité recommande à l'</w:t>
      </w:r>
      <w:r w:rsidR="004279E7">
        <w:rPr>
          <w:b/>
          <w:bCs/>
        </w:rPr>
        <w:t xml:space="preserve">Union européenne</w:t>
      </w:r>
    </w:p>
    <w:p w:rsidRPr="009240E4" w:rsidR="009240E4" w:rsidP="00723F78" w:rsidRDefault="009240E4" w14:paraId="66528251" w14:textId="6F5B17E2">
      <w:pPr>
        <w:pStyle w:val="SingleTxtG"/>
        <w:ind w:firstLine="567"/>
        <w:rPr>
          <w:b/>
          <w:bCs/>
        </w:rPr>
      </w:pPr>
      <w:r w:rsidRPr="009240E4">
        <w:rPr>
          <w:b/>
          <w:bCs/>
        </w:rPr>
        <w:t xml:space="preserve">(a)</w:t>
      </w:r>
      <w:r w:rsidRPr="009240E4">
        <w:rPr>
          <w:b/>
          <w:bCs/>
        </w:rPr>
        <w:tab/>
      </w:r>
      <w:r w:rsidR="004279E7">
        <w:rPr>
          <w:b/>
          <w:bCs/>
        </w:rPr>
        <w:t xml:space="preserve">De garantir </w:t>
      </w:r>
      <w:r w:rsidRPr="009240E4">
        <w:rPr>
          <w:b/>
          <w:bCs/>
        </w:rPr>
        <w:t xml:space="preserve">le droit de vote et d'éligibilité aux élections du Parlement européen à </w:t>
      </w:r>
      <w:r w:rsidR="004279E7">
        <w:rPr>
          <w:b/>
          <w:bCs/>
        </w:rPr>
        <w:t xml:space="preserve">tous les citoyens </w:t>
      </w:r>
      <w:r w:rsidRPr="009240E4">
        <w:rPr>
          <w:b/>
          <w:bCs/>
        </w:rPr>
        <w:t xml:space="preserve">handicapés</w:t>
      </w:r>
      <w:r w:rsidR="004279E7">
        <w:rPr>
          <w:b/>
          <w:bCs/>
        </w:rPr>
        <w:t xml:space="preserve">, quel que soit leur statut de capacité juridique, et de fournir des </w:t>
      </w:r>
      <w:r w:rsidRPr="00400F2A" w:rsidR="004279E7">
        <w:rPr>
          <w:b/>
          <w:bCs/>
        </w:rPr>
        <w:t xml:space="preserve">aménagements </w:t>
      </w:r>
      <w:r w:rsidR="004279E7">
        <w:rPr>
          <w:b/>
          <w:bCs/>
        </w:rPr>
        <w:t xml:space="preserve">raisonnables </w:t>
      </w:r>
      <w:r w:rsidRPr="00400F2A" w:rsidR="004279E7">
        <w:rPr>
          <w:b/>
          <w:bCs/>
        </w:rPr>
        <w:t xml:space="preserve">ainsi que des méthodes de vote et des informations accessibles</w:t>
      </w:r>
      <w:r w:rsidRPr="00400F2A" w:rsidR="00400F2A">
        <w:rPr>
          <w:b/>
          <w:bCs/>
        </w:rPr>
        <w:t xml:space="preserve">, </w:t>
      </w:r>
      <w:r w:rsidRPr="00D24C7A" w:rsidR="00400F2A">
        <w:rPr>
          <w:b/>
          <w:bCs/>
        </w:rPr>
        <w:t xml:space="preserve">y compris des méthodes de vote faciles à lire et accessibles aux personnes aveugles, sourdes et malentendantes </w:t>
      </w:r>
      <w:r w:rsidRPr="009240E4">
        <w:rPr>
          <w:b/>
          <w:bCs/>
        </w:rPr>
        <w:t xml:space="preserve">; </w:t>
      </w:r>
    </w:p>
    <w:p w:rsidRPr="009240E4" w:rsidR="009240E4" w:rsidP="00723F78" w:rsidRDefault="009240E4" w14:paraId="2F1976AE" w14:textId="5CB20E32">
      <w:pPr>
        <w:pStyle w:val="SingleTxtG"/>
        <w:ind w:firstLine="567"/>
        <w:rPr>
          <w:b/>
          <w:bCs/>
        </w:rPr>
      </w:pPr>
      <w:r w:rsidRPr="009240E4">
        <w:rPr>
          <w:b/>
          <w:bCs/>
        </w:rPr>
        <w:t xml:space="preserve">(</w:t>
      </w:r>
      <w:r w:rsidR="00E918D3">
        <w:rPr>
          <w:b/>
          <w:bCs/>
        </w:rPr>
        <w:t xml:space="preserve">b</w:t>
      </w:r>
      <w:r w:rsidRPr="009240E4">
        <w:rPr>
          <w:b/>
          <w:bCs/>
        </w:rPr>
        <w:t xml:space="preserve">)</w:t>
      </w:r>
      <w:r w:rsidRPr="009240E4">
        <w:rPr>
          <w:b/>
          <w:bCs/>
        </w:rPr>
        <w:tab/>
      </w:r>
      <w:r w:rsidR="00BF12DF">
        <w:rPr>
          <w:b/>
          <w:bCs/>
        </w:rPr>
        <w:t xml:space="preserve">Rendre </w:t>
      </w:r>
      <w:r w:rsidR="00BF12DF">
        <w:rPr>
          <w:b/>
          <w:bCs/>
        </w:rPr>
        <w:t xml:space="preserve">accessibles </w:t>
      </w:r>
      <w:r w:rsidR="00BF12DF">
        <w:rPr>
          <w:b/>
          <w:bCs/>
        </w:rPr>
        <w:t xml:space="preserve">tous les </w:t>
      </w:r>
      <w:r w:rsidRPr="009240E4">
        <w:rPr>
          <w:b/>
          <w:bCs/>
        </w:rPr>
        <w:t xml:space="preserve">bâtiments et institutions de l'UE en Europe et hors d'Europe</w:t>
      </w:r>
      <w:r w:rsidRPr="009240E4">
        <w:rPr>
          <w:b/>
          <w:bCs/>
        </w:rPr>
        <w:t xml:space="preserve">.</w:t>
      </w:r>
    </w:p>
    <w:p w:rsidRPr="00AD7122" w:rsidR="00E766E3" w:rsidP="00723F78" w:rsidRDefault="00723F78" w14:paraId="5D91745F" w14:textId="7D034935">
      <w:pPr>
        <w:pStyle w:val="H23G"/>
      </w:pPr>
      <w:r>
        <w:tab/>
      </w:r>
      <w:bookmarkStart w:name="_Hlk193804839" w:id="17"/>
      <w:r>
        <w:tab/>
      </w:r>
      <w:r w:rsidR="001F2984">
        <w:t xml:space="preserve">Participation à la vie culturelle et récréative, aux loisirs et aux sports </w:t>
      </w:r>
      <w:r w:rsidRPr="00AD7122" w:rsidR="00E766E3">
        <w:t xml:space="preserve">(</w:t>
      </w:r>
      <w:r w:rsidRPr="00AD7122" w:rsidR="00CD38A8">
        <w:t xml:space="preserve">art. 30)</w:t>
      </w:r>
    </w:p>
    <w:p w:rsidRPr="004601FA" w:rsidR="004601FA" w:rsidP="00723F78" w:rsidRDefault="004601FA" w14:paraId="186D7A09" w14:textId="08F48AD2">
      <w:pPr>
        <w:pStyle w:val="SingleTxtG"/>
        <w:numPr>
          <w:ilvl w:val="0"/>
          <w:numId w:val="22"/>
        </w:numPr>
        <w:ind w:start="1134" w:firstLine="0"/>
        <w:rPr>
          <w:lang w:val="en-US"/>
        </w:rPr>
      </w:pPr>
      <w:r w:rsidRPr="004601FA">
        <w:rPr>
          <w:lang w:val="en-US"/>
        </w:rPr>
        <w:t xml:space="preserve">Le Comité est préoccupé </w:t>
      </w:r>
      <w:r w:rsidR="00400F2A">
        <w:rPr>
          <w:lang w:val="en-US"/>
        </w:rPr>
        <w:t xml:space="preserve">par </w:t>
      </w:r>
      <w:r w:rsidRPr="004601FA">
        <w:rPr>
          <w:lang w:val="en-US"/>
        </w:rPr>
        <w:t xml:space="preserve">le</w:t>
      </w:r>
      <w:r w:rsidR="00400F2A">
        <w:rPr>
          <w:lang w:val="en-US"/>
        </w:rPr>
        <w:t xml:space="preserve"> fait que</w:t>
      </w:r>
    </w:p>
    <w:p w:rsidRPr="004601FA" w:rsidR="004601FA" w:rsidP="00723F78" w:rsidRDefault="004601FA" w14:paraId="3AEF60D8" w14:textId="5E022789">
      <w:pPr>
        <w:pStyle w:val="SingleTxtG"/>
        <w:ind w:firstLine="567"/>
        <w:rPr>
          <w:lang w:val="en-US"/>
        </w:rPr>
      </w:pPr>
      <w:r w:rsidRPr="004601FA">
        <w:rPr>
          <w:lang w:val="en-US"/>
        </w:rPr>
        <w:lastRenderedPageBreak/>
      </w:r>
      <w:r w:rsidRPr="004601FA">
        <w:rPr>
          <w:lang w:val="en-US"/>
        </w:rPr>
        <w:t xml:space="preserve">(a)</w:t>
      </w:r>
      <w:r w:rsidRPr="00B877AC">
        <w:tab/>
      </w:r>
      <w:r w:rsidRPr="004601FA">
        <w:rPr>
          <w:lang w:val="en-US"/>
        </w:rPr>
        <w:t xml:space="preserve">La directive d'application du Traité de Marrakech autorise</w:t>
      </w:r>
      <w:r w:rsidR="00B877AC">
        <w:rPr>
          <w:lang w:val="en-US"/>
        </w:rPr>
        <w:t xml:space="preserve">, comme le fait le Traité de Marrakech, les </w:t>
      </w:r>
      <w:r w:rsidRPr="004601FA">
        <w:rPr>
          <w:lang w:val="en-US"/>
        </w:rPr>
        <w:t xml:space="preserve">États membres à exiger des organisations à but non lucratif qui créent des formats accessibles qu'elles versent une compensation ;</w:t>
      </w:r>
    </w:p>
    <w:p w:rsidRPr="004601FA" w:rsidR="004601FA" w:rsidP="00723F78" w:rsidRDefault="004601FA" w14:paraId="0C631371" w14:textId="39823A3A">
      <w:pPr>
        <w:pStyle w:val="SingleTxtG"/>
        <w:ind w:firstLine="567"/>
        <w:rPr>
          <w:lang w:val="en-US"/>
        </w:rPr>
      </w:pPr>
      <w:r w:rsidRPr="004601FA">
        <w:rPr>
          <w:lang w:val="en-US"/>
        </w:rPr>
        <w:t xml:space="preserve">(b)</w:t>
      </w:r>
      <w:r w:rsidRPr="004601FA">
        <w:rPr>
          <w:lang w:val="en-US"/>
        </w:rPr>
        <w:tab/>
      </w:r>
      <w:r w:rsidRPr="004601FA">
        <w:rPr>
          <w:lang w:val="en-US"/>
        </w:rPr>
        <w:t xml:space="preserve">Les lieux de spectacles culturels, les sites d'importance historique, les installations touristiques, récréatives, de loisirs et sportives </w:t>
      </w:r>
      <w:r w:rsidR="00493556">
        <w:rPr>
          <w:lang w:val="en-US"/>
        </w:rPr>
        <w:t xml:space="preserve">sont souvent inaccessibles </w:t>
      </w:r>
      <w:r w:rsidRPr="004601FA">
        <w:rPr>
          <w:lang w:val="en-US"/>
        </w:rPr>
        <w:t xml:space="preserve">;</w:t>
      </w:r>
    </w:p>
    <w:p w:rsidRPr="004601FA" w:rsidR="004601FA" w:rsidP="00723F78" w:rsidRDefault="004601FA" w14:paraId="4FED88C7" w14:textId="68344D31">
      <w:pPr>
        <w:pStyle w:val="SingleTxtG"/>
        <w:ind w:firstLine="567"/>
        <w:rPr>
          <w:lang w:val="en-US"/>
        </w:rPr>
      </w:pPr>
      <w:r w:rsidRPr="004601FA">
        <w:rPr>
          <w:lang w:val="en-US"/>
        </w:rPr>
        <w:t xml:space="preserve">(c)</w:t>
      </w:r>
      <w:r w:rsidRPr="004601FA">
        <w:rPr>
          <w:lang w:val="en-US"/>
        </w:rPr>
        <w:tab/>
      </w:r>
      <w:r w:rsidR="00493556">
        <w:rPr>
          <w:lang w:val="en-US"/>
        </w:rPr>
        <w:t xml:space="preserve">De nombreuses </w:t>
      </w:r>
      <w:r w:rsidRPr="004601FA">
        <w:rPr>
          <w:lang w:val="en-US"/>
        </w:rPr>
        <w:t xml:space="preserve">personnes handicapées </w:t>
      </w:r>
      <w:r w:rsidR="00493556">
        <w:rPr>
          <w:lang w:val="en-US"/>
        </w:rPr>
        <w:t xml:space="preserve">vivent </w:t>
      </w:r>
      <w:r w:rsidRPr="004601FA">
        <w:rPr>
          <w:lang w:val="en-US"/>
        </w:rPr>
        <w:t xml:space="preserve">dans des environnements institutionnels situés à la périphérie des villes ou dans des zones rurales, ce qui </w:t>
      </w:r>
      <w:r w:rsidR="00BF12DF">
        <w:rPr>
          <w:lang w:val="en-US"/>
        </w:rPr>
        <w:t xml:space="preserve">réduit leurs </w:t>
      </w:r>
      <w:r w:rsidRPr="004601FA">
        <w:rPr>
          <w:lang w:val="en-US"/>
        </w:rPr>
        <w:t xml:space="preserve">possibilités de participer à la vie culturelle, aux activités récréatives et aux sports ;</w:t>
      </w:r>
    </w:p>
    <w:p w:rsidRPr="004601FA" w:rsidR="004601FA" w:rsidP="00723F78" w:rsidRDefault="004601FA" w14:paraId="66A51302" w14:textId="005F6F0F">
      <w:pPr>
        <w:pStyle w:val="SingleTxtG"/>
        <w:ind w:firstLine="567"/>
        <w:rPr>
          <w:lang w:val="en-US"/>
        </w:rPr>
      </w:pPr>
      <w:r w:rsidRPr="004601FA">
        <w:rPr>
          <w:lang w:val="en-US"/>
        </w:rPr>
        <w:t xml:space="preserve">(d)</w:t>
      </w:r>
      <w:r w:rsidRPr="004601FA">
        <w:rPr>
          <w:lang w:val="en-US"/>
        </w:rPr>
        <w:tab/>
      </w:r>
      <w:r w:rsidRPr="004601FA">
        <w:rPr>
          <w:lang w:val="en-US"/>
        </w:rPr>
        <w:t xml:space="preserve">La reconnaissance </w:t>
      </w:r>
      <w:r w:rsidR="00493556">
        <w:rPr>
          <w:lang w:val="en-US"/>
        </w:rPr>
        <w:t xml:space="preserve">de l</w:t>
      </w:r>
      <w:r w:rsidRPr="004601FA">
        <w:rPr>
          <w:lang w:val="en-US"/>
        </w:rPr>
        <w:t xml:space="preserve">'identité culturelle et linguistique des personnes sourdes </w:t>
      </w:r>
      <w:r w:rsidR="00493556">
        <w:rPr>
          <w:lang w:val="en-US"/>
        </w:rPr>
        <w:t xml:space="preserve">est insuffisante</w:t>
      </w:r>
      <w:r w:rsidRPr="004601FA">
        <w:rPr>
          <w:lang w:val="en-US"/>
        </w:rPr>
        <w:t xml:space="preserve">.</w:t>
      </w:r>
    </w:p>
    <w:p w:rsidRPr="004601FA" w:rsidR="004601FA" w:rsidP="00723F78" w:rsidRDefault="004601FA" w14:paraId="65D70FF6" w14:textId="67A99302">
      <w:pPr>
        <w:pStyle w:val="SingleTxtG"/>
        <w:numPr>
          <w:ilvl w:val="0"/>
          <w:numId w:val="22"/>
        </w:numPr>
        <w:ind w:start="1134" w:firstLine="0"/>
        <w:rPr>
          <w:b/>
          <w:bCs/>
          <w:lang w:val="en-US"/>
        </w:rPr>
      </w:pPr>
      <w:r w:rsidRPr="004601FA">
        <w:rPr>
          <w:b/>
          <w:bCs/>
          <w:lang w:val="en-US"/>
        </w:rPr>
        <w:t xml:space="preserve">Le Comité recommande à l'</w:t>
      </w:r>
      <w:r w:rsidR="00BF12DF">
        <w:rPr>
          <w:b/>
          <w:bCs/>
          <w:lang w:val="en-US"/>
        </w:rPr>
        <w:t xml:space="preserve">Union européenne</w:t>
      </w:r>
    </w:p>
    <w:p w:rsidRPr="004601FA" w:rsidR="004601FA" w:rsidP="00723F78" w:rsidRDefault="004601FA" w14:paraId="6A656D9F" w14:textId="77777777">
      <w:pPr>
        <w:pStyle w:val="SingleTxtG"/>
        <w:ind w:firstLine="567"/>
        <w:rPr>
          <w:b/>
          <w:bCs/>
          <w:lang w:val="en-US"/>
        </w:rPr>
      </w:pPr>
      <w:r w:rsidRPr="004601FA">
        <w:rPr>
          <w:b/>
          <w:bCs/>
          <w:lang w:val="en-US"/>
        </w:rPr>
        <w:t xml:space="preserve">(a)</w:t>
      </w:r>
      <w:r w:rsidRPr="004601FA">
        <w:rPr>
          <w:b/>
          <w:bCs/>
          <w:lang w:val="en-US"/>
        </w:rPr>
        <w:tab/>
      </w:r>
      <w:r w:rsidR="00BF12DF">
        <w:rPr>
          <w:b/>
          <w:bCs/>
          <w:lang w:val="en-US"/>
        </w:rPr>
        <w:t xml:space="preserve">De supprimer l'article 3, paragraphe 6, de la </w:t>
      </w:r>
      <w:r w:rsidRPr="004601FA">
        <w:rPr>
          <w:b/>
          <w:bCs/>
          <w:lang w:val="en-US"/>
        </w:rPr>
        <w:t xml:space="preserve">directive européenne relative à la mise en œuvre du traité de Marrakech ;</w:t>
      </w:r>
    </w:p>
    <w:p w:rsidRPr="004601FA" w:rsidR="004601FA" w:rsidP="00723F78" w:rsidRDefault="004601FA" w14:paraId="4DAE7D39" w14:textId="332A1082">
      <w:pPr>
        <w:pStyle w:val="SingleTxtG"/>
        <w:ind w:firstLine="567"/>
        <w:rPr>
          <w:b/>
          <w:bCs/>
          <w:lang w:val="en-US"/>
        </w:rPr>
      </w:pPr>
      <w:r w:rsidRPr="004601FA">
        <w:rPr>
          <w:b/>
          <w:bCs/>
          <w:lang w:val="en-US"/>
        </w:rPr>
        <w:t xml:space="preserve">(b)</w:t>
      </w:r>
      <w:r w:rsidRPr="004601FA">
        <w:rPr>
          <w:b/>
          <w:bCs/>
          <w:lang w:val="en-US"/>
        </w:rPr>
        <w:tab/>
      </w:r>
      <w:r w:rsidR="007E7432">
        <w:rPr>
          <w:b/>
          <w:bCs/>
          <w:lang w:val="en-US"/>
        </w:rPr>
        <w:t xml:space="preserve">De faire de l'</w:t>
      </w:r>
      <w:r w:rsidRPr="004601FA">
        <w:rPr>
          <w:b/>
          <w:bCs/>
          <w:lang w:val="en-US"/>
        </w:rPr>
        <w:t xml:space="preserve">accessibilité une condition obligatoire pour le </w:t>
      </w:r>
      <w:r w:rsidR="007E7432">
        <w:rPr>
          <w:b/>
          <w:bCs/>
          <w:lang w:val="en-US"/>
        </w:rPr>
        <w:t xml:space="preserve">financement par </w:t>
      </w:r>
      <w:r w:rsidRPr="004601FA">
        <w:rPr>
          <w:b/>
          <w:bCs/>
          <w:lang w:val="en-US"/>
        </w:rPr>
        <w:t xml:space="preserve">l'UE </w:t>
      </w:r>
      <w:r w:rsidR="007E7432">
        <w:rPr>
          <w:b/>
          <w:bCs/>
          <w:lang w:val="en-US"/>
        </w:rPr>
        <w:t xml:space="preserve">de la culture, des loisirs et des sports ;</w:t>
      </w:r>
    </w:p>
    <w:p w:rsidRPr="004601FA" w:rsidR="004601FA" w:rsidP="00723F78" w:rsidRDefault="004601FA" w14:paraId="3A06CDEC" w14:textId="7011B6F8">
      <w:pPr>
        <w:pStyle w:val="SingleTxtG"/>
        <w:ind w:firstLine="567"/>
        <w:rPr>
          <w:lang w:val="en-US"/>
        </w:rPr>
      </w:pPr>
      <w:r w:rsidRPr="004601FA">
        <w:rPr>
          <w:b/>
          <w:bCs/>
          <w:lang w:val="en-US"/>
        </w:rPr>
        <w:t xml:space="preserve">(c)</w:t>
      </w:r>
      <w:r w:rsidR="007E7432">
        <w:rPr>
          <w:b/>
          <w:bCs/>
          <w:lang w:val="en-US"/>
        </w:rPr>
        <w:tab/>
      </w:r>
      <w:r w:rsidRPr="004601FA">
        <w:rPr>
          <w:b/>
          <w:bCs/>
          <w:lang w:val="en-US"/>
        </w:rPr>
        <w:t xml:space="preserve">Soutenir les </w:t>
      </w:r>
      <w:r w:rsidR="007E7432">
        <w:rPr>
          <w:b/>
          <w:bCs/>
          <w:lang w:val="en-US"/>
        </w:rPr>
        <w:t xml:space="preserve">processus de</w:t>
      </w:r>
      <w:r w:rsidRPr="004601FA">
        <w:rPr>
          <w:b/>
          <w:bCs/>
          <w:lang w:val="en-US"/>
        </w:rPr>
        <w:t xml:space="preserve"> désinstitutionnalisation </w:t>
      </w:r>
      <w:r w:rsidRPr="004601FA">
        <w:rPr>
          <w:b/>
          <w:bCs/>
          <w:lang w:val="en-US"/>
        </w:rPr>
        <w:t xml:space="preserve">afin d'</w:t>
      </w:r>
      <w:r w:rsidR="007E7432">
        <w:rPr>
          <w:b/>
          <w:bCs/>
          <w:lang w:val="en-US"/>
        </w:rPr>
        <w:t xml:space="preserve">assurer une meilleure </w:t>
      </w:r>
      <w:r w:rsidRPr="004601FA">
        <w:rPr>
          <w:b/>
          <w:bCs/>
          <w:lang w:val="en-US"/>
        </w:rPr>
        <w:t xml:space="preserve">participation </w:t>
      </w:r>
      <w:r w:rsidR="007E7432">
        <w:rPr>
          <w:b/>
          <w:bCs/>
          <w:lang w:val="en-US"/>
        </w:rPr>
        <w:t xml:space="preserve">des personnes handicapées </w:t>
      </w:r>
      <w:r w:rsidRPr="004601FA">
        <w:rPr>
          <w:b/>
          <w:bCs/>
          <w:lang w:val="en-US"/>
        </w:rPr>
        <w:t xml:space="preserve">à la </w:t>
      </w:r>
      <w:r w:rsidR="007E7432">
        <w:rPr>
          <w:b/>
          <w:bCs/>
          <w:lang w:val="en-US"/>
        </w:rPr>
        <w:t xml:space="preserve">vie </w:t>
      </w:r>
      <w:r w:rsidRPr="004601FA">
        <w:rPr>
          <w:b/>
          <w:bCs/>
          <w:lang w:val="en-US"/>
        </w:rPr>
        <w:t xml:space="preserve">culturelle</w:t>
      </w:r>
      <w:r w:rsidR="007E7432">
        <w:rPr>
          <w:b/>
          <w:bCs/>
          <w:lang w:val="en-US"/>
        </w:rPr>
        <w:t xml:space="preserve">, aux loisirs et aux sports </w:t>
      </w:r>
      <w:r w:rsidRPr="004601FA">
        <w:rPr>
          <w:b/>
          <w:bCs/>
          <w:lang w:val="en-US"/>
        </w:rPr>
        <w:t xml:space="preserve">;</w:t>
      </w:r>
    </w:p>
    <w:p w:rsidRPr="00B32060" w:rsidR="00CD38A8" w:rsidP="00723F78" w:rsidRDefault="004601FA" w14:paraId="7443DDB8" w14:textId="46584572">
      <w:pPr>
        <w:pStyle w:val="SingleTxtG"/>
        <w:ind w:firstLine="567"/>
        <w:rPr>
          <w:b/>
          <w:bCs/>
          <w:lang w:val="en-US"/>
        </w:rPr>
      </w:pPr>
      <w:r w:rsidRPr="004601FA">
        <w:rPr>
          <w:b/>
          <w:bCs/>
          <w:lang w:val="en-US"/>
        </w:rPr>
        <w:t xml:space="preserve">(d)</w:t>
      </w:r>
      <w:r w:rsidR="007E7432">
        <w:rPr>
          <w:b/>
          <w:bCs/>
          <w:lang w:val="en-US"/>
        </w:rPr>
        <w:tab/>
      </w:r>
      <w:r w:rsidRPr="004601FA">
        <w:rPr>
          <w:b/>
          <w:bCs/>
          <w:lang w:val="en-US"/>
        </w:rPr>
        <w:t xml:space="preserve">Inclure et promouvoir la culture sourde dans le paysage culturel et linguistique de l'UE.</w:t>
      </w:r>
    </w:p>
    <w:bookmarkEnd w:id="17"/>
    <w:p w:rsidRPr="00404879" w:rsidR="00664896" w:rsidP="00723F78" w:rsidRDefault="00664896" w14:paraId="2FF50CCA" w14:textId="1B73E029">
      <w:pPr>
        <w:pStyle w:val="H1G"/>
      </w:pPr>
      <w:r>
        <w:tab/>
      </w:r>
      <w:r>
        <w:t xml:space="preserve">C.</w:t>
      </w:r>
      <w:r>
        <w:tab/>
      </w:r>
      <w:r>
        <w:tab/>
      </w:r>
      <w:r w:rsidRPr="00404879">
        <w:t xml:space="preserve">Obligations spécifiques (art. 31-33)</w:t>
      </w:r>
    </w:p>
    <w:p w:rsidRPr="00404879" w:rsidR="00664896" w:rsidP="00664896" w:rsidRDefault="00664896" w14:paraId="66F85C80" w14:textId="77777777">
      <w:pPr>
        <w:pStyle w:val="H23G"/>
      </w:pPr>
      <w:r w:rsidRPr="00404879">
        <w:tab/>
      </w:r>
      <w:bookmarkStart w:name="_Hlk193808875" w:id="18"/>
      <w:r w:rsidRPr="00404879">
        <w:tab/>
      </w:r>
      <w:r w:rsidRPr="00404879">
        <w:t xml:space="preserve">Statistiques et collecte de données (art. 31)</w:t>
      </w:r>
    </w:p>
    <w:p w:rsidRPr="00800E2C" w:rsidR="00800E2C" w:rsidP="00723F78" w:rsidRDefault="00800E2C" w14:paraId="408AEB54" w14:textId="0AB2A64F">
      <w:pPr>
        <w:pStyle w:val="SingleTxtG"/>
        <w:numPr>
          <w:ilvl w:val="0"/>
          <w:numId w:val="22"/>
        </w:numPr>
        <w:ind w:start="1134" w:firstLine="0"/>
        <w:rPr>
          <w:bCs/>
        </w:rPr>
      </w:pPr>
      <w:r w:rsidRPr="00800E2C">
        <w:rPr>
          <w:bCs/>
        </w:rPr>
        <w:t xml:space="preserve">Le Comité se félicite de la mise en place par Eurostat de la base de données sur les personnes handicapées, mais note avec préoccupation</w:t>
      </w:r>
      <w:r w:rsidRPr="00800E2C">
        <w:rPr>
          <w:bCs/>
        </w:rPr>
        <w:tab/>
      </w:r>
    </w:p>
    <w:p w:rsidRPr="002B30E3" w:rsidR="002B30E3" w:rsidP="00723F78" w:rsidRDefault="00800E2C" w14:paraId="42356646" w14:textId="1A080B65">
      <w:pPr>
        <w:pStyle w:val="SingleTxtG"/>
        <w:ind w:firstLine="567"/>
        <w:rPr>
          <w:bCs/>
        </w:rPr>
      </w:pPr>
      <w:r w:rsidRPr="00800E2C">
        <w:rPr>
          <w:bCs/>
        </w:rPr>
        <w:tab/>
      </w:r>
      <w:r w:rsidRPr="00800E2C">
        <w:rPr>
          <w:bCs/>
        </w:rPr>
        <w:t xml:space="preserve">(a)</w:t>
      </w:r>
      <w:r w:rsidRPr="00800E2C">
        <w:rPr>
          <w:bCs/>
        </w:rPr>
        <w:tab/>
      </w:r>
      <w:r w:rsidRPr="002B30E3" w:rsidR="002B30E3">
        <w:rPr>
          <w:bCs/>
        </w:rPr>
        <w:t xml:space="preserve">L'absence de données ventilées par type de handicap, qui empêche l'identification des mesures de soutien et l'analyse comparative des données </w:t>
      </w:r>
      <w:r w:rsidR="008C192D">
        <w:rPr>
          <w:bCs/>
        </w:rPr>
        <w:t xml:space="preserve">;</w:t>
      </w:r>
    </w:p>
    <w:p w:rsidRPr="00800E2C" w:rsidR="00800E2C" w:rsidP="00723F78" w:rsidRDefault="00800E2C" w14:paraId="49B51CCF" w14:textId="6C2D349A">
      <w:pPr>
        <w:pStyle w:val="SingleTxtG"/>
        <w:ind w:firstLine="567"/>
        <w:rPr>
          <w:bCs/>
        </w:rPr>
      </w:pPr>
      <w:r w:rsidRPr="00800E2C">
        <w:rPr>
          <w:bCs/>
        </w:rPr>
        <w:tab/>
      </w:r>
      <w:r w:rsidRPr="00800E2C">
        <w:rPr>
          <w:bCs/>
        </w:rPr>
        <w:t xml:space="preserve">(b)</w:t>
      </w:r>
      <w:r w:rsidRPr="00800E2C">
        <w:rPr>
          <w:bCs/>
        </w:rPr>
        <w:tab/>
      </w:r>
      <w:r w:rsidRPr="00800E2C">
        <w:rPr>
          <w:bCs/>
        </w:rPr>
        <w:t xml:space="preserve">L'omission des personnes handicapées vivant en institution dans la collecte des données ;</w:t>
      </w:r>
    </w:p>
    <w:p w:rsidRPr="00026F2B" w:rsidR="00026F2B" w:rsidP="00723F78" w:rsidRDefault="00800E2C" w14:paraId="3CFA22F7" w14:textId="76A7B66E">
      <w:pPr>
        <w:pStyle w:val="SingleTxtG"/>
        <w:ind w:firstLine="567"/>
        <w:rPr>
          <w:bCs/>
        </w:rPr>
      </w:pPr>
      <w:r w:rsidRPr="00800E2C">
        <w:rPr>
          <w:bCs/>
        </w:rPr>
        <w:tab/>
      </w:r>
      <w:r w:rsidRPr="00800E2C">
        <w:rPr>
          <w:bCs/>
        </w:rPr>
        <w:t xml:space="preserve">(c)</w:t>
      </w:r>
      <w:r w:rsidRPr="00800E2C">
        <w:rPr>
          <w:bCs/>
        </w:rPr>
        <w:tab/>
      </w:r>
      <w:r w:rsidRPr="00800E2C">
        <w:rPr>
          <w:bCs/>
        </w:rPr>
        <w:t xml:space="preserve">L'absence de données ventilées selon l'</w:t>
      </w:r>
      <w:r w:rsidRPr="00800E2C">
        <w:rPr>
          <w:bCs/>
        </w:rPr>
        <w:t xml:space="preserve">identité </w:t>
      </w:r>
      <w:r w:rsidR="00C67C34">
        <w:rPr>
          <w:bCs/>
        </w:rPr>
        <w:t xml:space="preserve">LGBTQI+</w:t>
      </w:r>
      <w:r w:rsidRPr="00800E2C">
        <w:rPr>
          <w:bCs/>
        </w:rPr>
        <w:t xml:space="preserve">, le sexe, la race, l'appartenance ethnique</w:t>
      </w:r>
      <w:r w:rsidR="006F5788">
        <w:rPr>
          <w:bCs/>
        </w:rPr>
        <w:t xml:space="preserve">, le niveau de vie </w:t>
      </w:r>
      <w:r w:rsidRPr="00800E2C">
        <w:rPr>
          <w:bCs/>
        </w:rPr>
        <w:t xml:space="preserve">et l'âge.</w:t>
      </w:r>
    </w:p>
    <w:p w:rsidRPr="00026F2B" w:rsidR="00026F2B" w:rsidP="00723F78" w:rsidRDefault="00026F2B" w14:paraId="631C2150" w14:textId="07897BDF">
      <w:pPr>
        <w:pStyle w:val="SingleTxtG"/>
        <w:numPr>
          <w:ilvl w:val="0"/>
          <w:numId w:val="22"/>
        </w:numPr>
        <w:ind w:start="1134" w:firstLine="0"/>
        <w:rPr>
          <w:b/>
        </w:rPr>
      </w:pPr>
      <w:r w:rsidRPr="00026F2B">
        <w:rPr>
          <w:b/>
        </w:rPr>
        <w:t xml:space="preserve">Le Comité recommande à l'</w:t>
      </w:r>
      <w:r w:rsidR="00790D66">
        <w:rPr>
          <w:b/>
        </w:rPr>
        <w:t xml:space="preserve">Union européenne</w:t>
      </w:r>
    </w:p>
    <w:p w:rsidRPr="00723F78" w:rsidR="00026F2B" w:rsidP="00723F78" w:rsidRDefault="00026F2B" w14:paraId="5C401EFA" w14:textId="24DBA724">
      <w:pPr>
        <w:pStyle w:val="SingleTxtG"/>
        <w:ind w:firstLine="567"/>
        <w:rPr>
          <w:b/>
          <w:bCs/>
          <w:lang w:val="en-US"/>
        </w:rPr>
      </w:pPr>
      <w:r w:rsidRPr="00723F78">
        <w:rPr>
          <w:b/>
          <w:bCs/>
          <w:lang w:val="en-US"/>
        </w:rPr>
        <w:tab/>
      </w:r>
      <w:r w:rsidRPr="00723F78">
        <w:rPr>
          <w:b/>
          <w:bCs/>
          <w:lang w:val="en-US"/>
        </w:rPr>
        <w:t xml:space="preserve">(a)</w:t>
      </w:r>
      <w:r w:rsidRPr="00723F78">
        <w:rPr>
          <w:b/>
          <w:bCs/>
          <w:lang w:val="en-US"/>
        </w:rPr>
        <w:tab/>
      </w:r>
      <w:r w:rsidR="00E16D17">
        <w:rPr>
          <w:b/>
          <w:bCs/>
          <w:lang w:val="en-US"/>
        </w:rPr>
        <w:t xml:space="preserve">D'</w:t>
      </w:r>
      <w:r w:rsidRPr="00723F78" w:rsidR="719804AC">
        <w:rPr>
          <w:b/>
          <w:bCs/>
          <w:lang w:val="en-US"/>
        </w:rPr>
        <w:t xml:space="preserve">étendre l'utilisation de l'</w:t>
      </w:r>
      <w:r w:rsidRPr="00723F78">
        <w:rPr>
          <w:b/>
          <w:bCs/>
          <w:lang w:val="en-US"/>
        </w:rPr>
        <w:t xml:space="preserve">ensemble de questions courtes du Groupe de Washington </w:t>
      </w:r>
      <w:r w:rsidRPr="00723F78" w:rsidR="00CE4AB7">
        <w:rPr>
          <w:b/>
          <w:bCs/>
          <w:lang w:val="en-US"/>
        </w:rPr>
        <w:t xml:space="preserve">et de ventiler </w:t>
      </w:r>
      <w:r w:rsidRPr="00723F78" w:rsidR="00CE4AB7">
        <w:rPr>
          <w:b/>
          <w:bCs/>
          <w:lang w:val="en-US"/>
        </w:rPr>
        <w:t xml:space="preserve">ses données </w:t>
      </w:r>
      <w:r w:rsidRPr="00723F78">
        <w:rPr>
          <w:b/>
          <w:bCs/>
          <w:lang w:val="en-US"/>
        </w:rPr>
        <w:t xml:space="preserve">par type de handicap dans les domaines clés de </w:t>
      </w:r>
      <w:r w:rsidRPr="00723F78" w:rsidR="00CE4AB7">
        <w:rPr>
          <w:b/>
          <w:bCs/>
          <w:lang w:val="en-US"/>
        </w:rPr>
        <w:t xml:space="preserve">la vie, </w:t>
      </w:r>
      <w:r w:rsidR="003E60AA">
        <w:rPr>
          <w:b/>
          <w:bCs/>
          <w:lang w:val="en-US"/>
        </w:rPr>
        <w:t xml:space="preserve">et d'</w:t>
      </w:r>
      <w:r w:rsidRPr="00723F78" w:rsidR="00F16D18">
        <w:rPr>
          <w:b/>
          <w:bCs/>
          <w:lang w:val="en-US"/>
        </w:rPr>
        <w:t xml:space="preserve">inclure les </w:t>
      </w:r>
      <w:r w:rsidRPr="00723F78" w:rsidR="00CE4AB7">
        <w:rPr>
          <w:b/>
          <w:bCs/>
          <w:lang w:val="en-US"/>
        </w:rPr>
        <w:t xml:space="preserve">obstacles et les mesures d'aide possibles </w:t>
      </w:r>
      <w:r w:rsidRPr="00723F78" w:rsidR="00F16D18">
        <w:rPr>
          <w:b/>
          <w:bCs/>
          <w:lang w:val="en-US"/>
        </w:rPr>
        <w:t xml:space="preserve">;</w:t>
      </w:r>
    </w:p>
    <w:p w:rsidRPr="00723F78" w:rsidR="008E7151" w:rsidP="00723F78" w:rsidRDefault="008E7151" w14:paraId="74DAAC2A" w14:textId="469A203B">
      <w:pPr>
        <w:pStyle w:val="SingleTxtG"/>
        <w:ind w:firstLine="567"/>
        <w:rPr>
          <w:b/>
          <w:bCs/>
          <w:lang w:val="en-US"/>
        </w:rPr>
      </w:pPr>
      <w:r w:rsidRPr="00723F78">
        <w:rPr>
          <w:b/>
          <w:bCs/>
          <w:lang w:val="en-US"/>
        </w:rPr>
        <w:tab/>
      </w:r>
      <w:r w:rsidRPr="00723F78">
        <w:rPr>
          <w:b/>
          <w:bCs/>
          <w:lang w:val="en-US"/>
        </w:rPr>
        <w:t xml:space="preserve">(b)</w:t>
      </w:r>
      <w:r w:rsidRPr="00723F78">
        <w:rPr>
          <w:b/>
          <w:bCs/>
          <w:lang w:val="en-US"/>
        </w:rPr>
        <w:tab/>
      </w:r>
      <w:r w:rsidRPr="00723F78">
        <w:rPr>
          <w:b/>
          <w:bCs/>
          <w:lang w:val="en-US"/>
        </w:rPr>
        <w:t xml:space="preserve">Inclure les personnes handicapées en institution dans sa collecte de données</w:t>
      </w:r>
      <w:r w:rsidR="00B877AC">
        <w:rPr>
          <w:b/>
          <w:bCs/>
          <w:lang w:val="en-US"/>
        </w:rPr>
        <w:t xml:space="preserve">, comme envisagé </w:t>
      </w:r>
      <w:r w:rsidR="003E60AA">
        <w:rPr>
          <w:b/>
          <w:bCs/>
          <w:lang w:val="en-US"/>
        </w:rPr>
        <w:t xml:space="preserve">dans les études pilotes qui devraient débuter en 2027 </w:t>
      </w:r>
      <w:r w:rsidRPr="00723F78">
        <w:rPr>
          <w:b/>
          <w:bCs/>
          <w:lang w:val="en-US"/>
        </w:rPr>
        <w:t xml:space="preserve">;</w:t>
      </w:r>
    </w:p>
    <w:p w:rsidRPr="00664416" w:rsidR="00026F2B" w:rsidP="00723F78" w:rsidRDefault="00026F2B" w14:paraId="46372C38" w14:textId="1B0E98D1">
      <w:pPr>
        <w:pStyle w:val="SingleTxtG"/>
        <w:ind w:firstLine="567"/>
        <w:rPr>
          <w:b/>
        </w:rPr>
      </w:pPr>
      <w:r w:rsidRPr="00723F78">
        <w:rPr>
          <w:b/>
          <w:bCs/>
          <w:lang w:val="en-US"/>
        </w:rPr>
        <w:tab/>
      </w:r>
      <w:r w:rsidRPr="00723F78" w:rsidR="008E7151">
        <w:rPr>
          <w:b/>
          <w:bCs/>
          <w:lang w:val="en-US"/>
        </w:rPr>
        <w:t xml:space="preserve">(c</w:t>
      </w:r>
      <w:r w:rsidRPr="00723F78">
        <w:rPr>
          <w:b/>
          <w:bCs/>
          <w:lang w:val="en-US"/>
        </w:rPr>
        <w:t xml:space="preserve">)</w:t>
      </w:r>
      <w:r w:rsidRPr="00026F2B">
        <w:rPr>
          <w:bCs/>
        </w:rPr>
        <w:tab/>
      </w:r>
      <w:r w:rsidR="00493556">
        <w:rPr>
          <w:b/>
        </w:rPr>
        <w:t xml:space="preserve">Désagréger la </w:t>
      </w:r>
      <w:r w:rsidR="00493556">
        <w:rPr>
          <w:b/>
        </w:rPr>
        <w:t xml:space="preserve">collecte de données </w:t>
      </w:r>
      <w:r w:rsidR="00F16D18">
        <w:rPr>
          <w:b/>
        </w:rPr>
        <w:t xml:space="preserve">sur les personnes handicapées en fonction de l'</w:t>
      </w:r>
      <w:r w:rsidR="00F16D18">
        <w:rPr>
          <w:b/>
        </w:rPr>
        <w:t xml:space="preserve">identité </w:t>
      </w:r>
      <w:r w:rsidR="00C67C34">
        <w:rPr>
          <w:b/>
        </w:rPr>
        <w:t xml:space="preserve">LGBTIQ</w:t>
      </w:r>
      <w:r w:rsidRPr="00664416">
        <w:rPr>
          <w:b/>
        </w:rPr>
        <w:t xml:space="preserve">+ </w:t>
      </w:r>
      <w:r w:rsidR="00F16D18">
        <w:rPr>
          <w:b/>
        </w:rPr>
        <w:t xml:space="preserve"> , du sexe, de la race</w:t>
      </w:r>
      <w:r w:rsidR="003960AB">
        <w:rPr>
          <w:b/>
        </w:rPr>
        <w:t xml:space="preserve">, de l'ethnicité</w:t>
      </w:r>
      <w:r w:rsidR="006F5788">
        <w:rPr>
          <w:b/>
        </w:rPr>
        <w:t xml:space="preserve">, du niveau de vie </w:t>
      </w:r>
      <w:r w:rsidR="003960AB">
        <w:rPr>
          <w:b/>
        </w:rPr>
        <w:t xml:space="preserve">et de l'âge</w:t>
      </w:r>
      <w:r w:rsidR="008E7151">
        <w:rPr>
          <w:b/>
        </w:rPr>
        <w:t xml:space="preserve">.</w:t>
      </w:r>
    </w:p>
    <w:p w:rsidRPr="00404879" w:rsidR="00007539" w:rsidP="00007539" w:rsidRDefault="00007539" w14:paraId="7B47A00D" w14:textId="48AC1AEA">
      <w:pPr>
        <w:pStyle w:val="H23G"/>
      </w:pPr>
      <w:bookmarkStart w:name="_Hlk193802563" w:id="19"/>
      <w:bookmarkEnd w:id="18"/>
      <w:r>
        <w:tab/>
      </w:r>
      <w:r>
        <w:tab/>
      </w:r>
      <w:r w:rsidRPr="00AD7122">
        <w:t xml:space="preserve">Coopération internationale (art. 32)</w:t>
      </w:r>
    </w:p>
    <w:p w:rsidR="00BA56C4" w:rsidP="00723F78" w:rsidRDefault="00BA56C4" w14:paraId="2CB2610D" w14:textId="29C5E99E">
      <w:pPr>
        <w:pStyle w:val="SingleTxtG"/>
        <w:numPr>
          <w:ilvl w:val="0"/>
          <w:numId w:val="22"/>
        </w:numPr>
        <w:ind w:start="1134" w:firstLine="0"/>
      </w:pPr>
      <w:r>
        <w:t xml:space="preserve">Le Comité note avec préoccupation </w:t>
      </w:r>
    </w:p>
    <w:p w:rsidR="00842A47" w:rsidP="00723F78" w:rsidRDefault="00BA56C4" w14:paraId="169A4FFB" w14:textId="6DE66C52">
      <w:pPr>
        <w:pStyle w:val="SingleTxtG"/>
        <w:ind w:firstLine="567"/>
      </w:pPr>
      <w:r>
        <w:tab/>
      </w:r>
      <w:r>
        <w:t xml:space="preserve">(</w:t>
      </w:r>
      <w:r w:rsidR="00842A47">
        <w:t xml:space="preserve">a)</w:t>
      </w:r>
      <w:r w:rsidR="00723F78">
        <w:tab/>
      </w:r>
      <w:r w:rsidR="00842A47">
        <w:t xml:space="preserve">L'absence d'un </w:t>
      </w:r>
      <w:r w:rsidR="00842A47">
        <w:t xml:space="preserve">plan d'action </w:t>
      </w:r>
      <w:r w:rsidR="00EA4432">
        <w:t xml:space="preserve">global en </w:t>
      </w:r>
      <w:r w:rsidR="00842A47">
        <w:t xml:space="preserve">faveur des personnes handicapées dans l'action extérieure de l'UE, ce qui entraîne une incohérence dans les politiques et programmes extérieurs relatifs aux personnes handicapées mis en place avec des fonds de l'UE</w:t>
      </w:r>
      <w:r w:rsidR="00B01AE6">
        <w:t xml:space="preserve">, et </w:t>
      </w:r>
      <w:r w:rsidR="00B01AE6">
        <w:t xml:space="preserve">une mise en œuvre </w:t>
      </w:r>
      <w:r w:rsidR="00FD4BCA">
        <w:t xml:space="preserve">inégale </w:t>
      </w:r>
      <w:r w:rsidR="00B01AE6">
        <w:t xml:space="preserve">des politiques extérieures existantes relatives aux droits des personnes handicapées </w:t>
      </w:r>
      <w:r w:rsidR="00842A47">
        <w:t xml:space="preserve">;</w:t>
      </w:r>
    </w:p>
    <w:p w:rsidR="00842A47" w:rsidP="00723F78" w:rsidRDefault="00842A47" w14:paraId="38FB0396" w14:textId="7D99EF78">
      <w:pPr>
        <w:pStyle w:val="SingleTxtG"/>
        <w:ind w:firstLine="567"/>
      </w:pPr>
      <w:r>
        <w:tab/>
      </w:r>
      <w:r>
        <w:t xml:space="preserve">(b)</w:t>
      </w:r>
      <w:r>
        <w:tab/>
      </w:r>
      <w:r w:rsidR="00B01AE6">
        <w:t xml:space="preserve">qu'en dépit de </w:t>
      </w:r>
      <w:r w:rsidR="00EA4432">
        <w:t xml:space="preserve">progrès substantiels, l</w:t>
      </w:r>
      <w:r>
        <w:t xml:space="preserve">'accent mis sur l'inclusion des personnes handicapées dans les projets d'aide publique au développement de la Commission européenne </w:t>
      </w:r>
      <w:r w:rsidR="00EA4432">
        <w:t xml:space="preserve">reste limité </w:t>
      </w:r>
      <w:r>
        <w:t xml:space="preserve">;</w:t>
      </w:r>
    </w:p>
    <w:p w:rsidR="00842A47" w:rsidP="00723F78" w:rsidRDefault="00842A47" w14:paraId="10C55C33" w14:textId="07293CDA">
      <w:pPr>
        <w:pStyle w:val="SingleTxtG"/>
        <w:ind w:firstLine="567"/>
      </w:pPr>
      <w:r>
        <w:lastRenderedPageBreak/>
      </w:r>
      <w:r>
        <w:tab/>
      </w:r>
      <w:r>
        <w:t xml:space="preserve">(c)</w:t>
      </w:r>
      <w:r>
        <w:tab/>
      </w:r>
      <w:r>
        <w:t xml:space="preserve">L'absence d'un </w:t>
      </w:r>
      <w:r>
        <w:t xml:space="preserve">cadre </w:t>
      </w:r>
      <w:r w:rsidR="00300D6F">
        <w:t xml:space="preserve">juridiquement ancré </w:t>
      </w:r>
      <w:r>
        <w:t xml:space="preserve">pour une consultation étroite et une participation active des personnes handicapées, par le biais de leurs organisations représentatives, dans l'action extérieure de l'UE, </w:t>
      </w:r>
      <w:r w:rsidR="00300D6F">
        <w:t xml:space="preserve">et l'absence d'une telle consultation et d'une telle participation dans les consultations au niveau des pays </w:t>
      </w:r>
      <w:r>
        <w:t xml:space="preserve">; </w:t>
      </w:r>
    </w:p>
    <w:p w:rsidR="00842A47" w:rsidP="00723F78" w:rsidRDefault="00842A47" w14:paraId="7E6EC7AC" w14:textId="2940BA3F">
      <w:pPr>
        <w:pStyle w:val="SingleTxtG"/>
        <w:ind w:firstLine="567"/>
      </w:pPr>
      <w:r>
        <w:tab/>
      </w:r>
      <w:r>
        <w:t xml:space="preserve">(</w:t>
      </w:r>
      <w:r w:rsidR="00EA4432">
        <w:t xml:space="preserve">c</w:t>
      </w:r>
      <w:r>
        <w:t xml:space="preserve">)</w:t>
      </w:r>
      <w:r>
        <w:tab/>
      </w:r>
      <w:r>
        <w:t xml:space="preserve">La complexité des procédures de demande de financement pour les organisations de personnes handicapées dans le cadre de l'action extérieure de l'UE ;</w:t>
      </w:r>
    </w:p>
    <w:p w:rsidR="00842A47" w:rsidP="00723F78" w:rsidRDefault="00842A47" w14:paraId="7AEF05B2" w14:textId="293BFDF1">
      <w:pPr>
        <w:pStyle w:val="SingleTxtG"/>
        <w:ind w:firstLine="567"/>
      </w:pPr>
      <w:r>
        <w:tab/>
      </w:r>
      <w:r w:rsidR="00EA4432">
        <w:t xml:space="preserve">(d</w:t>
      </w:r>
      <w:r>
        <w:t xml:space="preserve">)</w:t>
      </w:r>
      <w:r>
        <w:tab/>
      </w:r>
      <w:r w:rsidR="00300D6F">
        <w:t xml:space="preserve">Malgré les mesures de renforcement des capacités prises par l'</w:t>
      </w:r>
      <w:r>
        <w:t xml:space="preserve">Union européenne</w:t>
      </w:r>
      <w:r w:rsidR="00300D6F">
        <w:t xml:space="preserve">, les </w:t>
      </w:r>
      <w:r>
        <w:t xml:space="preserve">institutions</w:t>
      </w:r>
      <w:r w:rsidR="00300D6F">
        <w:t xml:space="preserve"> de l'</w:t>
      </w:r>
      <w:r>
        <w:t xml:space="preserve">Union </w:t>
      </w:r>
      <w:r>
        <w:t xml:space="preserve">disposent </w:t>
      </w:r>
      <w:r w:rsidR="00300D6F">
        <w:t xml:space="preserve">encore d'</w:t>
      </w:r>
      <w:r>
        <w:t xml:space="preserve">une capacité institutionnelle </w:t>
      </w:r>
      <w:r w:rsidR="00FD4BCA">
        <w:t xml:space="preserve">limitée </w:t>
      </w:r>
      <w:r>
        <w:t xml:space="preserve">pour concevoir et mettre en œuvre des programmes de coopération internationale tenant compte des besoins des personnes handicapées.</w:t>
      </w:r>
    </w:p>
    <w:p w:rsidRPr="00842A47" w:rsidR="00842A47" w:rsidP="00723F78" w:rsidRDefault="00842A47" w14:paraId="3EBA7360" w14:textId="7FDBAC87">
      <w:pPr>
        <w:pStyle w:val="SingleTxtG"/>
        <w:numPr>
          <w:ilvl w:val="0"/>
          <w:numId w:val="22"/>
        </w:numPr>
        <w:ind w:start="1134" w:firstLine="0"/>
        <w:rPr>
          <w:b/>
          <w:bCs/>
        </w:rPr>
      </w:pPr>
      <w:r w:rsidRPr="00842A47">
        <w:rPr>
          <w:b/>
          <w:bCs/>
        </w:rPr>
        <w:t xml:space="preserve">Le Comité rappelle ses précédentes </w:t>
      </w:r>
      <w:r w:rsidR="0019315F">
        <w:rPr>
          <w:b/>
          <w:bCs/>
        </w:rPr>
        <w:t xml:space="preserve">observations</w:t>
      </w:r>
      <w:r w:rsidRPr="00842A47">
        <w:rPr>
          <w:b/>
          <w:bCs/>
        </w:rPr>
        <w:t xml:space="preserve"> finales </w:t>
      </w:r>
      <w:r w:rsidRPr="00842A47">
        <w:rPr>
          <w:b/>
          <w:bCs/>
        </w:rPr>
        <w:t xml:space="preserve">et </w:t>
      </w:r>
      <w:r w:rsidR="0019315F">
        <w:rPr>
          <w:b/>
          <w:bCs/>
        </w:rPr>
        <w:t xml:space="preserve">recommandations </w:t>
      </w:r>
      <w:r w:rsidRPr="00842A47">
        <w:rPr>
          <w:b/>
          <w:bCs/>
        </w:rPr>
        <w:t xml:space="preserve">(paragraphe 75) et recommande à l'Union européenne de</w:t>
      </w:r>
    </w:p>
    <w:p w:rsidRPr="00842A47" w:rsidR="00842A47" w:rsidP="00723F78" w:rsidRDefault="00842A47" w14:paraId="11E91181" w14:textId="3533B844">
      <w:pPr>
        <w:pStyle w:val="SingleTxtG"/>
        <w:ind w:firstLine="567"/>
        <w:rPr>
          <w:b/>
          <w:bCs/>
        </w:rPr>
      </w:pPr>
      <w:r w:rsidRPr="00842A47">
        <w:rPr>
          <w:b/>
          <w:bCs/>
        </w:rPr>
        <w:tab/>
      </w:r>
      <w:r w:rsidRPr="00842A47">
        <w:rPr>
          <w:b/>
          <w:bCs/>
        </w:rPr>
        <w:t xml:space="preserve">(a)</w:t>
      </w:r>
      <w:r w:rsidRPr="00842A47">
        <w:rPr>
          <w:b/>
          <w:bCs/>
        </w:rPr>
        <w:tab/>
      </w:r>
      <w:r w:rsidR="00045E3E">
        <w:rPr>
          <w:b/>
          <w:bCs/>
        </w:rPr>
        <w:t xml:space="preserve">D'élaborer et de </w:t>
      </w:r>
      <w:r w:rsidRPr="00842A47">
        <w:rPr>
          <w:b/>
          <w:bCs/>
        </w:rPr>
        <w:t xml:space="preserve">mettre en œuvre un plan d'action global en faveur des personnes handicapées </w:t>
      </w:r>
      <w:r w:rsidR="00EA4432">
        <w:rPr>
          <w:b/>
          <w:bCs/>
        </w:rPr>
        <w:t xml:space="preserve">et d'améliorer la coordination des politiques existantes dans le cadre de l'action extérieure de l'UE </w:t>
      </w:r>
      <w:r w:rsidR="00206DC7">
        <w:rPr>
          <w:b/>
          <w:bCs/>
        </w:rPr>
        <w:t xml:space="preserve">afin de </w:t>
      </w:r>
      <w:r w:rsidR="006F256C">
        <w:rPr>
          <w:b/>
          <w:bCs/>
        </w:rPr>
        <w:t xml:space="preserve">mettre en œuvre la Convention </w:t>
      </w:r>
      <w:r w:rsidRPr="00842A47">
        <w:rPr>
          <w:b/>
          <w:bCs/>
        </w:rPr>
        <w:t xml:space="preserve">dans tous les programmes d'aide internationale </w:t>
      </w:r>
      <w:r w:rsidR="004A4E4A">
        <w:rPr>
          <w:b/>
          <w:bCs/>
        </w:rPr>
        <w:t xml:space="preserve">et dans le cadre des négociations de la Conférence des Nations Unies sur le financement du développement </w:t>
      </w:r>
      <w:r w:rsidRPr="00842A47">
        <w:rPr>
          <w:b/>
          <w:bCs/>
        </w:rPr>
        <w:t xml:space="preserve">; </w:t>
      </w:r>
    </w:p>
    <w:p w:rsidRPr="00842A47" w:rsidR="00842A47" w:rsidP="00723F78" w:rsidRDefault="00842A47" w14:paraId="35513D5B" w14:textId="4D5B0472">
      <w:pPr>
        <w:pStyle w:val="SingleTxtG"/>
        <w:ind w:firstLine="567"/>
        <w:rPr>
          <w:b/>
          <w:bCs/>
        </w:rPr>
      </w:pPr>
      <w:r w:rsidRPr="00842A47">
        <w:rPr>
          <w:b/>
          <w:bCs/>
        </w:rPr>
        <w:tab/>
      </w:r>
      <w:r w:rsidRPr="00842A47">
        <w:rPr>
          <w:b/>
          <w:bCs/>
        </w:rPr>
        <w:t xml:space="preserve">(b)</w:t>
      </w:r>
      <w:r w:rsidRPr="00842A47">
        <w:rPr>
          <w:b/>
          <w:bCs/>
        </w:rPr>
        <w:tab/>
      </w:r>
      <w:r w:rsidR="2E519EE0">
        <w:rPr>
          <w:b/>
          <w:bCs/>
        </w:rPr>
        <w:t xml:space="preserve">continuer à </w:t>
      </w:r>
      <w:r w:rsidRPr="00842A47" w:rsidR="1E1558E9">
        <w:rPr>
          <w:b/>
          <w:bCs/>
        </w:rPr>
        <w:t xml:space="preserve">accroître les </w:t>
      </w:r>
      <w:r w:rsidRPr="00842A47">
        <w:rPr>
          <w:b/>
          <w:bCs/>
        </w:rPr>
        <w:t xml:space="preserve">programmes d'aide publique au développement </w:t>
      </w:r>
      <w:r w:rsidR="006F5788">
        <w:rPr>
          <w:b/>
          <w:bCs/>
        </w:rPr>
        <w:t xml:space="preserve">en faveur de l'</w:t>
      </w:r>
      <w:r w:rsidRPr="00842A47">
        <w:rPr>
          <w:b/>
          <w:bCs/>
        </w:rPr>
        <w:t xml:space="preserve">inclusion des personnes handicapées, conformément au marqueur "handicap" du CAD de l'OCDE, </w:t>
      </w:r>
      <w:r w:rsidR="006F5788">
        <w:rPr>
          <w:b/>
          <w:bCs/>
        </w:rPr>
        <w:t xml:space="preserve">et </w:t>
      </w:r>
      <w:r w:rsidRPr="00842A47">
        <w:rPr>
          <w:b/>
          <w:bCs/>
        </w:rPr>
        <w:t xml:space="preserve">veiller à ce que le prochain cadre financier pluriannuel pour l'action extérieure de l'UE </w:t>
      </w:r>
      <w:r w:rsidR="00493556">
        <w:rPr>
          <w:b/>
          <w:bCs/>
        </w:rPr>
        <w:t xml:space="preserve">soit </w:t>
      </w:r>
      <w:r w:rsidRPr="00842A47">
        <w:rPr>
          <w:b/>
          <w:bCs/>
        </w:rPr>
        <w:t xml:space="preserve">compatible avec la convention, </w:t>
      </w:r>
      <w:r w:rsidR="00493556">
        <w:rPr>
          <w:b/>
          <w:bCs/>
        </w:rPr>
        <w:t xml:space="preserve">promeuve l'</w:t>
      </w:r>
      <w:r w:rsidRPr="00842A47">
        <w:rPr>
          <w:b/>
          <w:bCs/>
        </w:rPr>
        <w:t xml:space="preserve">inclusion des personnes handicapées et </w:t>
      </w:r>
      <w:r w:rsidRPr="00842A47" w:rsidR="00493556">
        <w:rPr>
          <w:b/>
          <w:bCs/>
        </w:rPr>
        <w:t xml:space="preserve">adopte</w:t>
      </w:r>
      <w:r w:rsidR="00493556">
        <w:rPr>
          <w:b/>
          <w:bCs/>
        </w:rPr>
        <w:t xml:space="preserve"> </w:t>
      </w:r>
      <w:r w:rsidRPr="00842A47">
        <w:rPr>
          <w:b/>
          <w:bCs/>
        </w:rPr>
        <w:t xml:space="preserve">une approche intersectorielle ;</w:t>
      </w:r>
    </w:p>
    <w:p w:rsidRPr="00842A47" w:rsidR="00842A47" w:rsidP="00723F78" w:rsidRDefault="00842A47" w14:paraId="08ABAE71" w14:textId="01288AC3">
      <w:pPr>
        <w:pStyle w:val="SingleTxtG"/>
        <w:ind w:firstLine="567"/>
        <w:rPr>
          <w:b/>
          <w:bCs/>
        </w:rPr>
      </w:pPr>
      <w:r w:rsidRPr="00842A47">
        <w:rPr>
          <w:b/>
          <w:bCs/>
        </w:rPr>
        <w:tab/>
      </w:r>
      <w:r w:rsidRPr="00842A47">
        <w:rPr>
          <w:b/>
          <w:bCs/>
        </w:rPr>
        <w:t xml:space="preserve">(c)</w:t>
      </w:r>
      <w:r w:rsidRPr="00842A47">
        <w:rPr>
          <w:b/>
          <w:bCs/>
        </w:rPr>
        <w:tab/>
      </w:r>
      <w:r w:rsidR="00300D6F">
        <w:rPr>
          <w:b/>
          <w:bCs/>
        </w:rPr>
        <w:t xml:space="preserve">Promulguer un mécanisme juridiquement ancré pour une </w:t>
      </w:r>
      <w:r w:rsidRPr="00842A47">
        <w:rPr>
          <w:b/>
          <w:bCs/>
        </w:rPr>
        <w:t xml:space="preserve">consultation étroite et une participation active des personnes handicapées, par l'intermédiaire de leurs organisations représentatives</w:t>
      </w:r>
      <w:r w:rsidR="00300D6F">
        <w:rPr>
          <w:b/>
          <w:bCs/>
        </w:rPr>
        <w:t xml:space="preserve">, dans l'action extérieure de l'UE, et garantir cette consultation et cette participation en particulier lors des consultations au niveau des pays, y compris les consultations sur le changement climatique, la transition verte et les projets individuels</w:t>
      </w:r>
      <w:r w:rsidR="00FD4BCA">
        <w:rPr>
          <w:b/>
          <w:bCs/>
        </w:rPr>
        <w:t xml:space="preserve">, </w:t>
      </w:r>
      <w:r w:rsidRPr="00842A47">
        <w:rPr>
          <w:b/>
          <w:bCs/>
        </w:rPr>
        <w:t xml:space="preserve">dans la conception et la mise en œuvre des accords et des programmes de coopération internationale</w:t>
      </w:r>
      <w:r w:rsidR="00FF56A3">
        <w:rPr>
          <w:b/>
          <w:bCs/>
        </w:rPr>
        <w:t xml:space="preserve">, et spécifiquement dans la mise en œuvre et le suivi de l'Agenda 2030 pour atteindre les Objectifs de développement durable </w:t>
      </w:r>
      <w:r w:rsidRPr="00842A47">
        <w:rPr>
          <w:b/>
          <w:bCs/>
        </w:rPr>
        <w:t xml:space="preserve">;</w:t>
      </w:r>
    </w:p>
    <w:p w:rsidRPr="00842A47" w:rsidR="00842A47" w:rsidP="00723F78" w:rsidRDefault="00842A47" w14:paraId="3D4FEB7C" w14:textId="383F31BE">
      <w:pPr>
        <w:pStyle w:val="SingleTxtG"/>
        <w:ind w:firstLine="567"/>
        <w:rPr>
          <w:b/>
          <w:bCs/>
        </w:rPr>
      </w:pPr>
      <w:r w:rsidRPr="00842A47">
        <w:rPr>
          <w:b/>
          <w:bCs/>
        </w:rPr>
        <w:tab/>
      </w:r>
      <w:r w:rsidRPr="00842A47">
        <w:rPr>
          <w:b/>
          <w:bCs/>
        </w:rPr>
        <w:t xml:space="preserve">(d)</w:t>
      </w:r>
      <w:r w:rsidRPr="00842A47">
        <w:rPr>
          <w:b/>
          <w:bCs/>
        </w:rPr>
        <w:tab/>
      </w:r>
      <w:r w:rsidR="00815182">
        <w:rPr>
          <w:b/>
          <w:bCs/>
        </w:rPr>
        <w:t xml:space="preserve">Veiller à ce que </w:t>
      </w:r>
      <w:r w:rsidRPr="00842A47">
        <w:rPr>
          <w:b/>
          <w:bCs/>
        </w:rPr>
        <w:t xml:space="preserve">tous les financements, politiques et programmes de l'Union européenne liés à la coopération internationale et au développement durable, y compris toutes les initiatives Team Europe et Global Gateway, </w:t>
      </w:r>
      <w:r w:rsidR="00D91B98">
        <w:rPr>
          <w:b/>
          <w:bCs/>
        </w:rPr>
        <w:t xml:space="preserve">adhèrent aux </w:t>
      </w:r>
      <w:r w:rsidR="00D91B98">
        <w:rPr>
          <w:b/>
          <w:bCs/>
        </w:rPr>
        <w:t xml:space="preserve">principes d</w:t>
      </w:r>
      <w:r w:rsidR="00C51B96">
        <w:rPr>
          <w:b/>
          <w:bCs/>
        </w:rPr>
        <w:t xml:space="preserve">'accessibilité </w:t>
      </w:r>
      <w:r w:rsidR="00C30571">
        <w:rPr>
          <w:b/>
          <w:bCs/>
        </w:rPr>
        <w:t xml:space="preserve">et de participation des </w:t>
      </w:r>
      <w:r w:rsidRPr="00842A47">
        <w:rPr>
          <w:b/>
          <w:bCs/>
        </w:rPr>
        <w:t xml:space="preserve">personnes handicapées ;</w:t>
      </w:r>
    </w:p>
    <w:p w:rsidRPr="00842A47" w:rsidR="009357F1" w:rsidP="00723F78" w:rsidRDefault="00842A47" w14:paraId="38ACBA93" w14:textId="2B5471C1">
      <w:pPr>
        <w:pStyle w:val="SingleTxtG"/>
        <w:ind w:firstLine="567"/>
        <w:rPr>
          <w:b/>
          <w:bCs/>
        </w:rPr>
      </w:pPr>
      <w:r w:rsidRPr="00842A47">
        <w:rPr>
          <w:b/>
          <w:bCs/>
        </w:rPr>
        <w:tab/>
      </w:r>
      <w:r w:rsidRPr="00842A47">
        <w:rPr>
          <w:b/>
          <w:bCs/>
        </w:rPr>
        <w:t xml:space="preserve">(e)</w:t>
      </w:r>
      <w:r w:rsidRPr="00842A47">
        <w:rPr>
          <w:b/>
          <w:bCs/>
        </w:rPr>
        <w:tab/>
      </w:r>
      <w:r w:rsidR="00300D6F">
        <w:rPr>
          <w:b/>
          <w:bCs/>
        </w:rPr>
        <w:t xml:space="preserve">poursuivre et renforcer la </w:t>
      </w:r>
      <w:r w:rsidRPr="00842A47">
        <w:rPr>
          <w:b/>
          <w:bCs/>
        </w:rPr>
        <w:t xml:space="preserve">formation systématique du personnel de l'UE et des partenaires chargés de la mise en œuvre des programmes financés par l'UE </w:t>
      </w:r>
      <w:r w:rsidRPr="00842A47">
        <w:rPr>
          <w:b/>
          <w:bCs/>
        </w:rPr>
        <w:t xml:space="preserve">et élaborer des orientations pratiques sur la programmation tenant compte du handicap</w:t>
      </w:r>
      <w:r w:rsidR="00235CDA">
        <w:rPr>
          <w:b/>
          <w:bCs/>
        </w:rPr>
        <w:t xml:space="preserve">. </w:t>
      </w:r>
    </w:p>
    <w:bookmarkEnd w:id="19"/>
    <w:p w:rsidR="00664896" w:rsidP="00007539" w:rsidRDefault="002A2D4A" w14:paraId="138334A8" w14:textId="4D086783">
      <w:pPr>
        <w:pStyle w:val="H23G"/>
        <w:spacing w:before="120"/>
      </w:pPr>
      <w:r>
        <w:tab/>
      </w:r>
      <w:r>
        <w:tab/>
      </w:r>
      <w:r w:rsidRPr="00AD7122" w:rsidR="00007539">
        <w:t xml:space="preserve">Mise en œuvre et suivi au niveau national (article 33)</w:t>
      </w:r>
    </w:p>
    <w:p w:rsidR="00BA71FC" w:rsidP="00723F78" w:rsidRDefault="00BA71FC" w14:paraId="7EFDED6B" w14:textId="5223094D">
      <w:pPr>
        <w:pStyle w:val="SingleTxtG"/>
        <w:numPr>
          <w:ilvl w:val="0"/>
          <w:numId w:val="22"/>
        </w:numPr>
        <w:ind w:start="1134" w:firstLine="0"/>
      </w:pPr>
      <w:r w:rsidRPr="00FD4243">
        <w:t xml:space="preserve">Le Comité </w:t>
      </w:r>
      <w:r>
        <w:t xml:space="preserve">note avec préoccupation que </w:t>
      </w:r>
      <w:r>
        <w:t xml:space="preserve">certaines institutions de l'Union européenne, notamment le Conseil de l'Union européenne, n'ont pas encore désigné de points de contact pour les personnes handicapées ni de mécanismes de coordination pour la mise en œuvre de la Convention</w:t>
      </w:r>
      <w:r w:rsidR="003A57E7">
        <w:t xml:space="preserve">. </w:t>
      </w:r>
    </w:p>
    <w:p w:rsidRPr="00866C56" w:rsidR="00BA71FC" w:rsidP="00723F78" w:rsidRDefault="00BA71FC" w14:paraId="1C584EF1" w14:textId="41E1BC4A">
      <w:pPr>
        <w:pStyle w:val="SingleTxtG"/>
        <w:numPr>
          <w:ilvl w:val="0"/>
          <w:numId w:val="22"/>
        </w:numPr>
        <w:ind w:start="1134" w:firstLine="0"/>
        <w:rPr>
          <w:b/>
          <w:bCs/>
        </w:rPr>
      </w:pPr>
      <w:r w:rsidRPr="00A1657E">
        <w:rPr>
          <w:b/>
          <w:bCs/>
        </w:rPr>
        <w:t xml:space="preserve">Le Comité </w:t>
      </w:r>
      <w:r>
        <w:rPr>
          <w:b/>
          <w:bCs/>
        </w:rPr>
        <w:t xml:space="preserve">rappelle ses précédentes observations finales et </w:t>
      </w:r>
      <w:r>
        <w:rPr>
          <w:b/>
          <w:bCs/>
        </w:rPr>
        <w:t xml:space="preserve">recommandations (par. 77) et recommande à </w:t>
      </w:r>
      <w:r w:rsidRPr="00A1657E">
        <w:rPr>
          <w:b/>
          <w:bCs/>
        </w:rPr>
        <w:t xml:space="preserve">l</w:t>
      </w:r>
      <w:r>
        <w:rPr>
          <w:b/>
          <w:bCs/>
        </w:rPr>
        <w:t xml:space="preserve">'</w:t>
      </w:r>
      <w:r>
        <w:rPr>
          <w:b/>
          <w:bCs/>
        </w:rPr>
        <w:t xml:space="preserve">Union européenne </w:t>
      </w:r>
      <w:r>
        <w:rPr>
          <w:b/>
          <w:bCs/>
        </w:rPr>
        <w:t xml:space="preserve">de </w:t>
      </w:r>
      <w:r>
        <w:rPr>
          <w:b/>
          <w:bCs/>
        </w:rPr>
        <w:t xml:space="preserve">désigner des points focaux pour le handicap dans l'ensemble de </w:t>
      </w:r>
      <w:r w:rsidR="0079343B">
        <w:rPr>
          <w:b/>
          <w:bCs/>
        </w:rPr>
        <w:t xml:space="preserve">ses </w:t>
      </w:r>
      <w:r>
        <w:rPr>
          <w:b/>
          <w:bCs/>
        </w:rPr>
        <w:t xml:space="preserve">institutions</w:t>
      </w:r>
      <w:r w:rsidR="00EB5224">
        <w:rPr>
          <w:b/>
          <w:bCs/>
        </w:rPr>
        <w:t xml:space="preserve">, organes et agences</w:t>
      </w:r>
      <w:r>
        <w:rPr>
          <w:b/>
          <w:bCs/>
        </w:rPr>
        <w:t xml:space="preserve">, y compris au sein du Conseil de l'Union européenne, d'améliorer la coordination au sein du Conseil dans ses efforts pour mettre en œuvre la Convention</w:t>
      </w:r>
      <w:r w:rsidR="00EB5224">
        <w:rPr>
          <w:b/>
          <w:bCs/>
        </w:rPr>
        <w:t xml:space="preserve">, de </w:t>
      </w:r>
      <w:r w:rsidR="00FD4BCA">
        <w:rPr>
          <w:b/>
          <w:bCs/>
        </w:rPr>
        <w:t xml:space="preserve">mettre en place </w:t>
      </w:r>
      <w:r w:rsidRPr="00F16835">
        <w:rPr>
          <w:b/>
          <w:bCs/>
        </w:rPr>
        <w:t xml:space="preserve">un mécanisme interinstitutionnel de coordination </w:t>
      </w:r>
      <w:r w:rsidR="00EB5224">
        <w:rPr>
          <w:b/>
          <w:bCs/>
        </w:rPr>
        <w:t xml:space="preserve">et de veiller à ce que les informations relatives aux points focaux pour le handicap soient accessibles au public.</w:t>
      </w:r>
    </w:p>
    <w:p w:rsidR="00BA71FC" w:rsidP="00723F78" w:rsidRDefault="00BA71FC" w14:paraId="02D944A1" w14:textId="06237544">
      <w:pPr>
        <w:pStyle w:val="SingleTxtG"/>
        <w:numPr>
          <w:ilvl w:val="0"/>
          <w:numId w:val="22"/>
        </w:numPr>
        <w:ind w:start="1134" w:firstLine="0"/>
      </w:pPr>
      <w:r>
        <w:t xml:space="preserve">Le Comité note avec préoccupation</w:t>
      </w:r>
    </w:p>
    <w:p w:rsidR="00BA71FC" w:rsidP="00723F78" w:rsidRDefault="00BA71FC" w14:paraId="4C02BF2F" w14:textId="6756E2CB">
      <w:pPr>
        <w:pStyle w:val="SingleTxtG"/>
        <w:ind w:firstLine="567"/>
      </w:pPr>
      <w:r>
        <w:tab/>
      </w:r>
      <w:r>
        <w:t xml:space="preserve">(a)</w:t>
      </w:r>
      <w:r w:rsidR="00723F78">
        <w:tab/>
      </w:r>
      <w:r>
        <w:t xml:space="preserve">Que </w:t>
      </w:r>
      <w:r>
        <w:rPr>
          <w:lang w:val="en-US"/>
        </w:rPr>
        <w:t xml:space="preserve">le </w:t>
      </w:r>
      <w:r w:rsidR="00AA2514">
        <w:t xml:space="preserve">Cadre de suivi </w:t>
      </w:r>
      <w:r>
        <w:t xml:space="preserve">indépendant </w:t>
      </w:r>
      <w:r>
        <w:rPr>
          <w:lang w:val="en-US"/>
        </w:rPr>
        <w:t xml:space="preserve">n'</w:t>
      </w:r>
      <w:r>
        <w:rPr>
          <w:lang w:val="en-US"/>
        </w:rPr>
        <w:t xml:space="preserve">est pas conforme </w:t>
      </w:r>
      <w:r>
        <w:t xml:space="preserve">aux </w:t>
      </w:r>
      <w:r>
        <w:t xml:space="preserve">Principes de </w:t>
      </w:r>
      <w:r w:rsidR="00C77197">
        <w:t xml:space="preserve">Paris</w:t>
      </w:r>
      <w:r w:rsidRPr="00C51D16">
        <w:rPr>
          <w:lang w:val="en-US"/>
        </w:rPr>
        <w:t xml:space="preserve">, </w:t>
      </w:r>
      <w:r>
        <w:rPr>
          <w:lang w:val="en-US"/>
        </w:rPr>
        <w:t xml:space="preserve">ne disposant pas, entre autres, d'une base juridique spécifique</w:t>
      </w:r>
      <w:r w:rsidR="00C77197">
        <w:rPr>
          <w:lang w:val="en-US"/>
        </w:rPr>
        <w:t xml:space="preserve">, d'</w:t>
      </w:r>
      <w:r w:rsidR="002422A5">
        <w:rPr>
          <w:lang w:val="en-US"/>
        </w:rPr>
        <w:t xml:space="preserve">un </w:t>
      </w:r>
      <w:r>
        <w:rPr>
          <w:lang w:val="en-US"/>
        </w:rPr>
        <w:t xml:space="preserve">mandat </w:t>
      </w:r>
      <w:r>
        <w:rPr>
          <w:lang w:val="en-US"/>
        </w:rPr>
        <w:t xml:space="preserve">spécifique </w:t>
      </w:r>
      <w:r w:rsidR="00AA2514">
        <w:rPr>
          <w:lang w:val="en-US"/>
        </w:rPr>
        <w:t xml:space="preserve">et large, </w:t>
      </w:r>
      <w:r w:rsidR="00C77197">
        <w:rPr>
          <w:lang w:val="en-US"/>
        </w:rPr>
        <w:t xml:space="preserve">et d'un financement affecté, </w:t>
      </w:r>
      <w:r>
        <w:rPr>
          <w:lang w:val="en-US"/>
        </w:rPr>
        <w:t xml:space="preserve">et que les organisations de personnes handicapées n'ont pas </w:t>
      </w:r>
      <w:r>
        <w:rPr>
          <w:lang w:val="en-US"/>
        </w:rPr>
        <w:t xml:space="preserve">accès à l'information </w:t>
      </w:r>
      <w:r w:rsidR="00C77197">
        <w:rPr>
          <w:lang w:val="en-US"/>
        </w:rPr>
        <w:t xml:space="preserve">en temps voulu </w:t>
      </w:r>
      <w:r>
        <w:rPr>
          <w:lang w:val="en-US"/>
        </w:rPr>
        <w:t xml:space="preserve">pour participer efficacement aux travaux du mécanisme de suivi </w:t>
      </w:r>
      <w:r>
        <w:t xml:space="preserve">;</w:t>
      </w:r>
    </w:p>
    <w:p w:rsidRPr="00302D81" w:rsidR="00BA71FC" w:rsidP="00723F78" w:rsidRDefault="00BA71FC" w14:paraId="1C4FC377" w14:textId="0638DC05">
      <w:pPr>
        <w:pStyle w:val="SingleTxtG"/>
        <w:ind w:firstLine="567"/>
      </w:pPr>
      <w:r>
        <w:tab/>
      </w:r>
      <w:r>
        <w:t xml:space="preserve">(</w:t>
      </w:r>
      <w:r w:rsidR="00C77197">
        <w:t xml:space="preserve">b</w:t>
      </w:r>
      <w:r>
        <w:t xml:space="preserve">)</w:t>
      </w:r>
      <w:r>
        <w:tab/>
      </w:r>
      <w:r>
        <w:t xml:space="preserve">L'absence de mécanismes permettant d'appliquer les recommandations du Médiateur européen </w:t>
      </w:r>
      <w:r w:rsidR="003F6B21">
        <w:t xml:space="preserve">sur les </w:t>
      </w:r>
      <w:r>
        <w:t xml:space="preserve">droits des personnes handicapées</w:t>
      </w:r>
      <w:r>
        <w:t xml:space="preserve">. </w:t>
      </w:r>
      <w:r>
        <w:tab/>
      </w:r>
    </w:p>
    <w:p w:rsidRPr="00B91C2E" w:rsidR="00BA71FC" w:rsidP="00723F78" w:rsidRDefault="00BA71FC" w14:paraId="3B0A72F7" w14:textId="0B4CCF20">
      <w:pPr>
        <w:pStyle w:val="SingleTxtG"/>
        <w:numPr>
          <w:ilvl w:val="0"/>
          <w:numId w:val="22"/>
        </w:numPr>
        <w:ind w:start="1134" w:firstLine="0"/>
        <w:rPr>
          <w:b/>
          <w:bCs/>
        </w:rPr>
      </w:pPr>
      <w:r w:rsidRPr="00B91C2E">
        <w:rPr>
          <w:b/>
          <w:bCs/>
        </w:rPr>
        <w:t xml:space="preserve">Le Comité recommande à l'</w:t>
      </w:r>
      <w:r w:rsidR="00004F41">
        <w:rPr>
          <w:b/>
          <w:bCs/>
        </w:rPr>
        <w:t xml:space="preserve">Union européenne</w:t>
      </w:r>
    </w:p>
    <w:p w:rsidRPr="00723F78" w:rsidR="00BA71FC" w:rsidP="00723F78" w:rsidRDefault="00BA71FC" w14:paraId="7F5DA0E2" w14:textId="6DC0B5A4">
      <w:pPr>
        <w:pStyle w:val="SingleTxtG"/>
        <w:ind w:firstLine="567"/>
        <w:rPr>
          <w:b/>
        </w:rPr>
      </w:pPr>
      <w:r w:rsidRPr="00723F78">
        <w:rPr>
          <w:b/>
        </w:rPr>
        <w:lastRenderedPageBreak/>
      </w:r>
      <w:r w:rsidRPr="00723F78">
        <w:rPr>
          <w:b/>
        </w:rPr>
        <w:tab/>
      </w:r>
      <w:r w:rsidRPr="00723F78">
        <w:rPr>
          <w:b/>
        </w:rPr>
        <w:t xml:space="preserve">(a)</w:t>
      </w:r>
      <w:r w:rsidRPr="00723F78">
        <w:rPr>
          <w:b/>
        </w:rPr>
        <w:tab/>
      </w:r>
      <w:r w:rsidRPr="00723F78">
        <w:rPr>
          <w:b/>
          <w:lang w:val="en-US"/>
        </w:rPr>
        <w:t xml:space="preserve">D'adopter une </w:t>
      </w:r>
      <w:r w:rsidRPr="00723F78">
        <w:rPr>
          <w:b/>
        </w:rPr>
        <w:t xml:space="preserve">base législative pour </w:t>
      </w:r>
      <w:r w:rsidRPr="00723F78">
        <w:rPr>
          <w:b/>
          <w:lang w:val="en-US"/>
        </w:rPr>
        <w:t xml:space="preserve">un </w:t>
      </w:r>
      <w:r w:rsidRPr="00723F78">
        <w:rPr>
          <w:b/>
        </w:rPr>
        <w:t xml:space="preserve">mécanisme de suivi indépendant</w:t>
      </w:r>
      <w:r w:rsidRPr="00723F78">
        <w:rPr>
          <w:b/>
          <w:lang w:val="en-US"/>
        </w:rPr>
        <w:t xml:space="preserve">, </w:t>
      </w:r>
      <w:r w:rsidRPr="00723F78">
        <w:rPr>
          <w:b/>
        </w:rPr>
        <w:t xml:space="preserve">conforme aux </w:t>
      </w:r>
      <w:r w:rsidRPr="00723F78">
        <w:rPr>
          <w:b/>
        </w:rPr>
        <w:t xml:space="preserve">Principes de </w:t>
      </w:r>
      <w:r w:rsidRPr="00723F78" w:rsidR="00C77197">
        <w:rPr>
          <w:b/>
        </w:rPr>
        <w:t xml:space="preserve">Paris</w:t>
      </w:r>
      <w:r w:rsidRPr="00723F78" w:rsidR="003F6B21">
        <w:rPr>
          <w:b/>
        </w:rPr>
        <w:t xml:space="preserve">, de </w:t>
      </w:r>
      <w:r w:rsidRPr="00723F78">
        <w:rPr>
          <w:b/>
          <w:lang w:val="en-US"/>
        </w:rPr>
        <w:t xml:space="preserve">limiter le Parlement européen à un rôle consultatif, de </w:t>
      </w:r>
      <w:r w:rsidRPr="00723F78">
        <w:rPr>
          <w:b/>
        </w:rPr>
        <w:t xml:space="preserve">doter </w:t>
      </w:r>
      <w:r w:rsidRPr="00723F78">
        <w:rPr>
          <w:b/>
          <w:lang w:val="en-US"/>
        </w:rPr>
        <w:t xml:space="preserve">le mécanisme d'</w:t>
      </w:r>
      <w:r w:rsidRPr="00723F78">
        <w:rPr>
          <w:b/>
        </w:rPr>
        <w:t xml:space="preserve">un mandat complet comprenant </w:t>
      </w:r>
      <w:r w:rsidRPr="00723F78">
        <w:rPr>
          <w:b/>
          <w:lang w:val="en-US"/>
        </w:rPr>
        <w:t xml:space="preserve">l</w:t>
      </w:r>
      <w:r w:rsidRPr="00723F78">
        <w:rPr>
          <w:b/>
        </w:rPr>
        <w:t xml:space="preserve">'</w:t>
      </w:r>
      <w:r w:rsidRPr="00723F78">
        <w:rPr>
          <w:b/>
        </w:rPr>
        <w:t xml:space="preserve">examen de toutes les législations </w:t>
      </w:r>
      <w:r w:rsidRPr="00723F78" w:rsidR="003F6B21">
        <w:rPr>
          <w:b/>
        </w:rPr>
        <w:t xml:space="preserve">et </w:t>
      </w:r>
      <w:r w:rsidRPr="00723F78">
        <w:rPr>
          <w:b/>
        </w:rPr>
        <w:t xml:space="preserve">politiques </w:t>
      </w:r>
      <w:r w:rsidRPr="00723F78">
        <w:rPr>
          <w:b/>
        </w:rPr>
        <w:t xml:space="preserve">existantes et proposées </w:t>
      </w:r>
      <w:r w:rsidRPr="00723F78">
        <w:rPr>
          <w:b/>
          <w:lang w:val="en-US"/>
        </w:rPr>
        <w:t xml:space="preserve">et couvrant tous les droits énoncés dans la Convention, d'établir des procédures permettant à d'autres entités de l'UE de prendre note des conclusions du mécanisme, de </w:t>
      </w:r>
      <w:r w:rsidRPr="00723F78" w:rsidR="00BF1F24">
        <w:rPr>
          <w:b/>
          <w:lang w:val="en-US"/>
        </w:rPr>
        <w:t xml:space="preserve">fournir un financement spécifique et </w:t>
      </w:r>
      <w:r w:rsidRPr="00723F78">
        <w:rPr>
          <w:b/>
          <w:lang w:val="en-US"/>
        </w:rPr>
        <w:t xml:space="preserve">de clarifier le statut juridique des organisations de personnes handicapées au sein du mécanisme de suivi, leur accès à l'information et leurs modes de participation </w:t>
      </w:r>
      <w:r w:rsidRPr="00723F78">
        <w:rPr>
          <w:b/>
        </w:rPr>
        <w:t xml:space="preserve">; </w:t>
      </w:r>
    </w:p>
    <w:p w:rsidRPr="00B91C2E" w:rsidR="00BA71FC" w:rsidP="00723F78" w:rsidRDefault="00BA71FC" w14:paraId="721F963E" w14:textId="77777777">
      <w:pPr>
        <w:pStyle w:val="SingleTxtG"/>
        <w:ind w:firstLine="567"/>
        <w:rPr>
          <w:b/>
          <w:bCs/>
        </w:rPr>
      </w:pPr>
      <w:r w:rsidRPr="00723F78">
        <w:rPr>
          <w:b/>
        </w:rPr>
        <w:tab/>
      </w:r>
      <w:r w:rsidRPr="00723F78">
        <w:rPr>
          <w:b/>
        </w:rPr>
        <w:t xml:space="preserve">(</w:t>
      </w:r>
      <w:r w:rsidRPr="00723F78" w:rsidR="00BF1F24">
        <w:rPr>
          <w:b/>
        </w:rPr>
        <w:t xml:space="preserve">b</w:t>
      </w:r>
      <w:r w:rsidRPr="00723F78">
        <w:rPr>
          <w:b/>
        </w:rPr>
        <w:t xml:space="preserve">)</w:t>
      </w:r>
      <w:r w:rsidRPr="00723F78">
        <w:rPr>
          <w:b/>
        </w:rPr>
        <w:tab/>
      </w:r>
      <w:r w:rsidRPr="00B91C2E">
        <w:rPr>
          <w:b/>
          <w:bCs/>
        </w:rPr>
        <w:t xml:space="preserve">Mettre en place un mécanisme </w:t>
      </w:r>
      <w:r w:rsidRPr="0050121C">
        <w:rPr>
          <w:b/>
          <w:bCs/>
          <w:lang w:val="en-US"/>
        </w:rPr>
        <w:t xml:space="preserve">de </w:t>
      </w:r>
      <w:r>
        <w:rPr>
          <w:b/>
          <w:bCs/>
          <w:lang w:val="en-US"/>
        </w:rPr>
        <w:t xml:space="preserve">mise en œuvre des </w:t>
      </w:r>
      <w:r w:rsidRPr="00B91C2E">
        <w:rPr>
          <w:b/>
          <w:bCs/>
        </w:rPr>
        <w:t xml:space="preserve">recommandations du Médiateur européen</w:t>
      </w:r>
      <w:r>
        <w:rPr>
          <w:b/>
          <w:bCs/>
        </w:rPr>
        <w:t xml:space="preserve">.</w:t>
      </w:r>
    </w:p>
    <w:p w:rsidRPr="00CD38A8" w:rsidR="00220997" w:rsidP="00ED7AE0" w:rsidRDefault="00ED7AE0" w14:paraId="7E81D026" w14:textId="677029FE">
      <w:pPr>
        <w:pStyle w:val="H1G"/>
        <w:rPr>
          <w:sz w:val="28"/>
          <w:lang w:eastAsia="zh-CN"/>
        </w:rPr>
      </w:pPr>
      <w:r>
        <w:rPr>
          <w:lang w:eastAsia="zh-CN"/>
        </w:rPr>
        <w:tab/>
      </w:r>
      <w:r w:rsidR="00220997">
        <w:rPr>
          <w:lang w:eastAsia="zh-CN"/>
        </w:rPr>
        <w:t xml:space="preserve">D.</w:t>
      </w:r>
      <w:r w:rsidR="00220997">
        <w:rPr>
          <w:lang w:eastAsia="zh-CN"/>
        </w:rPr>
        <w:tab/>
      </w:r>
      <w:r w:rsidR="00220997">
        <w:rPr>
          <w:lang w:eastAsia="zh-CN"/>
        </w:rPr>
        <w:tab/>
      </w:r>
      <w:r w:rsidRPr="00AD7122" w:rsidR="00220997">
        <w:rPr>
          <w:lang w:eastAsia="zh-CN"/>
        </w:rPr>
        <w:t xml:space="preserve">Respect de la Convention par les institutions de l'Union européenne (en tant qu'administrations publiques</w:t>
      </w:r>
      <w:r w:rsidRPr="00CD38A8" w:rsidR="00220997">
        <w:rPr>
          <w:sz w:val="28"/>
          <w:lang w:eastAsia="zh-CN"/>
        </w:rPr>
        <w:t xml:space="preserve">) </w:t>
      </w:r>
    </w:p>
    <w:p w:rsidR="000B38C5" w:rsidP="000B38C5" w:rsidRDefault="00220997" w14:paraId="46C7C640" w14:textId="77777777">
      <w:pPr>
        <w:pStyle w:val="H23G"/>
        <w:rPr>
          <w:lang w:eastAsia="zh-CN"/>
        </w:rPr>
      </w:pPr>
      <w:r w:rsidRPr="00CD38A8">
        <w:rPr>
          <w:sz w:val="28"/>
          <w:lang w:eastAsia="zh-CN"/>
        </w:rPr>
        <w:tab/>
      </w:r>
      <w:r w:rsidRPr="00CD38A8" w:rsidR="000B38C5">
        <w:rPr>
          <w:sz w:val="28"/>
          <w:lang w:eastAsia="zh-CN"/>
        </w:rPr>
        <w:tab/>
      </w:r>
      <w:r w:rsidRPr="00AD7122" w:rsidR="000B38C5">
        <w:rPr>
          <w:lang w:eastAsia="zh-CN"/>
        </w:rPr>
        <w:t xml:space="preserve">Obligations générales (art. 1-4)</w:t>
      </w:r>
    </w:p>
    <w:p w:rsidR="000B38C5" w:rsidP="00C57F6E" w:rsidRDefault="00C57F6E" w14:paraId="790D5306" w14:textId="739CADB5">
      <w:pPr>
        <w:pStyle w:val="SingleTxtG"/>
        <w:rPr>
          <w:rFonts w:eastAsia="SimSun"/>
          <w:bCs/>
          <w:lang w:eastAsia="zh-CN"/>
        </w:rPr>
      </w:pPr>
      <w:r>
        <w:t xml:space="preserve">80. </w:t>
      </w:r>
      <w:r>
        <w:tab/>
      </w:r>
      <w:r w:rsidRPr="0018127D" w:rsidR="000B38C5">
        <w:t xml:space="preserve">Le Comité est préoccupé par le fait que </w:t>
      </w:r>
      <w:r w:rsidR="000B38C5">
        <w:t xml:space="preserve">les</w:t>
      </w:r>
      <w:r w:rsidRPr="0018127D" w:rsidR="000B38C5">
        <w:t xml:space="preserve"> employés handicapés de l'Union européenne </w:t>
      </w:r>
      <w:r w:rsidR="000B38C5">
        <w:t xml:space="preserve">et les personnes handicapées à leur charge </w:t>
      </w:r>
      <w:r w:rsidRPr="0018127D" w:rsidR="000B38C5">
        <w:t xml:space="preserve">subissent des retards dans la </w:t>
      </w:r>
      <w:r w:rsidRPr="0018127D" w:rsidR="000B38C5">
        <w:t xml:space="preserve">reconnaissance de leur statut de handicapé </w:t>
      </w:r>
      <w:r w:rsidR="000A258F">
        <w:t xml:space="preserve">par les États membres, en </w:t>
      </w:r>
      <w:r w:rsidRPr="0018127D" w:rsidR="000B38C5">
        <w:t xml:space="preserve">raison des </w:t>
      </w:r>
      <w:r w:rsidR="000B38C5">
        <w:t xml:space="preserve">exigences de </w:t>
      </w:r>
      <w:r w:rsidRPr="0018127D" w:rsidR="000B38C5">
        <w:t xml:space="preserve">réévaluation </w:t>
      </w:r>
      <w:r w:rsidRPr="00325D44" w:rsidR="000B38C5">
        <w:t xml:space="preserve">après des </w:t>
      </w:r>
      <w:r w:rsidR="000B38C5">
        <w:t xml:space="preserve">périodes</w:t>
      </w:r>
      <w:r w:rsidRPr="00325D44" w:rsidR="000B38C5">
        <w:t xml:space="preserve"> déterminées </w:t>
      </w:r>
      <w:r w:rsidR="000B38C5">
        <w:t xml:space="preserve">et de la classification des déficiences par l'employeur</w:t>
      </w:r>
      <w:r w:rsidDel="000A258F" w:rsidR="000A258F">
        <w:t xml:space="preserve">. </w:t>
      </w:r>
    </w:p>
    <w:p w:rsidR="000B38C5" w:rsidP="00C57F6E" w:rsidRDefault="00C57F6E" w14:paraId="0F36FBDA" w14:textId="52B5B668">
      <w:pPr>
        <w:pStyle w:val="SingleTxtG"/>
      </w:pPr>
      <w:r w:rsidRPr="008B673D">
        <w:t xml:space="preserve">81.</w:t>
      </w:r>
      <w:r>
        <w:rPr>
          <w:b/>
          <w:bCs/>
        </w:rPr>
        <w:tab/>
      </w:r>
      <w:r w:rsidRPr="00D46D3A" w:rsidR="000B38C5">
        <w:rPr>
          <w:b/>
          <w:bCs/>
        </w:rPr>
        <w:t xml:space="preserve">Le Comité recommande aux institutions de l'Union européenne d'</w:t>
      </w:r>
      <w:r w:rsidR="000B38C5">
        <w:rPr>
          <w:b/>
          <w:bCs/>
        </w:rPr>
        <w:t xml:space="preserve">aligner </w:t>
      </w:r>
      <w:r w:rsidR="000B38C5">
        <w:rPr>
          <w:b/>
          <w:bCs/>
        </w:rPr>
        <w:t xml:space="preserve">la notion de </w:t>
      </w:r>
      <w:r w:rsidRPr="00D46D3A" w:rsidR="000B38C5">
        <w:rPr>
          <w:b/>
          <w:bCs/>
        </w:rPr>
        <w:t xml:space="preserve">handicap sur la Convention</w:t>
      </w:r>
      <w:r w:rsidR="000B38C5">
        <w:rPr>
          <w:b/>
          <w:bCs/>
        </w:rPr>
        <w:t xml:space="preserve">, de </w:t>
      </w:r>
      <w:r w:rsidR="000A258F">
        <w:rPr>
          <w:b/>
          <w:bCs/>
        </w:rPr>
        <w:t xml:space="preserve">soutenir l'</w:t>
      </w:r>
      <w:r w:rsidRPr="00D46D3A" w:rsidR="000B38C5">
        <w:rPr>
          <w:b/>
          <w:bCs/>
        </w:rPr>
        <w:t xml:space="preserve">harmonisation </w:t>
      </w:r>
      <w:r w:rsidR="000A258F">
        <w:rPr>
          <w:b/>
          <w:bCs/>
        </w:rPr>
        <w:t xml:space="preserve">des </w:t>
      </w:r>
      <w:r w:rsidR="000A258F">
        <w:rPr>
          <w:b/>
          <w:bCs/>
        </w:rPr>
        <w:t xml:space="preserve">processus d'</w:t>
      </w:r>
      <w:r w:rsidRPr="00D46D3A" w:rsidR="000B38C5">
        <w:rPr>
          <w:b/>
          <w:bCs/>
        </w:rPr>
        <w:t xml:space="preserve">évaluation du handicap </w:t>
      </w:r>
      <w:r w:rsidR="000A258F">
        <w:rPr>
          <w:b/>
          <w:bCs/>
        </w:rPr>
        <w:t xml:space="preserve">par les États membres </w:t>
      </w:r>
      <w:r w:rsidR="000A258F">
        <w:rPr>
          <w:b/>
          <w:bCs/>
        </w:rPr>
        <w:t xml:space="preserve">afin d'</w:t>
      </w:r>
      <w:r w:rsidR="000A258F">
        <w:rPr>
          <w:b/>
          <w:bCs/>
        </w:rPr>
        <w:t xml:space="preserve">identifier </w:t>
      </w:r>
      <w:r w:rsidRPr="00D46D3A" w:rsidR="000B38C5">
        <w:rPr>
          <w:b/>
          <w:bCs/>
        </w:rPr>
        <w:t xml:space="preserve">et d'</w:t>
      </w:r>
      <w:r w:rsidR="000B38C5">
        <w:rPr>
          <w:b/>
          <w:bCs/>
        </w:rPr>
        <w:t xml:space="preserve">éliminer la discrimination à l'égard des </w:t>
      </w:r>
      <w:r w:rsidRPr="00D46D3A" w:rsidR="000B38C5">
        <w:rPr>
          <w:b/>
          <w:bCs/>
        </w:rPr>
        <w:t xml:space="preserve">employés handicapés dans l'environnement de travail</w:t>
      </w:r>
      <w:r w:rsidR="000B38C5">
        <w:rPr>
          <w:b/>
          <w:bCs/>
        </w:rPr>
        <w:t xml:space="preserve">, d'</w:t>
      </w:r>
      <w:r w:rsidRPr="00D46D3A" w:rsidR="000B38C5">
        <w:rPr>
          <w:b/>
          <w:bCs/>
        </w:rPr>
        <w:t xml:space="preserve">empêcher les </w:t>
      </w:r>
      <w:r w:rsidRPr="00D46D3A" w:rsidR="000B38C5">
        <w:rPr>
          <w:b/>
          <w:bCs/>
        </w:rPr>
        <w:t xml:space="preserve">réévaluations </w:t>
      </w:r>
      <w:r w:rsidR="000B38C5">
        <w:rPr>
          <w:b/>
          <w:bCs/>
        </w:rPr>
        <w:t xml:space="preserve">futiles </w:t>
      </w:r>
      <w:r w:rsidR="000B38C5">
        <w:rPr>
          <w:b/>
          <w:bCs/>
        </w:rPr>
        <w:t xml:space="preserve">du handicap, d'</w:t>
      </w:r>
      <w:r w:rsidR="000B38C5">
        <w:rPr>
          <w:b/>
          <w:bCs/>
        </w:rPr>
        <w:t xml:space="preserve">assurer la </w:t>
      </w:r>
      <w:r w:rsidRPr="00D46D3A" w:rsidR="000B38C5">
        <w:rPr>
          <w:b/>
          <w:bCs/>
        </w:rPr>
        <w:t xml:space="preserve">confidentialité des informations et de </w:t>
      </w:r>
      <w:r w:rsidR="000B38C5">
        <w:rPr>
          <w:b/>
          <w:bCs/>
        </w:rPr>
        <w:t xml:space="preserve">garantir le </w:t>
      </w:r>
      <w:r w:rsidRPr="00D46D3A" w:rsidR="000B38C5">
        <w:rPr>
          <w:b/>
          <w:bCs/>
        </w:rPr>
        <w:t xml:space="preserve">droit de faire appel des décisions </w:t>
      </w:r>
      <w:r w:rsidR="000B38C5">
        <w:rPr>
          <w:b/>
          <w:bCs/>
        </w:rPr>
        <w:t xml:space="preserve">relatives à la </w:t>
      </w:r>
      <w:r w:rsidRPr="00D46D3A" w:rsidR="000B38C5">
        <w:rPr>
          <w:b/>
          <w:bCs/>
        </w:rPr>
        <w:t xml:space="preserve">reconnaissance du statut de handicapé.</w:t>
      </w:r>
      <w:r w:rsidRPr="00D46D3A" w:rsidR="000B38C5">
        <w:t xml:space="preserve">  </w:t>
      </w:r>
    </w:p>
    <w:p w:rsidRPr="00375EE2" w:rsidR="000B38C5" w:rsidP="00C57F6E" w:rsidRDefault="00C57F6E" w14:paraId="4B68989C" w14:textId="52E16DEC">
      <w:pPr>
        <w:pStyle w:val="SingleTxtG"/>
        <w:rPr>
          <w:rFonts w:eastAsia="SimSun"/>
          <w:bCs/>
          <w:lang w:eastAsia="zh-CN"/>
        </w:rPr>
      </w:pPr>
      <w:r>
        <w:rPr>
          <w:rFonts w:eastAsia="SimSun"/>
          <w:bCs/>
          <w:lang w:eastAsia="zh-CN"/>
        </w:rPr>
        <w:t xml:space="preserve">82.</w:t>
      </w:r>
      <w:r>
        <w:rPr>
          <w:rFonts w:eastAsia="SimSun"/>
          <w:bCs/>
          <w:lang w:eastAsia="zh-CN"/>
        </w:rPr>
        <w:tab/>
      </w:r>
      <w:r w:rsidR="000B38C5">
        <w:rPr>
          <w:rFonts w:eastAsia="SimSun"/>
          <w:bCs/>
          <w:lang w:eastAsia="zh-CN"/>
        </w:rPr>
        <w:t xml:space="preserve">Le Comité note avec préoccupation que les </w:t>
      </w:r>
      <w:r w:rsidRPr="00375EE2" w:rsidR="000B38C5">
        <w:rPr>
          <w:rFonts w:eastAsia="SimSun"/>
          <w:bCs/>
          <w:lang w:eastAsia="zh-CN"/>
        </w:rPr>
        <w:t xml:space="preserve">institutions de l'UE </w:t>
      </w:r>
      <w:r w:rsidR="000B38C5">
        <w:rPr>
          <w:rFonts w:eastAsia="SimSun"/>
          <w:bCs/>
          <w:lang w:eastAsia="zh-CN"/>
        </w:rPr>
        <w:t xml:space="preserve">ne disposent pas d'une </w:t>
      </w:r>
      <w:r w:rsidRPr="00375EE2" w:rsidR="000B38C5">
        <w:rPr>
          <w:rFonts w:eastAsia="SimSun"/>
          <w:bCs/>
          <w:lang w:eastAsia="zh-CN"/>
        </w:rPr>
        <w:t xml:space="preserve">stratégie globale de </w:t>
      </w:r>
      <w:r w:rsidR="000B38C5">
        <w:rPr>
          <w:rFonts w:eastAsia="SimSun"/>
          <w:bCs/>
          <w:lang w:eastAsia="zh-CN"/>
        </w:rPr>
        <w:t xml:space="preserve">mise en œuvre de la Convention pour les membres du personnel handicapés, les visiteurs et les participants </w:t>
      </w:r>
      <w:r w:rsidR="000B38C5">
        <w:rPr>
          <w:rFonts w:eastAsia="SimSun"/>
          <w:bCs/>
          <w:lang w:val="en-US" w:eastAsia="zh-CN"/>
        </w:rPr>
        <w:t xml:space="preserve">handicapés </w:t>
      </w:r>
      <w:r w:rsidR="000B38C5">
        <w:rPr>
          <w:rFonts w:eastAsia="SimSun"/>
          <w:bCs/>
          <w:lang w:eastAsia="zh-CN"/>
        </w:rPr>
        <w:t xml:space="preserve">aux activités des institutions de l'UE, et que </w:t>
      </w:r>
      <w:r w:rsidR="000B38C5">
        <w:rPr>
          <w:rFonts w:eastAsia="SimSun"/>
          <w:bCs/>
          <w:lang w:val="en-US" w:eastAsia="zh-CN"/>
        </w:rPr>
        <w:t xml:space="preserve">toutes les institutions n'ont pas de </w:t>
      </w:r>
      <w:r w:rsidR="000B38C5">
        <w:rPr>
          <w:rFonts w:eastAsia="SimSun"/>
          <w:bCs/>
          <w:lang w:eastAsia="zh-CN"/>
        </w:rPr>
        <w:t xml:space="preserve">mécanismes de consultation </w:t>
      </w:r>
      <w:r w:rsidR="000B38C5">
        <w:rPr>
          <w:rFonts w:eastAsia="SimSun"/>
          <w:bCs/>
          <w:lang w:val="en-US" w:eastAsia="zh-CN"/>
        </w:rPr>
        <w:t xml:space="preserve">satisfaisants </w:t>
      </w:r>
      <w:r w:rsidR="000B38C5">
        <w:rPr>
          <w:rFonts w:eastAsia="SimSun"/>
          <w:bCs/>
          <w:lang w:eastAsia="zh-CN"/>
        </w:rPr>
        <w:t xml:space="preserve">pour les employés handicapés. </w:t>
      </w:r>
    </w:p>
    <w:p w:rsidR="000B38C5" w:rsidP="00C57F6E" w:rsidRDefault="00C57F6E" w14:paraId="06B37E47" w14:textId="7F7D4C43">
      <w:pPr>
        <w:pStyle w:val="SingleTxtG"/>
        <w:rPr>
          <w:rFonts w:eastAsia="SimSun"/>
          <w:b/>
          <w:lang w:eastAsia="zh-CN"/>
        </w:rPr>
      </w:pPr>
      <w:r w:rsidRPr="008B673D">
        <w:rPr>
          <w:rFonts w:eastAsia="SimSun"/>
          <w:bCs/>
          <w:lang w:eastAsia="zh-CN"/>
        </w:rPr>
        <w:t xml:space="preserve">83.</w:t>
      </w:r>
      <w:r>
        <w:rPr>
          <w:rFonts w:eastAsia="SimSun"/>
          <w:b/>
          <w:lang w:eastAsia="zh-CN"/>
        </w:rPr>
        <w:tab/>
      </w:r>
      <w:r w:rsidRPr="005770D7" w:rsidR="000B38C5">
        <w:rPr>
          <w:rFonts w:eastAsia="SimSun"/>
          <w:b/>
          <w:lang w:eastAsia="zh-CN"/>
        </w:rPr>
        <w:t xml:space="preserve">Le Comité recommande à l'</w:t>
      </w:r>
      <w:r w:rsidR="000B38C5">
        <w:rPr>
          <w:rFonts w:eastAsia="SimSun"/>
          <w:b/>
          <w:lang w:eastAsia="zh-CN"/>
        </w:rPr>
        <w:t xml:space="preserve">Union européenne</w:t>
      </w:r>
    </w:p>
    <w:p w:rsidRPr="000A258F" w:rsidR="000B38C5" w:rsidP="000B38C5" w:rsidRDefault="000B38C5" w14:paraId="2F0028F5" w14:textId="77777777">
      <w:pPr>
        <w:pStyle w:val="SingleTxtG"/>
        <w:ind w:firstLine="567"/>
        <w:rPr>
          <w:b/>
          <w:bCs/>
          <w:lang w:eastAsia="zh-CN"/>
        </w:rPr>
      </w:pPr>
      <w:r w:rsidRPr="000A258F">
        <w:rPr>
          <w:b/>
          <w:bCs/>
        </w:rPr>
        <w:tab/>
      </w:r>
      <w:r w:rsidRPr="000A258F">
        <w:rPr>
          <w:b/>
          <w:bCs/>
        </w:rPr>
        <w:t xml:space="preserve">(a)</w:t>
      </w:r>
      <w:r w:rsidRPr="000A258F">
        <w:rPr>
          <w:b/>
          <w:bCs/>
        </w:rPr>
        <w:tab/>
      </w:r>
      <w:r w:rsidRPr="000A258F">
        <w:rPr>
          <w:b/>
          <w:bCs/>
        </w:rPr>
        <w:t xml:space="preserve">Adopter une stratégie globale et interinstitutionnelle pour l'inclusion du handicap, y compris des </w:t>
      </w:r>
      <w:r w:rsidRPr="000A258F">
        <w:rPr>
          <w:b/>
          <w:bCs/>
          <w:lang w:eastAsia="zh-CN"/>
        </w:rPr>
        <w:t xml:space="preserve">objectifs pour le développement ultérieur du statut du personnel et de la politique </w:t>
      </w:r>
      <w:r w:rsidRPr="000A258F">
        <w:rPr>
          <w:b/>
          <w:bCs/>
          <w:lang w:val="en-US" w:eastAsia="zh-CN"/>
        </w:rPr>
        <w:t xml:space="preserve">sur la </w:t>
      </w:r>
      <w:r w:rsidRPr="000A258F">
        <w:rPr>
          <w:b/>
          <w:bCs/>
          <w:lang w:eastAsia="zh-CN"/>
        </w:rPr>
        <w:t xml:space="preserve">mise en œuvre des droits des employés handicapés </w:t>
      </w:r>
      <w:r w:rsidRPr="000A258F">
        <w:rPr>
          <w:b/>
          <w:bCs/>
          <w:lang w:val="en-US" w:eastAsia="zh-CN"/>
        </w:rPr>
        <w:t xml:space="preserve">et des </w:t>
      </w:r>
      <w:r w:rsidRPr="000A258F">
        <w:rPr>
          <w:b/>
          <w:bCs/>
          <w:lang w:eastAsia="zh-CN"/>
        </w:rPr>
        <w:t xml:space="preserve">visiteurs et participants </w:t>
      </w:r>
      <w:r w:rsidRPr="000A258F">
        <w:rPr>
          <w:b/>
          <w:bCs/>
          <w:lang w:val="en-US" w:eastAsia="zh-CN"/>
        </w:rPr>
        <w:t xml:space="preserve">handicapés </w:t>
      </w:r>
      <w:r w:rsidRPr="000A258F">
        <w:rPr>
          <w:b/>
          <w:bCs/>
          <w:lang w:eastAsia="zh-CN"/>
        </w:rPr>
        <w:t xml:space="preserve">dans les activités de </w:t>
      </w:r>
      <w:r w:rsidRPr="000A258F">
        <w:rPr>
          <w:b/>
          <w:bCs/>
          <w:lang w:val="en-US" w:eastAsia="zh-CN"/>
        </w:rPr>
        <w:t xml:space="preserve">l'UE </w:t>
      </w:r>
      <w:r w:rsidRPr="000A258F">
        <w:rPr>
          <w:b/>
          <w:bCs/>
          <w:lang w:eastAsia="zh-CN"/>
        </w:rPr>
        <w:t xml:space="preserve">;</w:t>
      </w:r>
    </w:p>
    <w:p w:rsidRPr="000A258F" w:rsidR="000B38C5" w:rsidP="000B38C5" w:rsidRDefault="000B38C5" w14:paraId="34301D91" w14:textId="4637B9C1">
      <w:pPr>
        <w:pStyle w:val="SingleTxtG"/>
        <w:ind w:firstLine="567"/>
        <w:rPr>
          <w:b/>
          <w:bCs/>
          <w:lang w:eastAsia="zh-CN"/>
        </w:rPr>
      </w:pPr>
      <w:r w:rsidRPr="000A258F">
        <w:rPr>
          <w:b/>
          <w:bCs/>
          <w:lang w:eastAsia="zh-CN"/>
        </w:rPr>
        <w:tab/>
      </w:r>
      <w:r w:rsidRPr="000A258F">
        <w:rPr>
          <w:b/>
          <w:bCs/>
          <w:lang w:eastAsia="zh-CN"/>
        </w:rPr>
        <w:t xml:space="preserve">(b)</w:t>
      </w:r>
      <w:r w:rsidRPr="000A258F">
        <w:rPr>
          <w:b/>
          <w:bCs/>
          <w:lang w:eastAsia="zh-CN"/>
        </w:rPr>
        <w:tab/>
      </w:r>
      <w:r w:rsidR="000A258F">
        <w:rPr>
          <w:b/>
          <w:bCs/>
          <w:lang w:eastAsia="zh-CN"/>
        </w:rPr>
        <w:t xml:space="preserve">Veiller à ce que toutes les entités de l'UE disposent de </w:t>
      </w:r>
      <w:r w:rsidRPr="000A258F">
        <w:rPr>
          <w:b/>
          <w:bCs/>
          <w:lang w:eastAsia="zh-CN"/>
        </w:rPr>
        <w:t xml:space="preserve">mécanismes </w:t>
      </w:r>
      <w:r w:rsidR="000A258F">
        <w:rPr>
          <w:b/>
          <w:bCs/>
          <w:lang w:eastAsia="zh-CN"/>
        </w:rPr>
        <w:t xml:space="preserve">et de normes </w:t>
      </w:r>
      <w:r w:rsidR="00523545">
        <w:rPr>
          <w:b/>
          <w:bCs/>
          <w:lang w:eastAsia="zh-CN"/>
        </w:rPr>
        <w:t xml:space="preserve">permettant de consulter étroitement et d'impliquer activement les travailleurs handicapés, par l'intermédiaire de leurs organisations représentatives</w:t>
      </w:r>
      <w:r w:rsidRPr="000A258F">
        <w:rPr>
          <w:b/>
          <w:bCs/>
          <w:lang w:val="en-US" w:eastAsia="zh-CN"/>
        </w:rPr>
        <w:t xml:space="preserve">, </w:t>
      </w:r>
      <w:r w:rsidRPr="000A258F">
        <w:rPr>
          <w:b/>
          <w:bCs/>
          <w:lang w:val="en-US" w:eastAsia="zh-CN"/>
        </w:rPr>
        <w:t xml:space="preserve">dans tous les </w:t>
      </w:r>
      <w:r w:rsidRPr="000A258F">
        <w:rPr>
          <w:b/>
          <w:bCs/>
          <w:lang w:val="en-US" w:eastAsia="zh-CN"/>
        </w:rPr>
        <w:t xml:space="preserve">processus </w:t>
      </w:r>
      <w:r w:rsidRPr="000A258F">
        <w:rPr>
          <w:b/>
          <w:bCs/>
          <w:lang w:eastAsia="zh-CN"/>
        </w:rPr>
        <w:t xml:space="preserve">législatifs et politiques </w:t>
      </w:r>
      <w:r w:rsidRPr="000A258F">
        <w:rPr>
          <w:b/>
          <w:bCs/>
          <w:lang w:eastAsia="zh-CN"/>
        </w:rPr>
        <w:t xml:space="preserve">concernant le personnel. </w:t>
      </w:r>
    </w:p>
    <w:p w:rsidR="000B38C5" w:rsidP="000B38C5" w:rsidRDefault="000B38C5" w14:paraId="34EAFFFE" w14:textId="77777777">
      <w:pPr>
        <w:pStyle w:val="H23G"/>
        <w:rPr>
          <w:lang w:eastAsia="zh-CN"/>
        </w:rPr>
      </w:pPr>
      <w:r w:rsidRPr="00CD38A8">
        <w:rPr>
          <w:lang w:eastAsia="zh-CN"/>
        </w:rPr>
        <w:tab/>
      </w:r>
      <w:r w:rsidRPr="00CD38A8">
        <w:rPr>
          <w:lang w:eastAsia="zh-CN"/>
        </w:rPr>
        <w:tab/>
      </w:r>
      <w:r w:rsidRPr="00AD7122">
        <w:rPr>
          <w:lang w:eastAsia="zh-CN"/>
        </w:rPr>
        <w:t xml:space="preserve">Égalité et non-discrimination (art. 5)</w:t>
      </w:r>
    </w:p>
    <w:p w:rsidR="000B38C5" w:rsidP="00C57F6E" w:rsidRDefault="00C57F6E" w14:paraId="366B9595" w14:textId="5569B8FC">
      <w:pPr>
        <w:pStyle w:val="SingleTxtG"/>
        <w:rPr>
          <w:rFonts w:eastAsia="SimSun"/>
          <w:bCs/>
          <w:lang w:eastAsia="zh-CN"/>
        </w:rPr>
      </w:pPr>
      <w:r>
        <w:rPr>
          <w:rFonts w:eastAsia="SimSun"/>
          <w:bCs/>
          <w:lang w:eastAsia="zh-CN"/>
        </w:rPr>
        <w:t xml:space="preserve">84.</w:t>
      </w:r>
      <w:r>
        <w:rPr>
          <w:rFonts w:eastAsia="SimSun"/>
          <w:bCs/>
          <w:lang w:eastAsia="zh-CN"/>
        </w:rPr>
        <w:tab/>
      </w:r>
      <w:r w:rsidR="000B38C5">
        <w:rPr>
          <w:rFonts w:eastAsia="SimSun"/>
          <w:bCs/>
          <w:lang w:eastAsia="zh-CN"/>
        </w:rPr>
        <w:t xml:space="preserve">Le Comité est préoccupé par le refus d'aménagements raisonnables dans certaines institutions de l'UE, en fonction de la compréhension de la Convention par le responsable hiérarchique.</w:t>
      </w:r>
    </w:p>
    <w:p w:rsidRPr="001E7A35" w:rsidR="000B38C5" w:rsidP="00C57F6E" w:rsidRDefault="00C57F6E" w14:paraId="58563498" w14:textId="79820409">
      <w:pPr>
        <w:pStyle w:val="SingleTxtG"/>
        <w:rPr>
          <w:rFonts w:eastAsia="SimSun"/>
          <w:b/>
          <w:lang w:eastAsia="zh-CN"/>
        </w:rPr>
      </w:pPr>
      <w:r w:rsidRPr="008B673D">
        <w:rPr>
          <w:rFonts w:eastAsia="SimSun"/>
          <w:bCs/>
          <w:lang w:eastAsia="zh-CN"/>
        </w:rPr>
        <w:t xml:space="preserve">85.</w:t>
      </w:r>
      <w:r>
        <w:rPr>
          <w:rFonts w:eastAsia="SimSun"/>
          <w:b/>
          <w:lang w:eastAsia="zh-CN"/>
        </w:rPr>
        <w:tab/>
      </w:r>
      <w:r w:rsidRPr="00375EE2" w:rsidR="000B38C5">
        <w:rPr>
          <w:rFonts w:eastAsia="SimSun"/>
          <w:b/>
          <w:lang w:eastAsia="zh-CN"/>
        </w:rPr>
        <w:t xml:space="preserve">Le Comité rappelle ses précédentes observations finales et recommandations (par. 79) et recommande à l'</w:t>
      </w:r>
      <w:r w:rsidR="000B38C5">
        <w:rPr>
          <w:rFonts w:eastAsia="SimSun"/>
          <w:b/>
          <w:lang w:eastAsia="zh-CN"/>
        </w:rPr>
        <w:t xml:space="preserve">Union européenne </w:t>
      </w:r>
      <w:r w:rsidRPr="00375EE2" w:rsidR="000B38C5">
        <w:rPr>
          <w:rFonts w:eastAsia="SimSun"/>
          <w:b/>
          <w:lang w:eastAsia="zh-CN"/>
        </w:rPr>
        <w:t xml:space="preserve">de </w:t>
      </w:r>
      <w:r w:rsidR="000B38C5">
        <w:rPr>
          <w:rFonts w:eastAsia="SimSun"/>
          <w:b/>
          <w:lang w:val="en-US" w:eastAsia="zh-CN"/>
        </w:rPr>
        <w:t xml:space="preserve">mettre en place </w:t>
      </w:r>
      <w:r w:rsidRPr="00375EE2" w:rsidR="000B38C5">
        <w:rPr>
          <w:rFonts w:eastAsia="SimSun"/>
          <w:b/>
          <w:lang w:eastAsia="zh-CN"/>
        </w:rPr>
        <w:t xml:space="preserve">un cadre législatif et politique applicable </w:t>
      </w:r>
      <w:r w:rsidR="000B38C5">
        <w:rPr>
          <w:rFonts w:eastAsia="SimSun"/>
          <w:b/>
          <w:lang w:val="en-US" w:eastAsia="zh-CN"/>
        </w:rPr>
        <w:t xml:space="preserve">à </w:t>
      </w:r>
      <w:r w:rsidRPr="00375EE2" w:rsidR="000B38C5">
        <w:rPr>
          <w:rFonts w:eastAsia="SimSun"/>
          <w:b/>
          <w:lang w:eastAsia="zh-CN"/>
        </w:rPr>
        <w:t xml:space="preserve">toutes les institutions de l'UE </w:t>
      </w:r>
      <w:r w:rsidRPr="00987514" w:rsidR="000B38C5">
        <w:rPr>
          <w:rFonts w:eastAsia="SimSun"/>
          <w:b/>
          <w:lang w:val="en-US" w:eastAsia="zh-CN"/>
        </w:rPr>
        <w:t xml:space="preserve">sur l'</w:t>
      </w:r>
      <w:r w:rsidRPr="00375EE2" w:rsidR="000B38C5">
        <w:rPr>
          <w:rFonts w:eastAsia="SimSun"/>
          <w:b/>
          <w:lang w:eastAsia="zh-CN"/>
        </w:rPr>
        <w:t xml:space="preserve">obligation de fournir des </w:t>
      </w:r>
      <w:r w:rsidR="000B38C5">
        <w:rPr>
          <w:rFonts w:eastAsia="SimSun"/>
          <w:b/>
          <w:lang w:eastAsia="zh-CN"/>
        </w:rPr>
        <w:t xml:space="preserve">aménagements</w:t>
      </w:r>
      <w:r w:rsidRPr="00375EE2" w:rsidR="000B38C5">
        <w:rPr>
          <w:rFonts w:eastAsia="SimSun"/>
          <w:b/>
          <w:lang w:eastAsia="zh-CN"/>
        </w:rPr>
        <w:t xml:space="preserve"> raisonnables</w:t>
      </w:r>
      <w:r w:rsidRPr="00375EE2" w:rsidR="000B38C5">
        <w:rPr>
          <w:rFonts w:eastAsia="SimSun"/>
          <w:b/>
          <w:lang w:eastAsia="zh-CN"/>
        </w:rPr>
        <w:t xml:space="preserve">, quel que soit </w:t>
      </w:r>
      <w:r w:rsidR="000B38C5">
        <w:rPr>
          <w:rFonts w:eastAsia="SimSun"/>
          <w:b/>
          <w:lang w:eastAsia="zh-CN"/>
        </w:rPr>
        <w:t xml:space="preserve">le </w:t>
      </w:r>
      <w:r w:rsidRPr="00375EE2" w:rsidR="000B38C5">
        <w:rPr>
          <w:rFonts w:eastAsia="SimSun"/>
          <w:b/>
          <w:lang w:eastAsia="zh-CN"/>
        </w:rPr>
        <w:t xml:space="preserve">type de service </w:t>
      </w:r>
      <w:r w:rsidR="000B38C5">
        <w:rPr>
          <w:rFonts w:eastAsia="SimSun"/>
          <w:b/>
          <w:lang w:eastAsia="zh-CN"/>
        </w:rPr>
        <w:t xml:space="preserve">ou le </w:t>
      </w:r>
      <w:r w:rsidRPr="00375EE2" w:rsidR="000B38C5">
        <w:rPr>
          <w:rFonts w:eastAsia="SimSun"/>
          <w:b/>
          <w:lang w:eastAsia="zh-CN"/>
        </w:rPr>
        <w:t xml:space="preserve">lieu de déploiement. </w:t>
      </w:r>
    </w:p>
    <w:p w:rsidR="000B38C5" w:rsidP="000B38C5" w:rsidRDefault="000B38C5" w14:paraId="7E2C7F49" w14:textId="77777777">
      <w:pPr>
        <w:pStyle w:val="H23G"/>
        <w:rPr>
          <w:lang w:eastAsia="zh-CN"/>
        </w:rPr>
      </w:pPr>
      <w:r w:rsidRPr="00CD38A8">
        <w:rPr>
          <w:lang w:eastAsia="zh-CN"/>
        </w:rPr>
        <w:tab/>
      </w:r>
      <w:r w:rsidRPr="00CD38A8">
        <w:rPr>
          <w:lang w:eastAsia="zh-CN"/>
        </w:rPr>
        <w:tab/>
      </w:r>
      <w:r w:rsidRPr="00AD7122">
        <w:rPr>
          <w:lang w:eastAsia="zh-CN"/>
        </w:rPr>
        <w:t xml:space="preserve">Sensibilisation (art.8)</w:t>
      </w:r>
    </w:p>
    <w:p w:rsidR="000B38C5" w:rsidP="00C57F6E" w:rsidRDefault="00C57F6E" w14:paraId="0C1C0C15" w14:textId="1312D0A2">
      <w:pPr>
        <w:pStyle w:val="SingleTxtG"/>
        <w:rPr>
          <w:rFonts w:eastAsia="SimSun"/>
          <w:bCs/>
          <w:lang w:eastAsia="zh-CN"/>
        </w:rPr>
      </w:pPr>
      <w:r>
        <w:rPr>
          <w:rFonts w:eastAsia="SimSun"/>
          <w:bCs/>
          <w:lang w:eastAsia="zh-CN"/>
        </w:rPr>
        <w:t xml:space="preserve">86.</w:t>
      </w:r>
      <w:r>
        <w:rPr>
          <w:rFonts w:eastAsia="SimSun"/>
          <w:bCs/>
          <w:lang w:eastAsia="zh-CN"/>
        </w:rPr>
        <w:tab/>
      </w:r>
      <w:r w:rsidRPr="002D18D8" w:rsidR="000B38C5">
        <w:rPr>
          <w:rFonts w:eastAsia="SimSun"/>
          <w:bCs/>
          <w:lang w:eastAsia="zh-CN"/>
        </w:rPr>
        <w:t xml:space="preserve">Le Comité est préoccupé par l'absence de sensibilisation au handicap </w:t>
      </w:r>
      <w:r w:rsidR="000B38C5">
        <w:rPr>
          <w:rFonts w:eastAsia="SimSun"/>
          <w:bCs/>
          <w:lang w:eastAsia="zh-CN"/>
        </w:rPr>
        <w:t xml:space="preserve">et de formation obligatoire pour tous les employés de l'UE</w:t>
      </w:r>
      <w:r w:rsidRPr="00D00EBE" w:rsidR="000B38C5">
        <w:t xml:space="preserve">. </w:t>
      </w:r>
    </w:p>
    <w:p w:rsidRPr="007618B6" w:rsidR="000B38C5" w:rsidP="00C57F6E" w:rsidRDefault="00C57F6E" w14:paraId="2B083F26" w14:textId="523A475B">
      <w:pPr>
        <w:pStyle w:val="SingleTxtG"/>
        <w:rPr>
          <w:b/>
        </w:rPr>
      </w:pPr>
      <w:r w:rsidRPr="008B673D">
        <w:rPr>
          <w:rFonts w:eastAsia="SimSun"/>
          <w:bCs/>
          <w:lang w:eastAsia="zh-CN"/>
        </w:rPr>
        <w:t xml:space="preserve">87.</w:t>
      </w:r>
      <w:r>
        <w:rPr>
          <w:rFonts w:eastAsia="SimSun"/>
          <w:b/>
          <w:lang w:eastAsia="zh-CN"/>
        </w:rPr>
        <w:tab/>
      </w:r>
      <w:r w:rsidRPr="00EA3FCB" w:rsidR="000B38C5">
        <w:rPr>
          <w:rFonts w:eastAsia="SimSun"/>
          <w:b/>
          <w:lang w:eastAsia="zh-CN"/>
        </w:rPr>
        <w:t xml:space="preserve">Le Comité recommande à l'</w:t>
      </w:r>
      <w:r w:rsidR="000B38C5">
        <w:rPr>
          <w:rFonts w:eastAsia="SimSun"/>
          <w:b/>
          <w:lang w:eastAsia="zh-CN"/>
        </w:rPr>
        <w:t xml:space="preserve">Union européenne </w:t>
      </w:r>
      <w:r w:rsidRPr="00EA3FCB" w:rsidR="000B38C5">
        <w:rPr>
          <w:rFonts w:eastAsia="SimSun"/>
          <w:b/>
          <w:lang w:eastAsia="zh-CN"/>
        </w:rPr>
        <w:t xml:space="preserve">de </w:t>
      </w:r>
      <w:r w:rsidRPr="00EA3FCB" w:rsidR="000B38C5">
        <w:rPr>
          <w:rFonts w:eastAsia="SimSun"/>
          <w:b/>
          <w:lang w:eastAsia="zh-CN"/>
        </w:rPr>
        <w:t xml:space="preserve">mettre en place des programmes de sensibilisation à la Convention et au modèle de handicap fondé sur les droits de l'homme </w:t>
      </w:r>
      <w:r w:rsidRPr="00EA3FCB" w:rsidR="000B38C5">
        <w:rPr>
          <w:rFonts w:eastAsia="SimSun"/>
          <w:b/>
          <w:lang w:eastAsia="zh-CN"/>
        </w:rPr>
        <w:t xml:space="preserve">(</w:t>
      </w:r>
      <w:r w:rsidRPr="00EA3FCB" w:rsidR="000B38C5">
        <w:rPr>
          <w:rFonts w:eastAsia="SimSun"/>
          <w:b/>
          <w:lang w:eastAsia="zh-CN"/>
        </w:rPr>
        <w:lastRenderedPageBreak/>
      </w:r>
      <w:r w:rsidRPr="00EA3FCB" w:rsidR="000B38C5">
        <w:rPr>
          <w:rFonts w:eastAsia="SimSun"/>
          <w:b/>
          <w:lang w:eastAsia="zh-CN"/>
        </w:rPr>
        <w:t xml:space="preserve"> ) dans toutes les institutions de l'UE</w:t>
      </w:r>
      <w:r w:rsidR="000B38C5">
        <w:rPr>
          <w:rFonts w:eastAsia="SimSun"/>
          <w:b/>
          <w:lang w:val="en-US" w:eastAsia="zh-CN"/>
        </w:rPr>
        <w:t xml:space="preserve">, et de </w:t>
      </w:r>
      <w:r w:rsidR="000B38C5">
        <w:rPr>
          <w:rFonts w:eastAsia="SimSun"/>
          <w:b/>
          <w:lang w:eastAsia="zh-CN"/>
        </w:rPr>
        <w:t xml:space="preserve">dispenser </w:t>
      </w:r>
      <w:r w:rsidRPr="00EA3FCB" w:rsidR="000B38C5">
        <w:rPr>
          <w:rFonts w:eastAsia="SimSun"/>
          <w:b/>
          <w:lang w:eastAsia="zh-CN"/>
        </w:rPr>
        <w:t xml:space="preserve">à </w:t>
      </w:r>
      <w:r w:rsidR="000B38C5">
        <w:rPr>
          <w:rFonts w:eastAsia="SimSun"/>
          <w:b/>
          <w:lang w:eastAsia="zh-CN"/>
        </w:rPr>
        <w:t xml:space="preserve">tous les </w:t>
      </w:r>
      <w:r w:rsidRPr="00EA3FCB" w:rsidR="000B38C5">
        <w:rPr>
          <w:rFonts w:eastAsia="SimSun"/>
          <w:b/>
          <w:lang w:eastAsia="zh-CN"/>
        </w:rPr>
        <w:t xml:space="preserve">employés </w:t>
      </w:r>
      <w:r w:rsidRPr="00EA3FCB" w:rsidR="000B38C5">
        <w:rPr>
          <w:rFonts w:eastAsia="SimSun"/>
          <w:b/>
          <w:lang w:eastAsia="zh-CN"/>
        </w:rPr>
        <w:t xml:space="preserve">une formation </w:t>
      </w:r>
      <w:r w:rsidRPr="00987514" w:rsidR="000B38C5">
        <w:rPr>
          <w:rFonts w:eastAsia="SimSun"/>
          <w:b/>
          <w:lang w:val="en-US" w:eastAsia="zh-CN"/>
        </w:rPr>
        <w:t xml:space="preserve">faisant intervenir des </w:t>
      </w:r>
      <w:r w:rsidRPr="00EA3FCB" w:rsidR="000B38C5">
        <w:rPr>
          <w:rFonts w:eastAsia="SimSun"/>
          <w:b/>
          <w:lang w:eastAsia="zh-CN"/>
        </w:rPr>
        <w:t xml:space="preserve">personnes handicapées en tant que formateurs ayant une expérience vécue</w:t>
      </w:r>
      <w:r w:rsidR="000B38C5">
        <w:rPr>
          <w:rFonts w:eastAsia="SimSun"/>
          <w:b/>
          <w:lang w:eastAsia="zh-CN"/>
        </w:rPr>
        <w:t xml:space="preserve">. </w:t>
      </w:r>
    </w:p>
    <w:p w:rsidR="000B38C5" w:rsidP="000B38C5" w:rsidRDefault="000B38C5" w14:paraId="766B4D26" w14:textId="77777777">
      <w:pPr>
        <w:pStyle w:val="H23G"/>
        <w:rPr>
          <w:lang w:eastAsia="zh-CN"/>
        </w:rPr>
      </w:pPr>
      <w:r w:rsidRPr="00CD38A8">
        <w:rPr>
          <w:lang w:eastAsia="zh-CN"/>
        </w:rPr>
        <w:tab/>
      </w:r>
      <w:r w:rsidRPr="00CD38A8">
        <w:rPr>
          <w:lang w:eastAsia="zh-CN"/>
        </w:rPr>
        <w:tab/>
      </w:r>
      <w:r w:rsidRPr="00AD7122">
        <w:rPr>
          <w:lang w:eastAsia="zh-CN"/>
        </w:rPr>
        <w:t xml:space="preserve">Accessibilité (art. 9)</w:t>
      </w:r>
    </w:p>
    <w:p w:rsidR="000B38C5" w:rsidP="00C57F6E" w:rsidRDefault="00C57F6E" w14:paraId="0D7B9B6D" w14:textId="055B25DA">
      <w:pPr>
        <w:pStyle w:val="SingleTxtG"/>
        <w:rPr>
          <w:rFonts w:eastAsia="SimSun"/>
          <w:bCs/>
          <w:lang w:eastAsia="zh-CN"/>
        </w:rPr>
      </w:pPr>
      <w:r>
        <w:rPr>
          <w:rFonts w:eastAsia="SimSun"/>
          <w:bCs/>
          <w:lang w:eastAsia="zh-CN"/>
        </w:rPr>
        <w:t xml:space="preserve">88.</w:t>
      </w:r>
      <w:r>
        <w:rPr>
          <w:rFonts w:eastAsia="SimSun"/>
          <w:bCs/>
          <w:lang w:eastAsia="zh-CN"/>
        </w:rPr>
        <w:tab/>
      </w:r>
      <w:r w:rsidR="000B38C5">
        <w:rPr>
          <w:rFonts w:eastAsia="SimSun"/>
          <w:bCs/>
          <w:lang w:eastAsia="zh-CN"/>
        </w:rPr>
        <w:t xml:space="preserve">Le Comité est préoccupé </w:t>
      </w:r>
      <w:r w:rsidR="000B38C5">
        <w:rPr>
          <w:rFonts w:eastAsia="SimSun"/>
          <w:bCs/>
          <w:lang w:eastAsia="zh-CN"/>
        </w:rPr>
        <w:t xml:space="preserve">par l'absence de normes d'accessibilité dans les institutions de l'UE, par les obstacles que rencontrent les employés handicapés pour accéder aux informations et aux outils numériques, et par l'omission de l'accessibilité dans certaines procédures de passation de marchés, ou son inclusion en tant que simple exigence non fonctionnelle</w:t>
      </w:r>
      <w:r w:rsidRPr="00AF4AB5" w:rsidR="000B38C5">
        <w:t xml:space="preserve">. </w:t>
      </w:r>
    </w:p>
    <w:p w:rsidRPr="009F4071" w:rsidR="000B38C5" w:rsidP="00C57F6E" w:rsidRDefault="00C57F6E" w14:paraId="5A06585F" w14:textId="6111F3E8">
      <w:pPr>
        <w:pStyle w:val="SingleTxtG"/>
        <w:rPr>
          <w:rFonts w:eastAsia="SimSun"/>
          <w:b/>
          <w:lang w:eastAsia="zh-CN"/>
        </w:rPr>
      </w:pPr>
      <w:r w:rsidRPr="008B673D">
        <w:rPr>
          <w:rFonts w:eastAsia="SimSun"/>
          <w:bCs/>
          <w:lang w:eastAsia="zh-CN"/>
        </w:rPr>
        <w:t xml:space="preserve">89.</w:t>
      </w:r>
      <w:r>
        <w:rPr>
          <w:rFonts w:eastAsia="SimSun"/>
          <w:b/>
          <w:lang w:eastAsia="zh-CN"/>
        </w:rPr>
        <w:tab/>
      </w:r>
      <w:r w:rsidRPr="002A1D95" w:rsidR="000B38C5">
        <w:rPr>
          <w:rFonts w:eastAsia="SimSun"/>
          <w:b/>
          <w:lang w:eastAsia="zh-CN"/>
        </w:rPr>
        <w:t xml:space="preserve">Le Comité recommande à l'</w:t>
      </w:r>
      <w:r w:rsidR="000B38C5">
        <w:rPr>
          <w:rFonts w:eastAsia="SimSun"/>
          <w:b/>
          <w:lang w:eastAsia="zh-CN"/>
        </w:rPr>
        <w:t xml:space="preserve">Union européenne d'adopter des </w:t>
      </w:r>
      <w:r w:rsidRPr="002A1D95" w:rsidR="000B38C5">
        <w:rPr>
          <w:rFonts w:eastAsia="SimSun"/>
          <w:b/>
          <w:lang w:eastAsia="zh-CN"/>
        </w:rPr>
        <w:t xml:space="preserve">normes d'accessibilité dans toutes les institutions de l'Union européenne</w:t>
      </w:r>
      <w:r w:rsidR="000B38C5">
        <w:rPr>
          <w:rFonts w:eastAsia="SimSun"/>
          <w:b/>
          <w:lang w:eastAsia="zh-CN"/>
        </w:rPr>
        <w:t xml:space="preserve">, </w:t>
      </w:r>
      <w:r w:rsidR="000B38C5">
        <w:rPr>
          <w:rFonts w:eastAsia="SimSun"/>
          <w:b/>
          <w:lang w:val="en-US" w:eastAsia="zh-CN"/>
        </w:rPr>
        <w:t xml:space="preserve">y compris dans les </w:t>
      </w:r>
      <w:r w:rsidRPr="002A1D95" w:rsidR="000B38C5">
        <w:rPr>
          <w:rFonts w:eastAsia="SimSun"/>
          <w:b/>
          <w:lang w:eastAsia="zh-CN"/>
        </w:rPr>
        <w:t xml:space="preserve">pays tiers, </w:t>
      </w:r>
      <w:r w:rsidR="000B38C5">
        <w:rPr>
          <w:rFonts w:eastAsia="SimSun"/>
          <w:b/>
          <w:lang w:eastAsia="zh-CN"/>
        </w:rPr>
        <w:t xml:space="preserve">afin de </w:t>
      </w:r>
      <w:r w:rsidR="000B38C5">
        <w:rPr>
          <w:rFonts w:eastAsia="SimSun"/>
          <w:b/>
          <w:lang w:val="en-US" w:eastAsia="zh-CN"/>
        </w:rPr>
        <w:t xml:space="preserve">garantir l'</w:t>
      </w:r>
      <w:r w:rsidRPr="002A1D95" w:rsidR="000B38C5">
        <w:rPr>
          <w:rFonts w:eastAsia="SimSun"/>
          <w:b/>
          <w:lang w:eastAsia="zh-CN"/>
        </w:rPr>
        <w:t xml:space="preserve">accessibilité des employés handicapés </w:t>
      </w:r>
      <w:r w:rsidR="000B38C5">
        <w:rPr>
          <w:rFonts w:eastAsia="SimSun"/>
          <w:b/>
          <w:lang w:val="en-US" w:eastAsia="zh-CN"/>
        </w:rPr>
        <w:t xml:space="preserve">et des </w:t>
      </w:r>
      <w:r w:rsidRPr="002A1D95" w:rsidR="000B38C5">
        <w:rPr>
          <w:rFonts w:eastAsia="SimSun"/>
          <w:b/>
          <w:lang w:eastAsia="zh-CN"/>
        </w:rPr>
        <w:t xml:space="preserve">visiteurs </w:t>
      </w:r>
      <w:r w:rsidR="000B38C5">
        <w:rPr>
          <w:rFonts w:eastAsia="SimSun"/>
          <w:b/>
          <w:lang w:eastAsia="zh-CN"/>
        </w:rPr>
        <w:t xml:space="preserve">et </w:t>
      </w:r>
      <w:r w:rsidRPr="002A1D95" w:rsidR="000B38C5">
        <w:rPr>
          <w:rFonts w:eastAsia="SimSun"/>
          <w:b/>
          <w:lang w:eastAsia="zh-CN"/>
        </w:rPr>
        <w:t xml:space="preserve">participants </w:t>
      </w:r>
      <w:r w:rsidR="000B38C5">
        <w:rPr>
          <w:rFonts w:eastAsia="SimSun"/>
          <w:b/>
          <w:lang w:val="en-US" w:eastAsia="zh-CN"/>
        </w:rPr>
        <w:t xml:space="preserve">handicapés </w:t>
      </w:r>
      <w:r w:rsidRPr="002A1D95" w:rsidR="000B38C5">
        <w:rPr>
          <w:rFonts w:eastAsia="SimSun"/>
          <w:b/>
          <w:lang w:eastAsia="zh-CN"/>
        </w:rPr>
        <w:t xml:space="preserve">aux activités </w:t>
      </w:r>
      <w:r w:rsidR="000B38C5">
        <w:rPr>
          <w:rFonts w:eastAsia="SimSun"/>
          <w:b/>
          <w:lang w:eastAsia="zh-CN"/>
        </w:rPr>
        <w:t xml:space="preserve">des </w:t>
      </w:r>
      <w:r w:rsidRPr="002A1D95" w:rsidR="000B38C5">
        <w:rPr>
          <w:rFonts w:eastAsia="SimSun"/>
          <w:b/>
          <w:lang w:eastAsia="zh-CN"/>
        </w:rPr>
        <w:t xml:space="preserve">institutions de l'Union européenne</w:t>
      </w:r>
      <w:r w:rsidR="000B38C5">
        <w:rPr>
          <w:rFonts w:eastAsia="SimSun"/>
          <w:b/>
          <w:lang w:eastAsia="zh-CN"/>
        </w:rPr>
        <w:t xml:space="preserve">, et d'</w:t>
      </w:r>
      <w:r w:rsidR="000B38C5">
        <w:rPr>
          <w:rFonts w:eastAsia="SimSun"/>
          <w:b/>
          <w:lang w:val="en-US" w:eastAsia="zh-CN"/>
        </w:rPr>
        <w:t xml:space="preserve">utiliser </w:t>
      </w:r>
      <w:r w:rsidRPr="00144AC9" w:rsidR="000B38C5">
        <w:rPr>
          <w:rFonts w:eastAsia="SimSun"/>
          <w:b/>
          <w:lang w:eastAsia="zh-CN"/>
        </w:rPr>
        <w:t xml:space="preserve">systématiquement l</w:t>
      </w:r>
      <w:r w:rsidRPr="00144AC9" w:rsidR="000B38C5">
        <w:rPr>
          <w:rFonts w:eastAsia="SimSun"/>
          <w:b/>
          <w:lang w:eastAsia="zh-CN"/>
        </w:rPr>
        <w:t xml:space="preserve">'accessibilité comme exigence fonctionnelle </w:t>
      </w:r>
      <w:r w:rsidR="000B38C5">
        <w:rPr>
          <w:rFonts w:eastAsia="SimSun"/>
          <w:b/>
          <w:lang w:val="en-US" w:eastAsia="zh-CN"/>
        </w:rPr>
        <w:t xml:space="preserve">dans les procédures de passation de marchés, y compris pour les TIC</w:t>
      </w:r>
      <w:r w:rsidR="000B38C5">
        <w:rPr>
          <w:rFonts w:eastAsia="SimSun"/>
          <w:b/>
          <w:lang w:eastAsia="zh-CN"/>
        </w:rPr>
        <w:t xml:space="preserve">.</w:t>
      </w:r>
    </w:p>
    <w:p w:rsidRPr="009F4071" w:rsidR="000B38C5" w:rsidP="000B38C5" w:rsidRDefault="000B38C5" w14:paraId="4079220F" w14:textId="77777777">
      <w:pPr>
        <w:pStyle w:val="H23G"/>
        <w:rPr>
          <w:lang w:eastAsia="zh-CN"/>
        </w:rPr>
      </w:pPr>
      <w:r>
        <w:rPr>
          <w:lang w:eastAsia="zh-CN"/>
        </w:rPr>
        <w:tab/>
      </w:r>
      <w:r>
        <w:rPr>
          <w:lang w:eastAsia="zh-CN"/>
        </w:rPr>
        <w:tab/>
      </w:r>
      <w:r>
        <w:rPr>
          <w:lang w:eastAsia="zh-CN"/>
        </w:rPr>
        <w:t xml:space="preserve">Vivre de manière indépendante et être inclus dans la communauté </w:t>
      </w:r>
      <w:r w:rsidRPr="00AD7122">
        <w:rPr>
          <w:lang w:eastAsia="zh-CN"/>
        </w:rPr>
        <w:t xml:space="preserve">(art. 19)</w:t>
      </w:r>
    </w:p>
    <w:p w:rsidR="000B38C5" w:rsidP="00C57F6E" w:rsidRDefault="00C57F6E" w14:paraId="021C625C" w14:textId="15A30E62">
      <w:pPr>
        <w:pStyle w:val="SingleTxtG"/>
        <w:rPr>
          <w:rFonts w:eastAsia="SimSun"/>
          <w:bCs/>
          <w:lang w:eastAsia="zh-CN"/>
        </w:rPr>
      </w:pPr>
      <w:r>
        <w:rPr>
          <w:rFonts w:eastAsia="SimSun"/>
          <w:bCs/>
          <w:lang w:eastAsia="zh-CN"/>
        </w:rPr>
        <w:t xml:space="preserve">90.</w:t>
      </w:r>
      <w:r>
        <w:rPr>
          <w:rFonts w:eastAsia="SimSun"/>
          <w:bCs/>
          <w:lang w:eastAsia="zh-CN"/>
        </w:rPr>
        <w:tab/>
      </w:r>
      <w:r w:rsidRPr="00AF4AB5" w:rsidR="000B38C5">
        <w:rPr>
          <w:rFonts w:eastAsia="SimSun"/>
          <w:bCs/>
          <w:lang w:eastAsia="zh-CN"/>
        </w:rPr>
        <w:t xml:space="preserve">Le Comité est préoccupé par </w:t>
      </w:r>
      <w:r w:rsidR="000B38C5">
        <w:rPr>
          <w:rFonts w:eastAsia="SimSun"/>
          <w:bCs/>
          <w:lang w:eastAsia="zh-CN"/>
        </w:rPr>
        <w:t xml:space="preserve">le </w:t>
      </w:r>
      <w:r w:rsidRPr="00AF4AB5" w:rsidR="000B38C5">
        <w:rPr>
          <w:rFonts w:eastAsia="SimSun"/>
          <w:bCs/>
          <w:lang w:eastAsia="zh-CN"/>
        </w:rPr>
        <w:t xml:space="preserve">manque de soutien </w:t>
      </w:r>
      <w:r w:rsidR="000B38C5">
        <w:rPr>
          <w:rFonts w:eastAsia="SimSun"/>
          <w:bCs/>
          <w:lang w:eastAsia="zh-CN"/>
        </w:rPr>
        <w:t xml:space="preserve">et d'</w:t>
      </w:r>
      <w:r w:rsidRPr="00AF4AB5" w:rsidR="000B38C5">
        <w:rPr>
          <w:rFonts w:eastAsia="SimSun"/>
          <w:bCs/>
          <w:lang w:eastAsia="zh-CN"/>
        </w:rPr>
        <w:t xml:space="preserve">allocations budgétaires pour les employés handicapés vivant en </w:t>
      </w:r>
      <w:r w:rsidR="000B38C5">
        <w:rPr>
          <w:rFonts w:eastAsia="SimSun"/>
          <w:bCs/>
          <w:lang w:eastAsia="zh-CN"/>
        </w:rPr>
        <w:t xml:space="preserve">dehors de leur </w:t>
      </w:r>
      <w:r w:rsidRPr="00AF4AB5" w:rsidR="000B38C5">
        <w:rPr>
          <w:rFonts w:eastAsia="SimSun"/>
          <w:bCs/>
          <w:lang w:eastAsia="zh-CN"/>
        </w:rPr>
        <w:t xml:space="preserve">pays d'origine.</w:t>
      </w:r>
    </w:p>
    <w:p w:rsidRPr="00AF4AB5" w:rsidR="000B38C5" w:rsidP="00C57F6E" w:rsidRDefault="00C57F6E" w14:paraId="15F60CC9" w14:textId="0B2BA762">
      <w:pPr>
        <w:pStyle w:val="SingleTxtG"/>
        <w:rPr>
          <w:rFonts w:eastAsia="SimSun"/>
          <w:b/>
          <w:lang w:eastAsia="zh-CN"/>
        </w:rPr>
      </w:pPr>
      <w:r w:rsidRPr="008B673D">
        <w:rPr>
          <w:rFonts w:eastAsia="SimSun"/>
          <w:bCs/>
          <w:lang w:eastAsia="zh-CN"/>
        </w:rPr>
        <w:t xml:space="preserve">91.</w:t>
      </w:r>
      <w:r>
        <w:rPr>
          <w:rFonts w:eastAsia="SimSun"/>
          <w:b/>
          <w:lang w:eastAsia="zh-CN"/>
        </w:rPr>
        <w:tab/>
      </w:r>
      <w:r w:rsidRPr="00AF4AB5" w:rsidR="000B38C5">
        <w:rPr>
          <w:rFonts w:eastAsia="SimSun"/>
          <w:b/>
          <w:lang w:eastAsia="zh-CN"/>
        </w:rPr>
        <w:t xml:space="preserve">Le Comité recommande à l'</w:t>
      </w:r>
      <w:r w:rsidR="000B38C5">
        <w:rPr>
          <w:rFonts w:eastAsia="SimSun"/>
          <w:b/>
          <w:lang w:eastAsia="zh-CN"/>
        </w:rPr>
        <w:t xml:space="preserve">Union </w:t>
      </w:r>
      <w:r w:rsidRPr="00AF4AB5" w:rsidR="000B38C5">
        <w:rPr>
          <w:rFonts w:eastAsia="SimSun"/>
          <w:b/>
          <w:lang w:eastAsia="zh-CN"/>
        </w:rPr>
        <w:t xml:space="preserve">européenne de </w:t>
      </w:r>
      <w:r w:rsidR="000B38C5">
        <w:rPr>
          <w:rFonts w:eastAsia="SimSun"/>
          <w:b/>
          <w:lang w:eastAsia="zh-CN"/>
        </w:rPr>
        <w:t xml:space="preserve">fournir un </w:t>
      </w:r>
      <w:r w:rsidRPr="00AF4AB5" w:rsidR="000B38C5">
        <w:rPr>
          <w:rFonts w:eastAsia="SimSun"/>
          <w:b/>
          <w:lang w:eastAsia="zh-CN"/>
        </w:rPr>
        <w:t xml:space="preserve">soutien aux employés handicapés vivant en </w:t>
      </w:r>
      <w:r w:rsidR="000B38C5">
        <w:rPr>
          <w:rFonts w:eastAsia="SimSun"/>
          <w:b/>
          <w:lang w:eastAsia="zh-CN"/>
        </w:rPr>
        <w:t xml:space="preserve">dehors de leur pays d'origine </w:t>
      </w:r>
      <w:r w:rsidR="000B38C5">
        <w:rPr>
          <w:rFonts w:eastAsia="SimSun"/>
          <w:b/>
          <w:lang w:eastAsia="zh-CN"/>
        </w:rPr>
        <w:t xml:space="preserve">et de reconnaître les </w:t>
      </w:r>
      <w:r w:rsidRPr="00D24C7A" w:rsidR="000B38C5">
        <w:rPr>
          <w:rFonts w:eastAsia="SimSun"/>
          <w:b/>
          <w:lang w:eastAsia="zh-CN"/>
        </w:rPr>
        <w:t xml:space="preserve">certificats nationaux de handicap </w:t>
      </w:r>
      <w:r w:rsidR="000B38C5">
        <w:rPr>
          <w:rFonts w:eastAsia="SimSun"/>
          <w:b/>
          <w:lang w:eastAsia="zh-CN"/>
        </w:rPr>
        <w:t xml:space="preserve">pour l'</w:t>
      </w:r>
      <w:r w:rsidRPr="00D24C7A" w:rsidR="000B38C5">
        <w:rPr>
          <w:rFonts w:eastAsia="SimSun"/>
          <w:b/>
          <w:lang w:eastAsia="zh-CN"/>
        </w:rPr>
        <w:t xml:space="preserve">assurance maladie </w:t>
      </w:r>
      <w:r w:rsidR="000B38C5">
        <w:rPr>
          <w:rFonts w:eastAsia="SimSun"/>
          <w:b/>
          <w:lang w:eastAsia="zh-CN"/>
        </w:rPr>
        <w:t xml:space="preserve">et </w:t>
      </w:r>
      <w:r w:rsidRPr="00D24C7A" w:rsidR="000B38C5">
        <w:rPr>
          <w:rFonts w:eastAsia="SimSun"/>
          <w:b/>
          <w:lang w:eastAsia="zh-CN"/>
        </w:rPr>
        <w:t xml:space="preserve">le soutien au titre des </w:t>
      </w:r>
      <w:r w:rsidRPr="00D24C7A" w:rsidR="000B38C5">
        <w:rPr>
          <w:rFonts w:eastAsia="SimSun"/>
          <w:b/>
          <w:lang w:val="en-US" w:eastAsia="zh-CN"/>
        </w:rPr>
        <w:t xml:space="preserve">lignes</w:t>
      </w:r>
      <w:r w:rsidRPr="00D24C7A" w:rsidR="000B38C5">
        <w:rPr>
          <w:rFonts w:eastAsia="SimSun"/>
          <w:b/>
          <w:lang w:eastAsia="zh-CN"/>
        </w:rPr>
        <w:t xml:space="preserve"> budgétaires spéciales de l'UE</w:t>
      </w:r>
      <w:r w:rsidRPr="00AF4AB5" w:rsidR="000B38C5">
        <w:rPr>
          <w:rFonts w:eastAsia="SimSun"/>
          <w:b/>
          <w:lang w:eastAsia="zh-CN"/>
        </w:rPr>
        <w:t xml:space="preserve">. </w:t>
      </w:r>
    </w:p>
    <w:p w:rsidR="000B38C5" w:rsidP="000B38C5" w:rsidRDefault="000B38C5" w14:paraId="1B5538B1" w14:textId="77777777">
      <w:pPr>
        <w:pStyle w:val="H23G"/>
        <w:rPr>
          <w:lang w:eastAsia="zh-CN"/>
        </w:rPr>
      </w:pPr>
      <w:r w:rsidRPr="00CD38A8">
        <w:rPr>
          <w:lang w:eastAsia="zh-CN"/>
        </w:rPr>
        <w:tab/>
      </w:r>
      <w:r w:rsidRPr="00CD38A8">
        <w:rPr>
          <w:lang w:eastAsia="zh-CN"/>
        </w:rPr>
        <w:tab/>
      </w:r>
      <w:r w:rsidRPr="00791F4B">
        <w:rPr>
          <w:lang w:eastAsia="zh-CN"/>
        </w:rPr>
        <w:t xml:space="preserve">Liberté d'expression et d'opinion et accès à l'information (art. 21)</w:t>
      </w:r>
    </w:p>
    <w:p w:rsidR="000B38C5" w:rsidP="00C57F6E" w:rsidRDefault="00C57F6E" w14:paraId="2F6C9539" w14:textId="19F270D2">
      <w:pPr>
        <w:pStyle w:val="SingleTxtG"/>
        <w:rPr>
          <w:rFonts w:eastAsia="SimSun"/>
          <w:bCs/>
          <w:lang w:eastAsia="zh-CN"/>
        </w:rPr>
      </w:pPr>
      <w:r>
        <w:rPr>
          <w:rFonts w:eastAsia="SimSun"/>
          <w:bCs/>
          <w:lang w:eastAsia="zh-CN"/>
        </w:rPr>
        <w:t xml:space="preserve">92.</w:t>
      </w:r>
      <w:r>
        <w:rPr>
          <w:rFonts w:eastAsia="SimSun"/>
          <w:bCs/>
          <w:lang w:eastAsia="zh-CN"/>
        </w:rPr>
        <w:tab/>
      </w:r>
      <w:r w:rsidRPr="00A062D9" w:rsidR="000B38C5">
        <w:rPr>
          <w:rFonts w:eastAsia="SimSun"/>
          <w:bCs/>
          <w:lang w:eastAsia="zh-CN"/>
        </w:rPr>
        <w:t xml:space="preserve">Le Comité est préoccupé par le fait que la directive sur l'accessibilité du Web </w:t>
      </w:r>
      <w:r w:rsidR="000B38C5">
        <w:rPr>
          <w:rFonts w:eastAsia="SimSun"/>
          <w:bCs/>
          <w:lang w:val="en-US" w:eastAsia="zh-CN"/>
        </w:rPr>
        <w:t xml:space="preserve">ne s'applique pas à l'Union européenne </w:t>
      </w:r>
      <w:r w:rsidR="000B38C5">
        <w:rPr>
          <w:rFonts w:eastAsia="SimSun"/>
          <w:bCs/>
          <w:lang w:eastAsia="zh-CN"/>
        </w:rPr>
        <w:t xml:space="preserve">et que, par conséquent, </w:t>
      </w:r>
      <w:r w:rsidRPr="00A062D9" w:rsidR="000B38C5">
        <w:rPr>
          <w:rFonts w:eastAsia="SimSun"/>
          <w:bCs/>
          <w:lang w:eastAsia="zh-CN"/>
        </w:rPr>
        <w:t xml:space="preserve">les plateformes numériques des institutions de l'UE restent largement inaccessibles aux personnes handicapées.</w:t>
      </w:r>
    </w:p>
    <w:p w:rsidR="000B38C5" w:rsidP="00C57F6E" w:rsidRDefault="00C57F6E" w14:paraId="73A58B03" w14:textId="372C4FDB">
      <w:pPr>
        <w:pStyle w:val="SingleTxtG"/>
        <w:rPr>
          <w:rFonts w:eastAsia="SimSun"/>
          <w:b/>
          <w:lang w:eastAsia="zh-CN"/>
        </w:rPr>
      </w:pPr>
      <w:r w:rsidRPr="008B673D">
        <w:rPr>
          <w:rFonts w:eastAsia="SimSun"/>
          <w:bCs/>
          <w:lang w:eastAsia="zh-CN"/>
        </w:rPr>
        <w:t xml:space="preserve">93.</w:t>
      </w:r>
      <w:r>
        <w:rPr>
          <w:rFonts w:eastAsia="SimSun"/>
          <w:b/>
          <w:lang w:eastAsia="zh-CN"/>
        </w:rPr>
        <w:tab/>
      </w:r>
      <w:r w:rsidRPr="00A062D9" w:rsidR="000B38C5">
        <w:rPr>
          <w:rFonts w:eastAsia="SimSun"/>
          <w:b/>
          <w:lang w:eastAsia="zh-CN"/>
        </w:rPr>
        <w:t xml:space="preserve">Le Comité recommande à l'Union européenne d'</w:t>
      </w:r>
      <w:r w:rsidR="000B38C5">
        <w:rPr>
          <w:rFonts w:eastAsia="SimSun"/>
          <w:b/>
          <w:lang w:eastAsia="zh-CN"/>
        </w:rPr>
        <w:t xml:space="preserve">appliquer les </w:t>
      </w:r>
      <w:r w:rsidRPr="00A062D9" w:rsidR="000B38C5">
        <w:rPr>
          <w:rFonts w:eastAsia="SimSun"/>
          <w:b/>
          <w:lang w:eastAsia="zh-CN"/>
        </w:rPr>
        <w:t xml:space="preserve">normes d'accessibilité qu</w:t>
      </w:r>
      <w:r w:rsidRPr="00987514" w:rsidR="000B38C5">
        <w:rPr>
          <w:rFonts w:eastAsia="SimSun"/>
          <w:b/>
          <w:lang w:val="en-US" w:eastAsia="zh-CN"/>
        </w:rPr>
        <w:t xml:space="preserve">'elle </w:t>
      </w:r>
      <w:r w:rsidRPr="00987514" w:rsidR="000B38C5">
        <w:rPr>
          <w:rFonts w:eastAsia="SimSun"/>
          <w:b/>
          <w:lang w:val="en-US" w:eastAsia="zh-CN"/>
        </w:rPr>
        <w:t xml:space="preserve">exige des </w:t>
      </w:r>
      <w:r w:rsidRPr="00A062D9" w:rsidR="000B38C5">
        <w:rPr>
          <w:rFonts w:eastAsia="SimSun"/>
          <w:b/>
          <w:lang w:eastAsia="zh-CN"/>
        </w:rPr>
        <w:t xml:space="preserve">États membres </w:t>
      </w:r>
      <w:r w:rsidR="000B38C5">
        <w:rPr>
          <w:rFonts w:eastAsia="SimSun"/>
          <w:b/>
          <w:lang w:eastAsia="zh-CN"/>
        </w:rPr>
        <w:t xml:space="preserve">et de </w:t>
      </w:r>
      <w:r w:rsidR="000B38C5">
        <w:rPr>
          <w:rFonts w:eastAsia="SimSun"/>
          <w:b/>
          <w:lang w:eastAsia="zh-CN"/>
        </w:rPr>
        <w:t xml:space="preserve">mettre en œuvre des </w:t>
      </w:r>
      <w:r w:rsidRPr="00A062D9" w:rsidR="000B38C5">
        <w:rPr>
          <w:rFonts w:eastAsia="SimSun"/>
          <w:b/>
          <w:lang w:eastAsia="zh-CN"/>
        </w:rPr>
        <w:t xml:space="preserve">mesures d'accessibilité complètes sur toutes les plateformes</w:t>
      </w:r>
      <w:r w:rsidR="000B38C5">
        <w:rPr>
          <w:rFonts w:eastAsia="SimSun"/>
          <w:b/>
          <w:lang w:eastAsia="zh-CN"/>
        </w:rPr>
        <w:t xml:space="preserve">, </w:t>
      </w:r>
      <w:r w:rsidRPr="00A062D9" w:rsidR="000B38C5">
        <w:rPr>
          <w:rFonts w:eastAsia="SimSun"/>
          <w:b/>
          <w:lang w:eastAsia="zh-CN"/>
        </w:rPr>
        <w:t xml:space="preserve">y compris le sous-titrage obligatoire, l'interprétation en langue des signes, la description audio de tous les flux Web et contenus audiovisuels, quel qu'en soit le sujet, </w:t>
      </w:r>
      <w:r w:rsidR="000B38C5">
        <w:rPr>
          <w:rFonts w:eastAsia="SimSun"/>
          <w:b/>
          <w:lang w:eastAsia="zh-CN"/>
        </w:rPr>
        <w:t xml:space="preserve">et des </w:t>
      </w:r>
      <w:r w:rsidRPr="00A062D9" w:rsidR="000B38C5">
        <w:rPr>
          <w:rFonts w:eastAsia="SimSun"/>
          <w:b/>
          <w:lang w:eastAsia="zh-CN"/>
        </w:rPr>
        <w:t xml:space="preserve">versions </w:t>
      </w:r>
      <w:r w:rsidRPr="00A062D9" w:rsidR="000B38C5">
        <w:rPr>
          <w:rFonts w:eastAsia="SimSun"/>
          <w:b/>
          <w:lang w:eastAsia="zh-CN"/>
        </w:rPr>
        <w:t xml:space="preserve">faciles à </w:t>
      </w:r>
      <w:r w:rsidRPr="00A062D9" w:rsidR="000B38C5">
        <w:rPr>
          <w:rFonts w:eastAsia="SimSun"/>
          <w:b/>
          <w:lang w:eastAsia="zh-CN"/>
        </w:rPr>
        <w:t xml:space="preserve">lire des informations clés.</w:t>
      </w:r>
    </w:p>
    <w:p w:rsidR="000B38C5" w:rsidP="000B38C5" w:rsidRDefault="000B38C5" w14:paraId="30D2F417" w14:textId="77777777">
      <w:pPr>
        <w:pStyle w:val="H23G"/>
        <w:rPr>
          <w:lang w:eastAsia="zh-CN"/>
        </w:rPr>
      </w:pPr>
      <w:r>
        <w:rPr>
          <w:lang w:eastAsia="zh-CN"/>
        </w:rPr>
        <w:tab/>
      </w:r>
      <w:r>
        <w:rPr>
          <w:lang w:eastAsia="zh-CN"/>
        </w:rPr>
        <w:tab/>
      </w:r>
      <w:r w:rsidRPr="00A062D9">
        <w:rPr>
          <w:lang w:eastAsia="zh-CN"/>
        </w:rPr>
        <w:t xml:space="preserve">Éducation (article 24</w:t>
      </w:r>
      <w:r>
        <w:rPr>
          <w:lang w:eastAsia="zh-CN"/>
        </w:rPr>
        <w:t xml:space="preserve">) </w:t>
      </w:r>
    </w:p>
    <w:p w:rsidR="000B38C5" w:rsidP="00C57F6E" w:rsidRDefault="00C57F6E" w14:paraId="27EAF5E4" w14:textId="732BC8C6">
      <w:pPr>
        <w:pStyle w:val="SingleTxtG"/>
        <w:rPr>
          <w:rFonts w:eastAsia="SimSun"/>
          <w:bCs/>
          <w:lang w:eastAsia="zh-CN"/>
        </w:rPr>
      </w:pPr>
      <w:r>
        <w:rPr>
          <w:rFonts w:eastAsia="SimSun"/>
          <w:bCs/>
          <w:lang w:eastAsia="zh-CN"/>
        </w:rPr>
        <w:t xml:space="preserve">94.</w:t>
      </w:r>
      <w:r>
        <w:rPr>
          <w:rFonts w:eastAsia="SimSun"/>
          <w:bCs/>
          <w:lang w:eastAsia="zh-CN"/>
        </w:rPr>
        <w:tab/>
      </w:r>
      <w:r w:rsidRPr="00A062D9" w:rsidR="000B38C5">
        <w:rPr>
          <w:rFonts w:eastAsia="SimSun"/>
          <w:bCs/>
          <w:lang w:eastAsia="zh-CN"/>
        </w:rPr>
        <w:t xml:space="preserve">Le Comité est préoccupé </w:t>
      </w:r>
      <w:r w:rsidR="000B38C5">
        <w:rPr>
          <w:rFonts w:eastAsia="SimSun"/>
          <w:bCs/>
          <w:lang w:eastAsia="zh-CN"/>
        </w:rPr>
        <w:t xml:space="preserve">par les difficultés que rencontrent les </w:t>
      </w:r>
      <w:r w:rsidR="000B38C5">
        <w:rPr>
          <w:rFonts w:eastAsia="SimSun"/>
          <w:bCs/>
          <w:lang w:eastAsia="zh-CN"/>
        </w:rPr>
        <w:t xml:space="preserve">étudiants </w:t>
      </w:r>
      <w:r w:rsidRPr="00A062D9" w:rsidR="000B38C5">
        <w:rPr>
          <w:rFonts w:eastAsia="SimSun"/>
          <w:bCs/>
          <w:lang w:eastAsia="zh-CN"/>
        </w:rPr>
        <w:t xml:space="preserve">handicapés pour accéder aux écoles européennes des institutions de l'UE</w:t>
      </w:r>
      <w:r w:rsidR="000B38C5">
        <w:rPr>
          <w:rFonts w:eastAsia="SimSun"/>
          <w:bCs/>
          <w:lang w:eastAsia="zh-CN"/>
        </w:rPr>
        <w:t xml:space="preserve">, </w:t>
      </w:r>
      <w:r w:rsidRPr="00A062D9" w:rsidR="000B38C5">
        <w:rPr>
          <w:rFonts w:eastAsia="SimSun"/>
          <w:bCs/>
          <w:lang w:eastAsia="zh-CN"/>
        </w:rPr>
        <w:t xml:space="preserve">en raison de la discrimination, de l'inaccessibilité, du </w:t>
      </w:r>
      <w:r w:rsidR="000B38C5">
        <w:rPr>
          <w:rFonts w:eastAsia="SimSun"/>
          <w:bCs/>
          <w:lang w:eastAsia="zh-CN"/>
        </w:rPr>
        <w:t xml:space="preserve">refus d'</w:t>
      </w:r>
      <w:r w:rsidRPr="00A062D9" w:rsidR="000B38C5">
        <w:rPr>
          <w:rFonts w:eastAsia="SimSun"/>
          <w:bCs/>
          <w:lang w:eastAsia="zh-CN"/>
        </w:rPr>
        <w:t xml:space="preserve">aménagements raisonnables </w:t>
      </w:r>
      <w:r w:rsidR="000B38C5">
        <w:rPr>
          <w:rFonts w:eastAsia="SimSun"/>
          <w:bCs/>
          <w:lang w:eastAsia="zh-CN"/>
        </w:rPr>
        <w:t xml:space="preserve">et de l'</w:t>
      </w:r>
      <w:r w:rsidRPr="00A062D9" w:rsidR="000B38C5">
        <w:rPr>
          <w:rFonts w:eastAsia="SimSun"/>
          <w:bCs/>
          <w:lang w:eastAsia="zh-CN"/>
        </w:rPr>
        <w:t xml:space="preserve">absence d'alternative au baccalauréat européen.</w:t>
      </w:r>
    </w:p>
    <w:p w:rsidR="000B38C5" w:rsidP="00C57F6E" w:rsidRDefault="00C57F6E" w14:paraId="7BE7F601" w14:textId="3FB12D17">
      <w:pPr>
        <w:pStyle w:val="SingleTxtG"/>
        <w:rPr>
          <w:rFonts w:eastAsia="SimSun"/>
          <w:b/>
          <w:lang w:eastAsia="zh-CN"/>
        </w:rPr>
      </w:pPr>
      <w:r w:rsidRPr="008B673D">
        <w:rPr>
          <w:rFonts w:eastAsia="SimSun"/>
          <w:bCs/>
          <w:lang w:eastAsia="zh-CN"/>
        </w:rPr>
        <w:t xml:space="preserve">95.</w:t>
      </w:r>
      <w:r>
        <w:rPr>
          <w:rFonts w:eastAsia="SimSun"/>
          <w:b/>
          <w:lang w:eastAsia="zh-CN"/>
        </w:rPr>
        <w:tab/>
      </w:r>
      <w:r w:rsidRPr="00A062D9" w:rsidR="000B38C5">
        <w:rPr>
          <w:rFonts w:eastAsia="SimSun"/>
          <w:b/>
          <w:lang w:eastAsia="zh-CN"/>
        </w:rPr>
        <w:t xml:space="preserve">Le Comité recommande à l'Union européenne de veiller à ce que toutes les écoles européennes soient accessibles </w:t>
      </w:r>
      <w:r w:rsidR="000B38C5">
        <w:rPr>
          <w:rFonts w:eastAsia="SimSun"/>
          <w:b/>
          <w:lang w:eastAsia="zh-CN"/>
        </w:rPr>
        <w:t xml:space="preserve">aux étudiants handicapés, à </w:t>
      </w:r>
      <w:r w:rsidR="000B38C5">
        <w:rPr>
          <w:rFonts w:eastAsia="SimSun"/>
          <w:b/>
          <w:lang w:eastAsia="zh-CN"/>
        </w:rPr>
        <w:t xml:space="preserve">ce qu'</w:t>
      </w:r>
      <w:r w:rsidRPr="00A062D9" w:rsidR="000B38C5">
        <w:rPr>
          <w:rFonts w:eastAsia="SimSun"/>
          <w:b/>
          <w:lang w:eastAsia="zh-CN"/>
        </w:rPr>
        <w:t xml:space="preserve">ils bénéficient de </w:t>
      </w:r>
      <w:r w:rsidR="000B38C5">
        <w:rPr>
          <w:rFonts w:eastAsia="SimSun"/>
          <w:b/>
          <w:lang w:eastAsia="zh-CN"/>
        </w:rPr>
        <w:t xml:space="preserve">tous les </w:t>
      </w:r>
      <w:r w:rsidRPr="00A062D9" w:rsidR="000B38C5">
        <w:rPr>
          <w:rFonts w:eastAsia="SimSun"/>
          <w:b/>
          <w:lang w:eastAsia="zh-CN"/>
        </w:rPr>
        <w:t xml:space="preserve">aménagements raisonnables </w:t>
      </w:r>
      <w:r w:rsidR="000B38C5">
        <w:rPr>
          <w:rFonts w:eastAsia="SimSun"/>
          <w:b/>
          <w:lang w:eastAsia="zh-CN"/>
        </w:rPr>
        <w:t xml:space="preserve">nécessaires pour prévenir la discrimination et à ce qu'elle </w:t>
      </w:r>
      <w:r w:rsidRPr="00A062D9" w:rsidR="000B38C5">
        <w:rPr>
          <w:rFonts w:eastAsia="SimSun"/>
          <w:b/>
          <w:lang w:eastAsia="zh-CN"/>
        </w:rPr>
        <w:t xml:space="preserve">crée des certificats alternatifs au </w:t>
      </w:r>
      <w:r w:rsidRPr="00A062D9" w:rsidR="000B38C5">
        <w:rPr>
          <w:rFonts w:eastAsia="SimSun"/>
          <w:b/>
          <w:lang w:eastAsia="zh-CN"/>
        </w:rPr>
        <w:t xml:space="preserve">baccalauréat </w:t>
      </w:r>
      <w:r w:rsidR="000B38C5">
        <w:rPr>
          <w:rFonts w:eastAsia="SimSun"/>
          <w:b/>
          <w:lang w:eastAsia="zh-CN"/>
        </w:rPr>
        <w:t xml:space="preserve">européen</w:t>
      </w:r>
      <w:r w:rsidR="000B38C5">
        <w:rPr>
          <w:rFonts w:eastAsia="SimSun"/>
          <w:b/>
          <w:lang w:eastAsia="zh-CN"/>
        </w:rPr>
        <w:t xml:space="preserve">.</w:t>
      </w:r>
    </w:p>
    <w:p w:rsidR="000B38C5" w:rsidP="000B38C5" w:rsidRDefault="000B38C5" w14:paraId="0CD57DD3" w14:textId="77777777">
      <w:pPr>
        <w:pStyle w:val="H23G"/>
        <w:rPr>
          <w:lang w:eastAsia="zh-CN"/>
        </w:rPr>
      </w:pPr>
      <w:r>
        <w:rPr>
          <w:lang w:eastAsia="zh-CN"/>
        </w:rPr>
        <w:tab/>
      </w:r>
      <w:r>
        <w:rPr>
          <w:lang w:eastAsia="zh-CN"/>
        </w:rPr>
        <w:tab/>
      </w:r>
      <w:r w:rsidRPr="00AD7122">
        <w:rPr>
          <w:lang w:eastAsia="zh-CN"/>
        </w:rPr>
        <w:t xml:space="preserve">Santé (art. 25)</w:t>
      </w:r>
    </w:p>
    <w:p w:rsidR="000B38C5" w:rsidP="00C57F6E" w:rsidRDefault="00C57F6E" w14:paraId="7548CC0F" w14:textId="794C1910">
      <w:pPr>
        <w:pStyle w:val="SingleTxtG"/>
        <w:rPr>
          <w:rFonts w:eastAsia="SimSun"/>
          <w:bCs/>
          <w:lang w:eastAsia="zh-CN"/>
        </w:rPr>
      </w:pPr>
      <w:r>
        <w:rPr>
          <w:rFonts w:eastAsia="SimSun"/>
          <w:bCs/>
          <w:lang w:eastAsia="zh-CN"/>
        </w:rPr>
        <w:t xml:space="preserve">96.</w:t>
      </w:r>
      <w:r>
        <w:rPr>
          <w:rFonts w:eastAsia="SimSun"/>
          <w:bCs/>
          <w:lang w:eastAsia="zh-CN"/>
        </w:rPr>
        <w:tab/>
      </w:r>
      <w:r w:rsidRPr="00C03C77" w:rsidR="000B38C5">
        <w:rPr>
          <w:rFonts w:eastAsia="SimSun"/>
          <w:bCs/>
          <w:lang w:eastAsia="zh-CN"/>
        </w:rPr>
        <w:t xml:space="preserve">Le Comité est préoccupé </w:t>
      </w:r>
      <w:r w:rsidR="000B38C5">
        <w:rPr>
          <w:rFonts w:eastAsia="SimSun"/>
          <w:bCs/>
          <w:lang w:eastAsia="zh-CN"/>
        </w:rPr>
        <w:t xml:space="preserve">par le fait que </w:t>
      </w:r>
      <w:r w:rsidRPr="00C03C77" w:rsidR="000B38C5">
        <w:rPr>
          <w:rFonts w:eastAsia="SimSun"/>
          <w:bCs/>
          <w:lang w:eastAsia="zh-CN"/>
        </w:rPr>
        <w:t xml:space="preserve">le régime commun d'assurance maladie (RCAM) de l'Union européenne </w:t>
      </w:r>
      <w:r w:rsidR="000B38C5">
        <w:rPr>
          <w:rFonts w:eastAsia="SimSun"/>
          <w:bCs/>
          <w:lang w:eastAsia="zh-CN"/>
        </w:rPr>
        <w:t xml:space="preserve">est discriminatoire sur la base du handicap, car il </w:t>
      </w:r>
      <w:r w:rsidR="000B38C5">
        <w:rPr>
          <w:rFonts w:eastAsia="SimSun"/>
          <w:bCs/>
          <w:lang w:eastAsia="zh-CN"/>
        </w:rPr>
        <w:t xml:space="preserve">n'</w:t>
      </w:r>
      <w:r w:rsidRPr="00C03C77" w:rsidR="000B38C5">
        <w:rPr>
          <w:rFonts w:eastAsia="SimSun"/>
          <w:bCs/>
          <w:lang w:eastAsia="zh-CN"/>
        </w:rPr>
        <w:t xml:space="preserve">offre </w:t>
      </w:r>
      <w:r w:rsidR="000B38C5">
        <w:rPr>
          <w:rFonts w:eastAsia="SimSun"/>
          <w:bCs/>
          <w:lang w:eastAsia="zh-CN"/>
        </w:rPr>
        <w:t xml:space="preserve">pas </w:t>
      </w:r>
      <w:r w:rsidRPr="00C03C77" w:rsidR="000B38C5">
        <w:rPr>
          <w:rFonts w:eastAsia="SimSun"/>
          <w:bCs/>
          <w:lang w:eastAsia="zh-CN"/>
        </w:rPr>
        <w:t xml:space="preserve">une couverture complète des </w:t>
      </w:r>
      <w:r w:rsidR="000B38C5">
        <w:rPr>
          <w:rFonts w:eastAsia="SimSun"/>
          <w:bCs/>
          <w:lang w:eastAsia="zh-CN"/>
        </w:rPr>
        <w:t xml:space="preserve">dépenses de </w:t>
      </w:r>
      <w:r w:rsidRPr="00C03C77" w:rsidR="000B38C5">
        <w:rPr>
          <w:rFonts w:eastAsia="SimSun"/>
          <w:bCs/>
          <w:lang w:eastAsia="zh-CN"/>
        </w:rPr>
        <w:t xml:space="preserve">santé liées au handicap</w:t>
      </w:r>
      <w:r w:rsidRPr="00C03C77" w:rsidR="000B38C5">
        <w:rPr>
          <w:rFonts w:eastAsia="SimSun"/>
          <w:bCs/>
          <w:lang w:eastAsia="zh-CN"/>
        </w:rPr>
        <w:t xml:space="preserve">, </w:t>
      </w:r>
      <w:r w:rsidR="000B38C5">
        <w:rPr>
          <w:rFonts w:eastAsia="SimSun"/>
          <w:bCs/>
          <w:lang w:eastAsia="zh-CN"/>
        </w:rPr>
        <w:t xml:space="preserve">applique des </w:t>
      </w:r>
      <w:r w:rsidRPr="00C03C77" w:rsidR="000B38C5">
        <w:rPr>
          <w:rFonts w:eastAsia="SimSun"/>
          <w:bCs/>
          <w:lang w:eastAsia="zh-CN"/>
        </w:rPr>
        <w:t xml:space="preserve">critères de "maladie grave" aux handicaps, </w:t>
      </w:r>
      <w:r w:rsidR="000B38C5">
        <w:rPr>
          <w:rFonts w:eastAsia="SimSun"/>
          <w:bCs/>
          <w:lang w:eastAsia="zh-CN"/>
        </w:rPr>
        <w:t xml:space="preserve">traite les </w:t>
      </w:r>
      <w:r w:rsidRPr="00C03C77" w:rsidR="000B38C5">
        <w:rPr>
          <w:rFonts w:eastAsia="SimSun"/>
          <w:bCs/>
          <w:lang w:eastAsia="zh-CN"/>
        </w:rPr>
        <w:t xml:space="preserve">remboursements avec des retards excessifs </w:t>
      </w:r>
      <w:r w:rsidR="000B38C5">
        <w:rPr>
          <w:rFonts w:eastAsia="SimSun"/>
          <w:bCs/>
          <w:lang w:eastAsia="zh-CN"/>
        </w:rPr>
        <w:t xml:space="preserve">et manque apparemment de personnel.</w:t>
      </w:r>
    </w:p>
    <w:p w:rsidRPr="00C03C77" w:rsidR="000B38C5" w:rsidP="00C57F6E" w:rsidRDefault="00C57F6E" w14:paraId="04C95570" w14:textId="74BE2654">
      <w:pPr>
        <w:pStyle w:val="SingleTxtG"/>
        <w:rPr>
          <w:rFonts w:eastAsia="SimSun"/>
          <w:b/>
          <w:bCs/>
          <w:lang w:eastAsia="zh-CN"/>
        </w:rPr>
      </w:pPr>
      <w:r w:rsidRPr="008B673D">
        <w:rPr>
          <w:rFonts w:eastAsia="SimSun"/>
          <w:lang w:eastAsia="zh-CN"/>
        </w:rPr>
        <w:t xml:space="preserve">97.</w:t>
      </w:r>
      <w:r>
        <w:rPr>
          <w:rFonts w:eastAsia="SimSun"/>
          <w:b/>
          <w:bCs/>
          <w:lang w:eastAsia="zh-CN"/>
        </w:rPr>
        <w:tab/>
      </w:r>
      <w:r w:rsidRPr="00C03C77" w:rsidR="000B38C5">
        <w:rPr>
          <w:rFonts w:eastAsia="SimSun"/>
          <w:b/>
          <w:bCs/>
          <w:lang w:eastAsia="zh-CN"/>
        </w:rPr>
        <w:t xml:space="preserve">Le Comité recommande à </w:t>
      </w:r>
      <w:r w:rsidR="000B38C5">
        <w:rPr>
          <w:rFonts w:eastAsia="SimSun"/>
          <w:b/>
          <w:bCs/>
          <w:lang w:eastAsia="zh-CN"/>
        </w:rPr>
        <w:t xml:space="preserve">l'Union européenne de </w:t>
      </w:r>
      <w:r w:rsidR="000B38C5">
        <w:rPr>
          <w:rFonts w:eastAsia="SimSun"/>
          <w:b/>
          <w:bCs/>
          <w:lang w:eastAsia="zh-CN"/>
        </w:rPr>
        <w:t xml:space="preserve">réviser le </w:t>
      </w:r>
      <w:r w:rsidRPr="00C03C77" w:rsidR="000B38C5">
        <w:rPr>
          <w:rFonts w:eastAsia="SimSun"/>
          <w:b/>
          <w:bCs/>
          <w:lang w:eastAsia="zh-CN"/>
        </w:rPr>
        <w:t xml:space="preserve">RCAM afin d'</w:t>
      </w:r>
      <w:r w:rsidR="000B38C5">
        <w:rPr>
          <w:rFonts w:eastAsia="SimSun"/>
          <w:b/>
          <w:bCs/>
          <w:lang w:eastAsia="zh-CN"/>
        </w:rPr>
        <w:t xml:space="preserve">assurer une couverture complète des dépenses de santé liées au handicap et leur remboursement rapide, de supprimer les critères de "maladie grave" dans l'évaluation des dépenses liées au handicap, de fournir un personnel suffisant </w:t>
      </w:r>
      <w:r w:rsidRPr="00C03C77" w:rsidR="000B38C5">
        <w:rPr>
          <w:rFonts w:eastAsia="SimSun"/>
          <w:b/>
          <w:bCs/>
          <w:lang w:eastAsia="zh-CN"/>
        </w:rPr>
        <w:t xml:space="preserve">et de mettre en œuvre les recommandations du Médiateur européen </w:t>
      </w:r>
      <w:r w:rsidR="000B38C5">
        <w:rPr>
          <w:rFonts w:eastAsia="SimSun"/>
          <w:b/>
          <w:bCs/>
          <w:lang w:eastAsia="zh-CN"/>
        </w:rPr>
        <w:t xml:space="preserve">sur la </w:t>
      </w:r>
      <w:r w:rsidRPr="00C03C77" w:rsidR="000B38C5">
        <w:rPr>
          <w:rFonts w:eastAsia="SimSun"/>
          <w:b/>
          <w:bCs/>
          <w:lang w:eastAsia="zh-CN"/>
        </w:rPr>
        <w:t xml:space="preserve">formation du </w:t>
      </w:r>
      <w:r w:rsidR="000B38C5">
        <w:rPr>
          <w:rFonts w:eastAsia="SimSun"/>
          <w:b/>
          <w:bCs/>
          <w:lang w:eastAsia="zh-CN"/>
        </w:rPr>
        <w:t xml:space="preserve">personnel </w:t>
      </w:r>
      <w:r w:rsidR="000B38C5">
        <w:rPr>
          <w:rFonts w:eastAsia="SimSun"/>
          <w:b/>
          <w:bCs/>
          <w:lang w:eastAsia="zh-CN"/>
        </w:rPr>
        <w:t xml:space="preserve">et la </w:t>
      </w:r>
      <w:r w:rsidR="000B38C5">
        <w:rPr>
          <w:rFonts w:eastAsia="SimSun"/>
          <w:b/>
          <w:bCs/>
          <w:lang w:eastAsia="zh-CN"/>
        </w:rPr>
        <w:t xml:space="preserve">mise en place d'</w:t>
      </w:r>
      <w:r w:rsidRPr="00C03C77" w:rsidR="000B38C5">
        <w:rPr>
          <w:rFonts w:eastAsia="SimSun"/>
          <w:b/>
          <w:bCs/>
          <w:lang w:eastAsia="zh-CN"/>
        </w:rPr>
        <w:t xml:space="preserve">un système de protection sociale complet.</w:t>
      </w:r>
    </w:p>
    <w:p w:rsidR="000B38C5" w:rsidP="000B38C5" w:rsidRDefault="000B38C5" w14:paraId="3ADF5213" w14:textId="77777777">
      <w:pPr>
        <w:pStyle w:val="H23G"/>
        <w:rPr>
          <w:lang w:eastAsia="zh-CN"/>
        </w:rPr>
      </w:pPr>
      <w:r w:rsidRPr="00CD38A8">
        <w:rPr>
          <w:lang w:eastAsia="zh-CN"/>
        </w:rPr>
        <w:lastRenderedPageBreak/>
      </w:r>
      <w:r w:rsidRPr="00CD38A8">
        <w:rPr>
          <w:lang w:eastAsia="zh-CN"/>
        </w:rPr>
        <w:tab/>
      </w:r>
      <w:r w:rsidRPr="00CD38A8">
        <w:rPr>
          <w:lang w:eastAsia="zh-CN"/>
        </w:rPr>
        <w:tab/>
      </w:r>
      <w:r w:rsidRPr="00AD7122">
        <w:rPr>
          <w:lang w:eastAsia="zh-CN"/>
        </w:rPr>
        <w:t xml:space="preserve">Travail et emploi (art. 27)</w:t>
      </w:r>
    </w:p>
    <w:p w:rsidRPr="00293C91" w:rsidR="000B38C5" w:rsidP="00C57F6E" w:rsidRDefault="00C57F6E" w14:paraId="245C7912" w14:textId="3054D6D3">
      <w:pPr>
        <w:pStyle w:val="SingleTxtG"/>
        <w:rPr>
          <w:rFonts w:eastAsia="SimSun"/>
          <w:bCs/>
          <w:lang w:eastAsia="zh-CN"/>
        </w:rPr>
      </w:pPr>
      <w:r>
        <w:rPr>
          <w:rFonts w:eastAsia="SimSun"/>
          <w:bCs/>
          <w:lang w:eastAsia="zh-CN"/>
        </w:rPr>
        <w:t xml:space="preserve">98.</w:t>
      </w:r>
      <w:r>
        <w:rPr>
          <w:rFonts w:eastAsia="SimSun"/>
          <w:bCs/>
          <w:lang w:eastAsia="zh-CN"/>
        </w:rPr>
        <w:tab/>
      </w:r>
      <w:r w:rsidRPr="00293C91" w:rsidR="000B38C5">
        <w:rPr>
          <w:rFonts w:eastAsia="SimSun"/>
          <w:bCs/>
          <w:lang w:eastAsia="zh-CN"/>
        </w:rPr>
        <w:t xml:space="preserve">Le Comité est préoccupé </w:t>
      </w:r>
      <w:r w:rsidR="000B38C5">
        <w:rPr>
          <w:rFonts w:eastAsia="SimSun"/>
          <w:bCs/>
          <w:lang w:eastAsia="zh-CN"/>
        </w:rPr>
        <w:t xml:space="preserve">par le </w:t>
      </w:r>
      <w:r w:rsidR="00A66EB3">
        <w:rPr>
          <w:rFonts w:eastAsia="SimSun"/>
          <w:bCs/>
          <w:lang w:eastAsia="zh-CN"/>
        </w:rPr>
        <w:t xml:space="preserve">manque de données sur le nombre de personnes handicapées </w:t>
      </w:r>
      <w:r w:rsidR="000B38C5">
        <w:rPr>
          <w:rFonts w:eastAsia="SimSun"/>
          <w:bCs/>
          <w:lang w:eastAsia="zh-CN"/>
        </w:rPr>
        <w:t xml:space="preserve">employées par l'Union européenne, par </w:t>
      </w:r>
      <w:r w:rsidRPr="00293C91" w:rsidR="000B38C5">
        <w:rPr>
          <w:rFonts w:eastAsia="SimSun"/>
          <w:bCs/>
          <w:lang w:eastAsia="zh-CN"/>
        </w:rPr>
        <w:t xml:space="preserve">le fait que </w:t>
      </w:r>
      <w:r w:rsidR="000B38C5">
        <w:rPr>
          <w:rFonts w:eastAsia="SimSun"/>
          <w:bCs/>
          <w:lang w:eastAsia="zh-CN"/>
        </w:rPr>
        <w:t xml:space="preserve">les aménagements raisonnables ne sont pas transférables </w:t>
      </w:r>
      <w:r w:rsidR="000B38C5">
        <w:rPr>
          <w:rFonts w:eastAsia="SimSun"/>
          <w:bCs/>
          <w:lang w:eastAsia="zh-CN"/>
        </w:rPr>
        <w:t xml:space="preserve">et </w:t>
      </w:r>
      <w:r w:rsidR="000B38C5">
        <w:rPr>
          <w:rFonts w:eastAsia="SimSun"/>
          <w:bCs/>
          <w:lang w:eastAsia="zh-CN"/>
        </w:rPr>
        <w:t xml:space="preserve">par l'utilisation de procédures de réévaluation inutilement complexes. </w:t>
      </w:r>
    </w:p>
    <w:p w:rsidRPr="00E0484C" w:rsidR="000B38C5" w:rsidP="00C57F6E" w:rsidRDefault="00C57F6E" w14:paraId="0A9D7D09" w14:textId="1C8CEBEF">
      <w:pPr>
        <w:pStyle w:val="SingleTxtG"/>
        <w:rPr>
          <w:rFonts w:eastAsia="SimSun"/>
          <w:b/>
          <w:lang w:eastAsia="zh-CN"/>
        </w:rPr>
      </w:pPr>
      <w:r w:rsidRPr="008B673D">
        <w:rPr>
          <w:rFonts w:eastAsia="SimSun"/>
          <w:bCs/>
          <w:lang w:eastAsia="zh-CN"/>
        </w:rPr>
        <w:t xml:space="preserve">99.</w:t>
      </w:r>
      <w:r>
        <w:rPr>
          <w:rFonts w:eastAsia="SimSun"/>
          <w:b/>
          <w:lang w:eastAsia="zh-CN"/>
        </w:rPr>
        <w:tab/>
      </w:r>
      <w:r w:rsidRPr="00E0484C" w:rsidR="000B38C5">
        <w:rPr>
          <w:rFonts w:eastAsia="SimSun"/>
          <w:b/>
          <w:lang w:eastAsia="zh-CN"/>
        </w:rPr>
        <w:t xml:space="preserve">Le Comité recommande à l'Union européenne de </w:t>
      </w:r>
      <w:r w:rsidR="00A66EB3">
        <w:rPr>
          <w:rFonts w:eastAsia="SimSun"/>
          <w:b/>
          <w:lang w:eastAsia="zh-CN"/>
        </w:rPr>
        <w:t xml:space="preserve">recueillir des données sur le nombre de personnes handicapées qu'elle emploie, dans le strict respect des règles et principes de protection des données, de </w:t>
      </w:r>
      <w:r w:rsidR="000B38C5">
        <w:rPr>
          <w:rFonts w:eastAsia="SimSun"/>
          <w:b/>
          <w:lang w:eastAsia="zh-CN"/>
        </w:rPr>
        <w:t xml:space="preserve">veiller à ce </w:t>
      </w:r>
      <w:r w:rsidR="00A66EB3">
        <w:rPr>
          <w:rFonts w:eastAsia="SimSun"/>
          <w:b/>
          <w:lang w:eastAsia="zh-CN"/>
        </w:rPr>
        <w:t xml:space="preserve">que </w:t>
      </w:r>
      <w:r w:rsidRPr="00E0484C" w:rsidR="000B38C5">
        <w:rPr>
          <w:rFonts w:eastAsia="SimSun"/>
          <w:b/>
          <w:lang w:eastAsia="zh-CN"/>
        </w:rPr>
        <w:t xml:space="preserve">les aménagements raisonnables </w:t>
      </w:r>
      <w:r w:rsidR="000B38C5">
        <w:rPr>
          <w:rFonts w:eastAsia="SimSun"/>
          <w:b/>
          <w:lang w:eastAsia="zh-CN"/>
        </w:rPr>
        <w:t xml:space="preserve">soient transférables et d'éliminer les procédures de réévaluation inutilement complexes.</w:t>
      </w:r>
    </w:p>
    <w:p w:rsidR="000B38C5" w:rsidP="000B38C5" w:rsidRDefault="000B38C5" w14:paraId="56D27F69" w14:textId="77777777">
      <w:pPr>
        <w:pStyle w:val="H23G"/>
        <w:rPr>
          <w:lang w:eastAsia="zh-CN"/>
        </w:rPr>
      </w:pPr>
      <w:r>
        <w:rPr>
          <w:lang w:eastAsia="zh-CN"/>
        </w:rPr>
        <w:tab/>
      </w:r>
      <w:r>
        <w:rPr>
          <w:lang w:eastAsia="zh-CN"/>
        </w:rPr>
        <w:tab/>
      </w:r>
      <w:r w:rsidRPr="00A062D9">
        <w:rPr>
          <w:lang w:eastAsia="zh-CN"/>
        </w:rPr>
        <w:t xml:space="preserve">Participation à la vie politique et publique (art. 29)</w:t>
      </w:r>
    </w:p>
    <w:p w:rsidR="000B38C5" w:rsidP="00C57F6E" w:rsidRDefault="00C57F6E" w14:paraId="646EC160" w14:textId="5C8F3128">
      <w:pPr>
        <w:pStyle w:val="SingleTxtG"/>
        <w:rPr>
          <w:rFonts w:eastAsia="SimSun"/>
          <w:bCs/>
          <w:lang w:eastAsia="zh-CN"/>
        </w:rPr>
      </w:pPr>
      <w:r>
        <w:rPr>
          <w:rFonts w:eastAsia="SimSun"/>
          <w:bCs/>
          <w:lang w:eastAsia="zh-CN"/>
        </w:rPr>
        <w:t xml:space="preserve">100.</w:t>
      </w:r>
      <w:r>
        <w:rPr>
          <w:rFonts w:eastAsia="SimSun"/>
          <w:bCs/>
          <w:lang w:eastAsia="zh-CN"/>
        </w:rPr>
        <w:tab/>
      </w:r>
      <w:r w:rsidRPr="00A062D9" w:rsidR="000B38C5">
        <w:rPr>
          <w:rFonts w:eastAsia="SimSun"/>
          <w:bCs/>
          <w:lang w:eastAsia="zh-CN"/>
        </w:rPr>
        <w:t xml:space="preserve">Le Comité est préoccupé par le fait que </w:t>
      </w:r>
      <w:r w:rsidRPr="00A062D9" w:rsidR="000B38C5">
        <w:rPr>
          <w:rFonts w:eastAsia="SimSun"/>
          <w:bCs/>
          <w:lang w:eastAsia="zh-CN"/>
        </w:rPr>
        <w:t xml:space="preserve">les </w:t>
      </w:r>
      <w:r w:rsidR="000B38C5">
        <w:rPr>
          <w:rFonts w:eastAsia="SimSun"/>
          <w:bCs/>
          <w:lang w:eastAsia="zh-CN"/>
        </w:rPr>
        <w:t xml:space="preserve">outils de </w:t>
      </w:r>
      <w:r w:rsidRPr="00A062D9" w:rsidR="000B38C5">
        <w:rPr>
          <w:rFonts w:eastAsia="SimSun"/>
          <w:bCs/>
          <w:lang w:eastAsia="zh-CN"/>
        </w:rPr>
        <w:t xml:space="preserve">participation à </w:t>
      </w:r>
      <w:r w:rsidR="000B38C5">
        <w:rPr>
          <w:rFonts w:eastAsia="SimSun"/>
          <w:bCs/>
          <w:lang w:eastAsia="zh-CN"/>
        </w:rPr>
        <w:t xml:space="preserve">l'</w:t>
      </w:r>
      <w:r w:rsidRPr="00A062D9" w:rsidR="000B38C5">
        <w:rPr>
          <w:rFonts w:eastAsia="SimSun"/>
          <w:bCs/>
          <w:lang w:eastAsia="zh-CN"/>
        </w:rPr>
        <w:t xml:space="preserve">Union européenne restent </w:t>
      </w:r>
      <w:r w:rsidR="000B38C5">
        <w:rPr>
          <w:rFonts w:eastAsia="SimSun"/>
          <w:bCs/>
          <w:lang w:eastAsia="zh-CN"/>
        </w:rPr>
        <w:t xml:space="preserve">largement </w:t>
      </w:r>
      <w:r w:rsidRPr="00A062D9" w:rsidR="000B38C5">
        <w:rPr>
          <w:rFonts w:eastAsia="SimSun"/>
          <w:bCs/>
          <w:lang w:eastAsia="zh-CN"/>
        </w:rPr>
        <w:t xml:space="preserve">inaccessibles aux personnes handicapées.</w:t>
      </w:r>
    </w:p>
    <w:p w:rsidR="000B38C5" w:rsidP="00C57F6E" w:rsidRDefault="00C57F6E" w14:paraId="07FD5EBD" w14:textId="5CF68B61">
      <w:pPr>
        <w:pStyle w:val="SingleTxtG"/>
        <w:rPr>
          <w:rFonts w:eastAsia="SimSun"/>
          <w:bCs/>
          <w:lang w:eastAsia="zh-CN"/>
        </w:rPr>
      </w:pPr>
      <w:r w:rsidRPr="008B673D">
        <w:rPr>
          <w:rFonts w:eastAsia="SimSun"/>
          <w:bCs/>
          <w:lang w:eastAsia="zh-CN"/>
        </w:rPr>
        <w:t xml:space="preserve">101</w:t>
      </w:r>
      <w:r>
        <w:rPr>
          <w:rFonts w:eastAsia="SimSun"/>
          <w:b/>
          <w:lang w:eastAsia="zh-CN"/>
        </w:rPr>
        <w:t xml:space="preserve">.</w:t>
      </w:r>
      <w:r>
        <w:rPr>
          <w:rFonts w:eastAsia="SimSun"/>
          <w:b/>
          <w:lang w:eastAsia="zh-CN"/>
        </w:rPr>
        <w:tab/>
      </w:r>
      <w:r w:rsidRPr="00987514" w:rsidR="000B38C5">
        <w:rPr>
          <w:rFonts w:eastAsia="SimSun"/>
          <w:b/>
          <w:lang w:eastAsia="zh-CN"/>
        </w:rPr>
        <w:t xml:space="preserve">Le Comité recommande à l'Union européenne de veiller à ce que tous ses </w:t>
      </w:r>
      <w:r w:rsidR="000B38C5">
        <w:rPr>
          <w:rFonts w:eastAsia="SimSun"/>
          <w:b/>
          <w:lang w:eastAsia="zh-CN"/>
        </w:rPr>
        <w:t xml:space="preserve">outils et plates-formes de </w:t>
      </w:r>
      <w:r w:rsidRPr="008F5210" w:rsidR="000B38C5">
        <w:rPr>
          <w:rFonts w:eastAsia="SimSun"/>
          <w:b/>
          <w:lang w:eastAsia="zh-CN"/>
        </w:rPr>
        <w:t xml:space="preserve">participation </w:t>
      </w:r>
      <w:r w:rsidR="000B38C5">
        <w:rPr>
          <w:rFonts w:eastAsia="SimSun"/>
          <w:b/>
          <w:lang w:eastAsia="zh-CN"/>
        </w:rPr>
        <w:t xml:space="preserve">publique</w:t>
      </w:r>
      <w:r w:rsidRPr="008F5210" w:rsidR="000B38C5">
        <w:rPr>
          <w:rFonts w:eastAsia="SimSun"/>
          <w:b/>
          <w:lang w:eastAsia="zh-CN"/>
        </w:rPr>
        <w:t xml:space="preserve">, </w:t>
      </w:r>
      <w:r w:rsidRPr="00D24C7A" w:rsidR="000B38C5">
        <w:rPr>
          <w:rFonts w:eastAsia="SimSun"/>
          <w:b/>
          <w:lang w:eastAsia="zh-CN"/>
        </w:rPr>
        <w:t xml:space="preserve">y compris le portail des pétitions du Parlement européen et la plate-forme de la Conférence sur l'avenir de l'Europe, soient </w:t>
      </w:r>
      <w:r w:rsidRPr="00987514" w:rsidR="000B38C5">
        <w:rPr>
          <w:rFonts w:eastAsia="SimSun"/>
          <w:b/>
          <w:lang w:eastAsia="zh-CN"/>
        </w:rPr>
        <w:t xml:space="preserve">conformes aux normes d'accessibilité. </w:t>
      </w:r>
    </w:p>
    <w:p w:rsidR="000B38C5" w:rsidP="000B38C5" w:rsidRDefault="000B38C5" w14:paraId="1E282A7D" w14:textId="77777777">
      <w:pPr>
        <w:pStyle w:val="H23G"/>
        <w:rPr>
          <w:lang w:eastAsia="zh-CN"/>
        </w:rPr>
      </w:pPr>
      <w:r>
        <w:rPr>
          <w:bCs/>
          <w:lang w:eastAsia="zh-CN"/>
        </w:rPr>
        <w:tab/>
      </w:r>
      <w:r>
        <w:rPr>
          <w:bCs/>
          <w:lang w:eastAsia="zh-CN"/>
        </w:rPr>
        <w:tab/>
      </w:r>
      <w:r w:rsidRPr="00A062D9">
        <w:rPr>
          <w:lang w:eastAsia="zh-CN"/>
        </w:rPr>
        <w:t xml:space="preserve">Statistiques et collecte de données (art. 31)</w:t>
      </w:r>
    </w:p>
    <w:p w:rsidR="000B38C5" w:rsidP="00C57F6E" w:rsidRDefault="00C57F6E" w14:paraId="05F2CF3C" w14:textId="66AF9948">
      <w:pPr>
        <w:pStyle w:val="SingleTxtG"/>
        <w:rPr>
          <w:rFonts w:eastAsia="SimSun"/>
          <w:bCs/>
          <w:lang w:eastAsia="zh-CN"/>
        </w:rPr>
      </w:pPr>
      <w:r>
        <w:rPr>
          <w:rFonts w:eastAsia="SimSun"/>
          <w:bCs/>
          <w:lang w:eastAsia="zh-CN"/>
        </w:rPr>
        <w:t xml:space="preserve">102.</w:t>
      </w:r>
      <w:r>
        <w:rPr>
          <w:rFonts w:eastAsia="SimSun"/>
          <w:bCs/>
          <w:lang w:eastAsia="zh-CN"/>
        </w:rPr>
        <w:tab/>
      </w:r>
      <w:r w:rsidRPr="00A062D9" w:rsidR="000B38C5">
        <w:rPr>
          <w:rFonts w:eastAsia="SimSun"/>
          <w:bCs/>
          <w:lang w:eastAsia="zh-CN"/>
        </w:rPr>
        <w:t xml:space="preserve">Le Comité est préoccupé </w:t>
      </w:r>
      <w:r w:rsidR="000B38C5">
        <w:rPr>
          <w:rFonts w:eastAsia="SimSun"/>
          <w:bCs/>
          <w:lang w:eastAsia="zh-CN"/>
        </w:rPr>
        <w:t xml:space="preserve">par </w:t>
      </w:r>
      <w:r w:rsidRPr="00A062D9" w:rsidR="000B38C5">
        <w:rPr>
          <w:rFonts w:eastAsia="SimSun"/>
          <w:bCs/>
          <w:lang w:eastAsia="zh-CN"/>
        </w:rPr>
        <w:t xml:space="preserve">le </w:t>
      </w:r>
      <w:r w:rsidR="000B38C5">
        <w:rPr>
          <w:rFonts w:eastAsia="SimSun"/>
          <w:bCs/>
          <w:lang w:eastAsia="zh-CN"/>
        </w:rPr>
        <w:t xml:space="preserve">manque d'informations </w:t>
      </w:r>
      <w:r w:rsidRPr="00A062D9" w:rsidR="000B38C5">
        <w:rPr>
          <w:rFonts w:eastAsia="SimSun"/>
          <w:bCs/>
          <w:lang w:eastAsia="zh-CN"/>
        </w:rPr>
        <w:t xml:space="preserve">sur </w:t>
      </w:r>
      <w:r w:rsidR="000B38C5">
        <w:rPr>
          <w:rFonts w:eastAsia="SimSun"/>
          <w:bCs/>
          <w:lang w:eastAsia="zh-CN"/>
        </w:rPr>
        <w:t xml:space="preserve">le nombre de personnes handicapées </w:t>
      </w:r>
      <w:r w:rsidR="000B38C5">
        <w:rPr>
          <w:rFonts w:eastAsia="SimSun"/>
          <w:bCs/>
          <w:lang w:eastAsia="zh-CN"/>
        </w:rPr>
        <w:t xml:space="preserve">travaillant </w:t>
      </w:r>
      <w:r w:rsidRPr="00A062D9" w:rsidR="000B38C5">
        <w:rPr>
          <w:rFonts w:eastAsia="SimSun"/>
          <w:bCs/>
          <w:lang w:eastAsia="zh-CN"/>
        </w:rPr>
        <w:t xml:space="preserve">dans les institutions de l'UE et par le manque d'informations publiques sur la </w:t>
      </w:r>
      <w:r w:rsidR="000B38C5">
        <w:rPr>
          <w:rFonts w:eastAsia="SimSun"/>
          <w:bCs/>
          <w:lang w:eastAsia="zh-CN"/>
        </w:rPr>
        <w:t xml:space="preserve">discrimination</w:t>
      </w:r>
      <w:r w:rsidRPr="00A062D9" w:rsidR="000B38C5">
        <w:rPr>
          <w:rFonts w:eastAsia="SimSun"/>
          <w:bCs/>
          <w:lang w:eastAsia="zh-CN"/>
        </w:rPr>
        <w:t xml:space="preserve">. </w:t>
      </w:r>
    </w:p>
    <w:p w:rsidRPr="00220997" w:rsidR="000B38C5" w:rsidP="00C57F6E" w:rsidRDefault="00C57F6E" w14:paraId="4F04F1C2" w14:textId="3C3CDECC">
      <w:pPr>
        <w:pStyle w:val="SingleTxtG"/>
        <w:rPr>
          <w:rFonts w:eastAsia="SimSun"/>
          <w:b/>
          <w:lang w:eastAsia="zh-CN"/>
        </w:rPr>
      </w:pPr>
      <w:r w:rsidRPr="008B673D">
        <w:rPr>
          <w:rFonts w:eastAsia="SimSun"/>
          <w:bCs/>
          <w:lang w:eastAsia="zh-CN"/>
        </w:rPr>
        <w:t xml:space="preserve">103.</w:t>
      </w:r>
      <w:r>
        <w:rPr>
          <w:rFonts w:eastAsia="SimSun"/>
          <w:b/>
          <w:lang w:eastAsia="zh-CN"/>
        </w:rPr>
        <w:tab/>
      </w:r>
      <w:r w:rsidRPr="00FE26C3" w:rsidR="000B38C5">
        <w:rPr>
          <w:rFonts w:eastAsia="SimSun"/>
          <w:b/>
          <w:lang w:eastAsia="zh-CN"/>
        </w:rPr>
        <w:t xml:space="preserve">Le Comité recommande à l'Union européenne de collecter et d'analyser des données sur le handicap au sein de </w:t>
      </w:r>
      <w:r w:rsidR="000B38C5">
        <w:rPr>
          <w:rFonts w:eastAsia="SimSun"/>
          <w:b/>
          <w:lang w:eastAsia="zh-CN"/>
        </w:rPr>
        <w:t xml:space="preserve">ses </w:t>
      </w:r>
      <w:r w:rsidRPr="00FE26C3" w:rsidR="000B38C5">
        <w:rPr>
          <w:rFonts w:eastAsia="SimSun"/>
          <w:b/>
          <w:lang w:eastAsia="zh-CN"/>
        </w:rPr>
        <w:t xml:space="preserve">institutions </w:t>
      </w:r>
      <w:r w:rsidR="000B38C5">
        <w:rPr>
          <w:rFonts w:eastAsia="SimSun"/>
          <w:b/>
          <w:lang w:eastAsia="zh-CN"/>
        </w:rPr>
        <w:t xml:space="preserve">afin d'</w:t>
      </w:r>
      <w:r w:rsidRPr="00FE26C3" w:rsidR="000B38C5">
        <w:rPr>
          <w:rFonts w:eastAsia="SimSun"/>
          <w:b/>
          <w:lang w:eastAsia="zh-CN"/>
        </w:rPr>
        <w:t xml:space="preserve">identifier les </w:t>
      </w:r>
      <w:r w:rsidR="000B38C5">
        <w:rPr>
          <w:rFonts w:eastAsia="SimSun"/>
          <w:b/>
          <w:lang w:eastAsia="zh-CN"/>
        </w:rPr>
        <w:t xml:space="preserve">discriminations à l'encontre des </w:t>
      </w:r>
      <w:r w:rsidR="000B38C5">
        <w:rPr>
          <w:rFonts w:eastAsia="SimSun"/>
          <w:b/>
          <w:lang w:eastAsia="zh-CN"/>
        </w:rPr>
        <w:t xml:space="preserve">personnes </w:t>
      </w:r>
      <w:r w:rsidRPr="00FE26C3" w:rsidR="000B38C5">
        <w:rPr>
          <w:rFonts w:eastAsia="SimSun"/>
          <w:b/>
          <w:lang w:eastAsia="zh-CN"/>
        </w:rPr>
        <w:t xml:space="preserve">handicapées.</w:t>
      </w:r>
    </w:p>
    <w:p w:rsidRPr="004601FA" w:rsidR="00FE26C3" w:rsidP="00180286" w:rsidRDefault="00ED7AE0" w14:paraId="47C09BDE" w14:textId="0BBB8BD4">
      <w:pPr>
        <w:pStyle w:val="H23G"/>
        <w:rPr>
          <w:lang w:eastAsia="zh-CN"/>
        </w:rPr>
      </w:pPr>
      <w:r>
        <w:rPr>
          <w:lang w:eastAsia="zh-CN"/>
        </w:rPr>
        <w:tab/>
      </w:r>
      <w:r w:rsidR="00B13233">
        <w:rPr>
          <w:lang w:eastAsia="zh-CN"/>
        </w:rPr>
        <w:t xml:space="preserve">E</w:t>
      </w:r>
      <w:r w:rsidRPr="00DA5909" w:rsidR="00B13233">
        <w:rPr>
          <w:lang w:eastAsia="zh-CN"/>
        </w:rPr>
        <w:t xml:space="preserve">.</w:t>
      </w:r>
      <w:r>
        <w:rPr>
          <w:lang w:eastAsia="zh-CN"/>
        </w:rPr>
        <w:tab/>
      </w:r>
      <w:r w:rsidRPr="00DA5909" w:rsidR="00B13233">
        <w:rPr>
          <w:lang w:eastAsia="zh-CN"/>
        </w:rPr>
        <w:t xml:space="preserve">Coopération et assistance technique (art. 37) </w:t>
      </w:r>
    </w:p>
    <w:p w:rsidRPr="00DA5909" w:rsidR="00B13233" w:rsidP="00C57F6E" w:rsidRDefault="00C57F6E" w14:paraId="05EBF0DD" w14:textId="5239B560">
      <w:pPr>
        <w:pStyle w:val="SingleTxtG"/>
        <w:rPr>
          <w:b/>
          <w:bCs/>
        </w:rPr>
      </w:pPr>
      <w:r>
        <w:t xml:space="preserve">104.</w:t>
      </w:r>
      <w:r>
        <w:tab/>
      </w:r>
      <w:r w:rsidRPr="0020489D" w:rsidR="00B13233">
        <w:t xml:space="preserve">En vertu de l'article 37 de la Convention, le Comité peut fournir des conseils techniques à l'Union européenne sur toute question adressée aux membres du Comité par l'intermédiaire du secrétariat. L'État partie peut également demander une assistance technique aux institutions spécialisées des Nations Unies ayant des bureaux dans la région</w:t>
      </w:r>
      <w:r w:rsidRPr="00DA5909" w:rsidR="00B13233">
        <w:rPr>
          <w:b/>
          <w:bCs/>
        </w:rPr>
        <w:t xml:space="preserve">. </w:t>
      </w:r>
    </w:p>
    <w:p w:rsidRPr="007E6948" w:rsidR="00B13233" w:rsidP="00ED7AE0" w:rsidRDefault="00B13233" w14:paraId="4783F15A" w14:textId="77777777">
      <w:pPr>
        <w:pStyle w:val="HChG"/>
        <w:rPr>
          <w:lang w:eastAsia="zh-CN"/>
        </w:rPr>
      </w:pPr>
      <w:r>
        <w:rPr>
          <w:lang w:eastAsia="zh-CN"/>
        </w:rPr>
        <w:tab/>
      </w:r>
      <w:r w:rsidRPr="007E6948">
        <w:rPr>
          <w:lang w:eastAsia="zh-CN"/>
        </w:rPr>
        <w:t xml:space="preserve">IV.</w:t>
      </w:r>
      <w:r w:rsidRPr="007E6948">
        <w:rPr>
          <w:lang w:eastAsia="zh-CN"/>
        </w:rPr>
        <w:tab/>
      </w:r>
      <w:r w:rsidRPr="007E6948">
        <w:rPr>
          <w:lang w:eastAsia="zh-CN"/>
        </w:rPr>
        <w:t xml:space="preserve">Suivi de la Convention </w:t>
      </w:r>
    </w:p>
    <w:p w:rsidRPr="00607D2E" w:rsidR="00B13233" w:rsidP="00ED7AE0" w:rsidRDefault="00ED7AE0" w14:paraId="2BCEE3D6" w14:textId="2852537D">
      <w:pPr>
        <w:pStyle w:val="H23G"/>
      </w:pPr>
      <w:r>
        <w:tab/>
      </w:r>
      <w:r>
        <w:tab/>
      </w:r>
      <w:r w:rsidRPr="00607D2E" w:rsidR="00B13233">
        <w:t xml:space="preserve">Diffusion de l'information</w:t>
      </w:r>
    </w:p>
    <w:p w:rsidRPr="0020489D" w:rsidR="00B13233" w:rsidP="00C57F6E" w:rsidRDefault="00C57F6E" w14:paraId="3B074FED" w14:textId="6B29151A">
      <w:pPr>
        <w:pStyle w:val="SingleTxtG"/>
        <w:rPr>
          <w:bCs/>
        </w:rPr>
      </w:pPr>
      <w:r>
        <w:rPr>
          <w:bCs/>
        </w:rPr>
        <w:t xml:space="preserve">105.</w:t>
      </w:r>
      <w:r>
        <w:rPr>
          <w:bCs/>
        </w:rPr>
        <w:tab/>
      </w:r>
      <w:r w:rsidRPr="0020489D" w:rsidR="00B13233">
        <w:rPr>
          <w:bCs/>
        </w:rPr>
        <w:t xml:space="preserve">Le Comité souligne l'importance de toutes les recommandations contenues dans les présentes observations finales. En ce qui concerne les mesures urgentes à prendre, le Comité souhaite attirer l'attention de l'Union européenne sur les recommandations contenues dans les paragraphes </w:t>
      </w:r>
      <w:r w:rsidRPr="00C40BEC" w:rsidR="005B708A">
        <w:rPr>
          <w:bCs/>
        </w:rPr>
        <w:t xml:space="preserve">27 </w:t>
      </w:r>
      <w:r w:rsidRPr="00C40BEC" w:rsidR="00B13233">
        <w:rPr>
          <w:bCs/>
        </w:rPr>
        <w:t xml:space="preserve">sur l'</w:t>
      </w:r>
      <w:r w:rsidRPr="00C40BEC" w:rsidR="005B708A">
        <w:rPr>
          <w:bCs/>
        </w:rPr>
        <w:t xml:space="preserve">accessibilité</w:t>
      </w:r>
      <w:r w:rsidR="00C40BEC">
        <w:rPr>
          <w:bCs/>
        </w:rPr>
        <w:t xml:space="preserve">, </w:t>
      </w:r>
      <w:r w:rsidR="005B708A">
        <w:rPr>
          <w:bCs/>
        </w:rPr>
        <w:t xml:space="preserve">49 </w:t>
      </w:r>
      <w:r w:rsidR="00C84099">
        <w:rPr>
          <w:bCs/>
        </w:rPr>
        <w:t xml:space="preserve">sur l'autonomie de vie et l'inclusion dans la communauté</w:t>
      </w:r>
      <w:r w:rsidR="00C40BEC">
        <w:rPr>
          <w:bCs/>
        </w:rPr>
        <w:t xml:space="preserve">, </w:t>
      </w:r>
      <w:r w:rsidRPr="0020489D" w:rsidR="00B13233">
        <w:rPr>
          <w:bCs/>
        </w:rPr>
        <w:t xml:space="preserve">et </w:t>
      </w:r>
      <w:r w:rsidRPr="00C40BEC" w:rsidR="005B708A">
        <w:rPr>
          <w:bCs/>
        </w:rPr>
        <w:t xml:space="preserve">32 </w:t>
      </w:r>
      <w:r w:rsidRPr="00C40BEC" w:rsidR="00C84099">
        <w:rPr>
          <w:bCs/>
        </w:rPr>
        <w:t xml:space="preserve">sur la coopération internationale</w:t>
      </w:r>
      <w:r w:rsidRPr="0020489D" w:rsidR="00B13233">
        <w:rPr>
          <w:bCs/>
        </w:rPr>
        <w:t xml:space="preserve">. </w:t>
      </w:r>
    </w:p>
    <w:p w:rsidRPr="00607D2E" w:rsidR="00B13233" w:rsidP="00C57F6E" w:rsidRDefault="00C57F6E" w14:paraId="22920001" w14:textId="7C967E47">
      <w:pPr>
        <w:pStyle w:val="SingleTxtG"/>
        <w:rPr>
          <w:bCs/>
        </w:rPr>
      </w:pPr>
      <w:r>
        <w:rPr>
          <w:bCs/>
        </w:rPr>
        <w:t xml:space="preserve">106.</w:t>
      </w:r>
      <w:r>
        <w:rPr>
          <w:bCs/>
        </w:rPr>
        <w:tab/>
      </w:r>
      <w:r w:rsidRPr="0020489D" w:rsidR="00B13233">
        <w:rPr>
          <w:bCs/>
        </w:rPr>
        <w:t xml:space="preserve">Le Comité demande à l'Union européenne de mettre en œuvre les recommandations du Comité contenues dans les présentes observations finales. Le Comité recommande à l'Union européenne de transmettre les présentes observations finales, pour examen et suite à donner, à ses institutions, organes, agences et États membres, ainsi qu'aux fonctionnaires des services compétents de la Commission européenne, aux membres des groupes professionnels concernés, tels que les professionnels de l'éducation, de la médecine et du droit, et aux médias, en utilisant des stratégies modernes de communication sociale. </w:t>
      </w:r>
    </w:p>
    <w:p w:rsidRPr="0020489D" w:rsidR="00B13233" w:rsidP="00C57F6E" w:rsidRDefault="00C57F6E" w14:paraId="5616F616" w14:textId="63CB1FAC">
      <w:pPr>
        <w:pStyle w:val="SingleTxtG"/>
        <w:rPr>
          <w:bCs/>
        </w:rPr>
      </w:pPr>
      <w:r>
        <w:rPr>
          <w:bCs/>
        </w:rPr>
        <w:t xml:space="preserve">107.</w:t>
      </w:r>
      <w:r>
        <w:rPr>
          <w:bCs/>
        </w:rPr>
        <w:tab/>
      </w:r>
      <w:r w:rsidRPr="0020489D" w:rsidR="00B13233">
        <w:rPr>
          <w:bCs/>
        </w:rPr>
        <w:t xml:space="preserve">Le Comité encourage vivement l'État partie à faire participer les organisations de la société civile, en particulier les organisations de personnes handicapées, à l'élaboration de son rapport périodique.</w:t>
      </w:r>
    </w:p>
    <w:p w:rsidRPr="0020489D" w:rsidR="00B13233" w:rsidP="00C57F6E" w:rsidRDefault="00C57F6E" w14:paraId="49EB8E05" w14:textId="02DCEA8B">
      <w:pPr>
        <w:pStyle w:val="SingleTxtG"/>
        <w:rPr>
          <w:bCs/>
        </w:rPr>
      </w:pPr>
      <w:r>
        <w:rPr>
          <w:bCs/>
        </w:rPr>
        <w:t xml:space="preserve">108.</w:t>
      </w:r>
      <w:r>
        <w:rPr>
          <w:bCs/>
        </w:rPr>
        <w:tab/>
      </w:r>
      <w:r w:rsidRPr="0020489D" w:rsidR="00B13233">
        <w:rPr>
          <w:bCs/>
        </w:rPr>
        <w:t xml:space="preserve">Le Comité demande à l'État partie de diffuser largement les présentes observations finales, notamment auprès des organisations non gouvernementales et des organisations de personnes handicapées, ainsi qu'auprès des personnes handicapées elles-mêmes et des membres de leur famille, dans les langues nationales et minoritaires, y compris la langue des signes, et dans des </w:t>
      </w:r>
      <w:r w:rsidRPr="0020489D" w:rsidR="00B13233">
        <w:rPr>
          <w:bCs/>
        </w:rPr>
        <w:t xml:space="preserve">formats </w:t>
      </w:r>
      <w:r w:rsidRPr="0020489D" w:rsidR="00B13233">
        <w:rPr>
          <w:bCs/>
        </w:rPr>
        <w:t xml:space="preserve">accessibles </w:t>
      </w:r>
      <w:r w:rsidRPr="0020489D" w:rsidR="00B13233">
        <w:rPr>
          <w:bCs/>
        </w:rPr>
        <w:t xml:space="preserve">(</w:t>
      </w:r>
      <w:r w:rsidRPr="0020489D" w:rsidR="00B13233">
        <w:rPr>
          <w:bCs/>
        </w:rPr>
        <w:lastRenderedPageBreak/>
      </w:r>
      <w:r w:rsidRPr="0020489D" w:rsidR="00B13233">
        <w:rPr>
          <w:bCs/>
        </w:rPr>
        <w:t xml:space="preserve"> ), y compris Easy Read, et de les mettre à disposition sur le site Web du Gouvernement consacré aux droits de l'homme.</w:t>
      </w:r>
    </w:p>
    <w:p w:rsidRPr="00607D2E" w:rsidR="00B13233" w:rsidP="00ED7AE0" w:rsidRDefault="00ED7AE0" w14:paraId="6CB44276" w14:textId="7BCF6AFF">
      <w:pPr>
        <w:pStyle w:val="H23G"/>
      </w:pPr>
      <w:r>
        <w:tab/>
      </w:r>
      <w:r>
        <w:tab/>
      </w:r>
      <w:r w:rsidRPr="00607D2E" w:rsidR="00B13233">
        <w:t xml:space="preserve">Prochain rapport périodique</w:t>
      </w:r>
    </w:p>
    <w:p w:rsidRPr="006B0F18" w:rsidR="00B13233" w:rsidP="00C57F6E" w:rsidRDefault="00C57F6E" w14:paraId="2BDED26A" w14:textId="7F7AB442">
      <w:pPr>
        <w:pStyle w:val="SingleTxtG"/>
      </w:pPr>
      <w:r>
        <w:t xml:space="preserve">109.</w:t>
      </w:r>
      <w:r>
        <w:tab/>
      </w:r>
      <w:r w:rsidRPr="0020489D" w:rsidR="00B13233">
        <w:t xml:space="preserve">Les quatrième et cinquième rapports combinés sont en principe attendus le 23 novembre 2032, selon la procédure simplifiée de présentation des rapports. Le Comité fixera et communiquera la date exacte à laquelle les rapports périodiques combinés de l'Union européenne devront être présentés, conformément à un futur calendrier clair et régulier pour la présentation des rapports par les États parties (voir A/RES/79/165, par. 6) et après l'adoption d'une liste de points et de questions à traiter avant la présentation du rapport par l'État partie. Les rapports périodiques combinés devraient couvrir toute la période jusqu'à la date de leur soumission.</w:t>
      </w:r>
    </w:p>
    <w:p w:rsidRPr="00ED7AE0" w:rsidR="000864E9" w:rsidP="00ED7AE0" w:rsidRDefault="00ED7AE0" w14:paraId="4D899E1A" w14:textId="79EB9AC3">
      <w:pPr>
        <w:pStyle w:val="SingleTxtG"/>
        <w:spacing w:before="240" w:after="0"/>
        <w:jc w:val="center"/>
        <w:rPr>
          <w:u w:val="single"/>
        </w:rPr>
      </w:pPr>
      <w:r>
        <w:rPr>
          <w:u w:val="single"/>
        </w:rPr>
        <w:tab/>
      </w:r>
      <w:r>
        <w:rPr>
          <w:u w:val="single"/>
        </w:rPr>
        <w:tab/>
      </w:r>
      <w:r>
        <w:rPr>
          <w:u w:val="single"/>
        </w:rPr>
        <w:tab/>
      </w:r>
      <w:r>
        <w:rPr>
          <w:u w:val="single"/>
        </w:rPr>
        <w:tab/>
      </w:r>
    </w:p>
    <w:sectPr w:rsidRPr="00ED7AE0" w:rsidR="000864E9">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D08" w:rsidRDefault="000B6D08" w14:paraId="33487CAA" w14:textId="77777777">
      <w:pPr>
        <w:spacing w:line="240" w:lineRule="auto"/>
      </w:pPr>
      <w:r>
        <w:separator/>
      </w:r>
    </w:p>
  </w:endnote>
  <w:endnote w:type="continuationSeparator" w:id="0">
    <w:p w:rsidR="000B6D08" w:rsidRDefault="000B6D08" w14:paraId="7507F48B" w14:textId="77777777">
      <w:pPr>
        <w:spacing w:line="240" w:lineRule="auto"/>
      </w:pPr>
      <w:r>
        <w:continuationSeparator/>
      </w:r>
    </w:p>
  </w:endnote>
  <w:endnote w:type="continuationNotice" w:id="1">
    <w:p w:rsidR="000B6D08" w:rsidRDefault="000B6D08" w14:paraId="4801D72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EA" w:rsidRDefault="00B41EEA" w14:paraId="732736BB" w14:textId="5BE9B815">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131BF2">
      <w:rPr>
        <w:b/>
        <w:noProof/>
        <w:sz w:val="18"/>
      </w:rPr>
      <w:t>16</w:t>
    </w:r>
    <w:r>
      <w:rPr>
        <w:b/>
        <w:sz w:val="18"/>
      </w:rPr>
      <w:fldChar w:fldCharType="end"/>
    </w:r>
    <w:r>
      <w:tab/>
    </w:r>
    <w:r w:rsidR="003E0D5C">
      <w:t xml:space="preserve">GE.25-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EA" w:rsidRDefault="003E0D5C" w14:paraId="3345E9EA" w14:textId="7BF03D04">
    <w:pPr>
      <w:pStyle w:val="Footer"/>
      <w:tabs>
        <w:tab w:val="right" w:pos="9639"/>
      </w:tabs>
      <w:rPr>
        <w:sz w:val="20"/>
      </w:rPr>
    </w:pPr>
    <w:r>
      <w:t xml:space="preserve">GE.25-</w:t>
    </w:r>
    <w:r w:rsidR="00B41EEA">
      <w:tab/>
    </w:r>
    <w:r w:rsidR="00B41EEA">
      <w:rPr>
        <w:b/>
        <w:sz w:val="18"/>
      </w:rPr>
      <w:fldChar w:fldCharType="begin"/>
    </w:r>
    <w:r w:rsidR="00B41EEA">
      <w:rPr>
        <w:b/>
        <w:sz w:val="18"/>
      </w:rPr>
      <w:instrText xml:space="preserve"> PAGE  \* MERGEFORMAT </w:instrText>
    </w:r>
    <w:r w:rsidR="00B41EEA">
      <w:rPr>
        <w:b/>
        <w:sz w:val="18"/>
      </w:rPr>
      <w:fldChar w:fldCharType="separate"/>
    </w:r>
    <w:r w:rsidR="00131BF2">
      <w:rPr>
        <w:b/>
        <w:noProof/>
        <w:sz w:val="18"/>
      </w:rPr>
      <w:t>15</w:t>
    </w:r>
    <w:r w:rsidR="00B41EEA">
      <w:rPr>
        <w:b/>
        <w:sz w:val="18"/>
      </w:rPr>
      <w:fldChar w:fldCharType="end"/>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779A" w:rsidR="00BC779A" w:rsidP="00497962" w:rsidRDefault="00BC779A" w14:paraId="025F4666" w14:textId="3335BD12">
    <w:pPr>
      <w:pStyle w:val="Footer"/>
      <w:spacing w:before="120"/>
      <w:rPr>
        <w:sz w:val="20"/>
      </w:rPr>
    </w:pPr>
    <w:r w:rsidRPr="00BC779A">
      <w:rPr>
        <w:noProof/>
        <w:sz w:val="20"/>
        <w:lang w:val="es-ES_tradnl" w:eastAsia="es-ES_tradnl"/>
      </w:rPr>
      <w:drawing>
        <wp:anchor distT="0" distB="0" distL="114300" distR="114300" simplePos="0" relativeHeight="251658241" behindDoc="0" locked="1" layoutInCell="1" allowOverlap="1" wp14:editId="516EF865" wp14:anchorId="5613D213">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00B41EEA">
      <w:rPr>
        <w:noProof/>
        <w:sz w:val="20"/>
        <w:lang w:val="es-ES_tradnl" w:eastAsia="es-ES_tradnl"/>
      </w:rPr>
      <w:drawing>
        <wp:anchor distT="0" distB="0" distL="114300" distR="114300" simplePos="0" relativeHeight="251658240" behindDoc="0" locked="1" layoutInCell="1" allowOverlap="1" wp14:editId="77E7C1AD" wp14:anchorId="7AE9D6F0">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48013" name="Picture 3" descr="recycle_Englis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GE.</w:t>
    </w:r>
    <w:r>
      <w:rPr>
        <w:sz w:val="20"/>
      </w:rPr>
      <w:t xml:space="preserve">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D08" w:rsidRDefault="000B6D08" w14:paraId="0F3AB708" w14:textId="77777777">
      <w:pPr>
        <w:spacing w:line="240" w:lineRule="auto"/>
      </w:pPr>
      <w:r>
        <w:separator/>
      </w:r>
    </w:p>
  </w:footnote>
  <w:footnote w:type="continuationSeparator" w:id="0">
    <w:p w:rsidR="000B6D08" w:rsidRDefault="000B6D08" w14:paraId="59DF1779" w14:textId="77777777">
      <w:pPr>
        <w:spacing w:line="240" w:lineRule="auto"/>
      </w:pPr>
      <w:r>
        <w:continuationSeparator/>
      </w:r>
    </w:p>
  </w:footnote>
  <w:footnote w:type="continuationNotice" w:id="1">
    <w:p w:rsidR="000B6D08" w:rsidRDefault="000B6D08" w14:paraId="0033AF59" w14:textId="77777777">
      <w:pPr>
        <w:spacing w:line="240" w:lineRule="auto"/>
      </w:pPr>
    </w:p>
  </w:footnote>
  <w:footnote w:id="2">
    <w:p w:rsidRPr="009F1325" w:rsidR="00497962" w:rsidP="00497962" w:rsidRDefault="00497962" w14:paraId="2EF5FA42" w14:textId="77777777">
      <w:pPr>
        <w:pStyle w:val="FootnoteText"/>
      </w:pPr>
      <w:r w:rsidRPr="009F1325">
        <w:tab/>
      </w:r>
      <w:r w:rsidRPr="009F1325">
        <w:t xml:space="preserve">*</w:t>
      </w:r>
      <w:r w:rsidRPr="009F1325">
        <w:tab/>
      </w:r>
      <w:r w:rsidRPr="00875E6C">
        <w:t xml:space="preserve">Adopté par le Comité lors de </w:t>
      </w:r>
      <w:r w:rsidRPr="005406ED">
        <w:t xml:space="preserve">sa </w:t>
      </w:r>
      <w:r>
        <w:t xml:space="preserve">trente-deuxième </w:t>
      </w:r>
      <w:r w:rsidRPr="005406ED">
        <w:t xml:space="preserve">session (</w:t>
      </w:r>
      <w:r w:rsidRPr="005406ED">
        <w:t xml:space="preserve">3-21 </w:t>
      </w:r>
      <w:r>
        <w:t xml:space="preserve">mars 2025</w:t>
      </w:r>
      <w:r w:rsidRPr="005406ED">
        <w:t xml:space="preserve">).</w:t>
      </w:r>
    </w:p>
  </w:footnote>
  <w:footnote w:id="3">
    <w:p w:rsidRPr="00AD7122" w:rsidR="00AE3C9D" w:rsidP="00AE3C9D" w:rsidRDefault="00AE3C9D" w14:paraId="6FB404DA" w14:textId="77777777">
      <w:pPr>
        <w:pStyle w:val="FootnoteText"/>
        <w:rPr>
          <w:lang w:val="en-US"/>
        </w:rPr>
      </w:pPr>
      <w:r>
        <w:tab/>
      </w:r>
      <w:r>
        <w:tab/>
      </w:r>
      <w:r>
        <w:rPr>
          <w:rStyle w:val="FootnoteReference"/>
        </w:rPr>
        <w:footnoteRef/>
      </w:r>
      <w:r>
        <w:t xml:space="preserve"> A/72/55, annexe.</w:t>
      </w:r>
    </w:p>
  </w:footnote>
  <w:footnote w:id="4">
    <w:p w:rsidRPr="00100E48" w:rsidR="00AE3C9D" w:rsidP="00AE3C9D" w:rsidRDefault="00AE3C9D" w14:paraId="682B156E" w14:textId="77777777">
      <w:pPr>
        <w:pStyle w:val="FootnoteText"/>
        <w:rPr>
          <w:lang w:val="en-US"/>
        </w:rPr>
      </w:pPr>
      <w:r>
        <w:tab/>
      </w:r>
      <w:r>
        <w:tab/>
      </w:r>
      <w:r>
        <w:rPr>
          <w:rStyle w:val="FootnoteReference"/>
        </w:rPr>
        <w:footnoteRef/>
      </w:r>
      <w:r>
        <w:t xml:space="preserve"> CRPD/C/5.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6EB5" w:rsidR="00B41EEA" w:rsidRDefault="00B41EEA" w14:paraId="42AF963B" w14:textId="35F50DF1">
    <w:pPr>
      <w:pStyle w:val="Header"/>
      <w:rPr>
        <w:lang w:val="fr-FR"/>
      </w:rPr>
    </w:pPr>
    <w:r w:rsidRPr="003B6EB5" w:rsidR="00D77B2B">
      <w:rPr>
        <w:lang w:val="fr-FR"/>
      </w:rPr>
      <w:t xml:space="preserve">CRPD/C/EU/CO/2-3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6EB5" w:rsidR="00B41EEA" w:rsidRDefault="00B41EEA" w14:paraId="10E50D19" w14:textId="3204D026">
    <w:pPr>
      <w:pStyle w:val="Header"/>
      <w:jc w:val="right"/>
      <w:rPr>
        <w:lang w:val="fr-FR"/>
      </w:rPr>
    </w:pPr>
    <w:r w:rsidRPr="003B6EB5" w:rsidR="00D77B2B">
      <w:rPr>
        <w:lang w:val="fr-FR"/>
      </w:rPr>
      <w:t xml:space="preserve">CRPD/C/EU/CO/2-3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EEA" w:rsidRDefault="00B41EEA" w14:paraId="4AC21177" w14:textId="77777777">
    <w:pPr>
      <w:pStyle w:val="Header"/>
      <w:pBdr>
        <w:bottom w:val="none" w:color="auto" w:sz="0" w:space="0"/>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F5687"/>
    <w:multiLevelType w:val="hybridMultilevel"/>
    <w:tmpl w:val="10FE4912"/>
    <w:lvl w:ilvl="0" w:tplc="5244864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954887"/>
    <w:multiLevelType w:val="hybridMultilevel"/>
    <w:tmpl w:val="2B362816"/>
    <w:lvl w:ilvl="0" w:tplc="6BD43A20">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670E18B0" w:tentative="1">
      <w:start w:val="1"/>
      <w:numFmt w:val="lowerLetter"/>
      <w:lvlText w:val="%2."/>
      <w:lvlJc w:val="left"/>
      <w:pPr>
        <w:tabs>
          <w:tab w:val="num" w:pos="1440"/>
        </w:tabs>
        <w:ind w:left="1440" w:hanging="360"/>
      </w:pPr>
    </w:lvl>
    <w:lvl w:ilvl="2" w:tplc="92C40CD0" w:tentative="1">
      <w:start w:val="1"/>
      <w:numFmt w:val="lowerRoman"/>
      <w:lvlText w:val="%3."/>
      <w:lvlJc w:val="right"/>
      <w:pPr>
        <w:tabs>
          <w:tab w:val="num" w:pos="2160"/>
        </w:tabs>
        <w:ind w:left="2160" w:hanging="180"/>
      </w:pPr>
    </w:lvl>
    <w:lvl w:ilvl="3" w:tplc="CC8253C6" w:tentative="1">
      <w:start w:val="1"/>
      <w:numFmt w:val="decimal"/>
      <w:lvlText w:val="%4."/>
      <w:lvlJc w:val="left"/>
      <w:pPr>
        <w:tabs>
          <w:tab w:val="num" w:pos="2880"/>
        </w:tabs>
        <w:ind w:left="2880" w:hanging="360"/>
      </w:pPr>
    </w:lvl>
    <w:lvl w:ilvl="4" w:tplc="34F0357A" w:tentative="1">
      <w:start w:val="1"/>
      <w:numFmt w:val="lowerLetter"/>
      <w:lvlText w:val="%5."/>
      <w:lvlJc w:val="left"/>
      <w:pPr>
        <w:tabs>
          <w:tab w:val="num" w:pos="3600"/>
        </w:tabs>
        <w:ind w:left="3600" w:hanging="360"/>
      </w:pPr>
    </w:lvl>
    <w:lvl w:ilvl="5" w:tplc="FF18EE1A" w:tentative="1">
      <w:start w:val="1"/>
      <w:numFmt w:val="lowerRoman"/>
      <w:lvlText w:val="%6."/>
      <w:lvlJc w:val="right"/>
      <w:pPr>
        <w:tabs>
          <w:tab w:val="num" w:pos="4320"/>
        </w:tabs>
        <w:ind w:left="4320" w:hanging="180"/>
      </w:pPr>
    </w:lvl>
    <w:lvl w:ilvl="6" w:tplc="1DF46860" w:tentative="1">
      <w:start w:val="1"/>
      <w:numFmt w:val="decimal"/>
      <w:lvlText w:val="%7."/>
      <w:lvlJc w:val="left"/>
      <w:pPr>
        <w:tabs>
          <w:tab w:val="num" w:pos="5040"/>
        </w:tabs>
        <w:ind w:left="5040" w:hanging="360"/>
      </w:pPr>
    </w:lvl>
    <w:lvl w:ilvl="7" w:tplc="AB7AE070" w:tentative="1">
      <w:start w:val="1"/>
      <w:numFmt w:val="lowerLetter"/>
      <w:lvlText w:val="%8."/>
      <w:lvlJc w:val="left"/>
      <w:pPr>
        <w:tabs>
          <w:tab w:val="num" w:pos="5760"/>
        </w:tabs>
        <w:ind w:left="5760" w:hanging="360"/>
      </w:pPr>
    </w:lvl>
    <w:lvl w:ilvl="8" w:tplc="DC8432AE" w:tentative="1">
      <w:start w:val="1"/>
      <w:numFmt w:val="lowerRoman"/>
      <w:lvlText w:val="%9."/>
      <w:lvlJc w:val="right"/>
      <w:pPr>
        <w:tabs>
          <w:tab w:val="num" w:pos="6480"/>
        </w:tabs>
        <w:ind w:left="6480" w:hanging="180"/>
      </w:pPr>
    </w:lvl>
  </w:abstractNum>
  <w:abstractNum w:abstractNumId="3" w15:restartNumberingAfterBreak="0">
    <w:nsid w:val="0EB56F8B"/>
    <w:multiLevelType w:val="hybridMultilevel"/>
    <w:tmpl w:val="4B80DDAA"/>
    <w:lvl w:ilvl="0" w:tplc="3DC62EBC">
      <w:start w:val="1"/>
      <w:numFmt w:val="decimal"/>
      <w:lvlText w:val="%1."/>
      <w:lvlJc w:val="left"/>
      <w:pPr>
        <w:ind w:left="1854" w:hanging="360"/>
      </w:pPr>
      <w:rPr>
        <w:b w:val="0"/>
        <w:bCs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FE61B09"/>
    <w:multiLevelType w:val="hybridMultilevel"/>
    <w:tmpl w:val="B2A62EB0"/>
    <w:lvl w:ilvl="0" w:tplc="66EAB3B8">
      <w:start w:val="1"/>
      <w:numFmt w:val="decimal"/>
      <w:lvlText w:val="%1)"/>
      <w:lvlJc w:val="left"/>
      <w:pPr>
        <w:ind w:left="720" w:hanging="360"/>
      </w:pPr>
    </w:lvl>
    <w:lvl w:ilvl="1" w:tplc="47AADA16">
      <w:start w:val="1"/>
      <w:numFmt w:val="decimal"/>
      <w:lvlText w:val="%2)"/>
      <w:lvlJc w:val="left"/>
      <w:pPr>
        <w:ind w:left="720" w:hanging="360"/>
      </w:pPr>
    </w:lvl>
    <w:lvl w:ilvl="2" w:tplc="2C6A4480">
      <w:start w:val="1"/>
      <w:numFmt w:val="decimal"/>
      <w:lvlText w:val="%3)"/>
      <w:lvlJc w:val="left"/>
      <w:pPr>
        <w:ind w:left="720" w:hanging="360"/>
      </w:pPr>
    </w:lvl>
    <w:lvl w:ilvl="3" w:tplc="3D92877A">
      <w:start w:val="1"/>
      <w:numFmt w:val="decimal"/>
      <w:lvlText w:val="%4)"/>
      <w:lvlJc w:val="left"/>
      <w:pPr>
        <w:ind w:left="720" w:hanging="360"/>
      </w:pPr>
    </w:lvl>
    <w:lvl w:ilvl="4" w:tplc="C0E6E4AE">
      <w:start w:val="1"/>
      <w:numFmt w:val="decimal"/>
      <w:lvlText w:val="%5)"/>
      <w:lvlJc w:val="left"/>
      <w:pPr>
        <w:ind w:left="720" w:hanging="360"/>
      </w:pPr>
    </w:lvl>
    <w:lvl w:ilvl="5" w:tplc="91BA3252">
      <w:start w:val="1"/>
      <w:numFmt w:val="decimal"/>
      <w:lvlText w:val="%6)"/>
      <w:lvlJc w:val="left"/>
      <w:pPr>
        <w:ind w:left="720" w:hanging="360"/>
      </w:pPr>
    </w:lvl>
    <w:lvl w:ilvl="6" w:tplc="DD549C60">
      <w:start w:val="1"/>
      <w:numFmt w:val="decimal"/>
      <w:lvlText w:val="%7)"/>
      <w:lvlJc w:val="left"/>
      <w:pPr>
        <w:ind w:left="720" w:hanging="360"/>
      </w:pPr>
    </w:lvl>
    <w:lvl w:ilvl="7" w:tplc="7EC25154">
      <w:start w:val="1"/>
      <w:numFmt w:val="decimal"/>
      <w:lvlText w:val="%8)"/>
      <w:lvlJc w:val="left"/>
      <w:pPr>
        <w:ind w:left="720" w:hanging="360"/>
      </w:pPr>
    </w:lvl>
    <w:lvl w:ilvl="8" w:tplc="584CAFE8">
      <w:start w:val="1"/>
      <w:numFmt w:val="decimal"/>
      <w:lvlText w:val="%9)"/>
      <w:lvlJc w:val="left"/>
      <w:pPr>
        <w:ind w:left="720" w:hanging="360"/>
      </w:pPr>
    </w:lvl>
  </w:abstractNum>
  <w:abstractNum w:abstractNumId="5" w15:restartNumberingAfterBreak="0">
    <w:nsid w:val="242F622B"/>
    <w:multiLevelType w:val="hybridMultilevel"/>
    <w:tmpl w:val="97202BBE"/>
    <w:lvl w:ilvl="0" w:tplc="579A062E">
      <w:start w:val="1"/>
      <w:numFmt w:val="upperLetter"/>
      <w:lvlText w:val="%1."/>
      <w:lvlJc w:val="left"/>
      <w:pPr>
        <w:ind w:left="1130" w:hanging="510"/>
      </w:pPr>
      <w:rPr>
        <w:rFonts w:hint="default"/>
      </w:rPr>
    </w:lvl>
    <w:lvl w:ilvl="1" w:tplc="20000019">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6" w15:restartNumberingAfterBreak="0">
    <w:nsid w:val="2A2C2441"/>
    <w:multiLevelType w:val="hybridMultilevel"/>
    <w:tmpl w:val="1780E68E"/>
    <w:lvl w:ilvl="0" w:tplc="7FF8D476">
      <w:start w:val="1"/>
      <w:numFmt w:val="decimal"/>
      <w:lvlText w:val="%1)"/>
      <w:lvlJc w:val="left"/>
      <w:pPr>
        <w:ind w:left="1020" w:hanging="360"/>
      </w:pPr>
    </w:lvl>
    <w:lvl w:ilvl="1" w:tplc="3B1CFAB0">
      <w:start w:val="1"/>
      <w:numFmt w:val="decimal"/>
      <w:lvlText w:val="%2)"/>
      <w:lvlJc w:val="left"/>
      <w:pPr>
        <w:ind w:left="1020" w:hanging="360"/>
      </w:pPr>
    </w:lvl>
    <w:lvl w:ilvl="2" w:tplc="F424C74C">
      <w:start w:val="1"/>
      <w:numFmt w:val="decimal"/>
      <w:lvlText w:val="%3)"/>
      <w:lvlJc w:val="left"/>
      <w:pPr>
        <w:ind w:left="1020" w:hanging="360"/>
      </w:pPr>
    </w:lvl>
    <w:lvl w:ilvl="3" w:tplc="3D12405C">
      <w:start w:val="1"/>
      <w:numFmt w:val="decimal"/>
      <w:lvlText w:val="%4)"/>
      <w:lvlJc w:val="left"/>
      <w:pPr>
        <w:ind w:left="1020" w:hanging="360"/>
      </w:pPr>
    </w:lvl>
    <w:lvl w:ilvl="4" w:tplc="9070BF38">
      <w:start w:val="1"/>
      <w:numFmt w:val="decimal"/>
      <w:lvlText w:val="%5)"/>
      <w:lvlJc w:val="left"/>
      <w:pPr>
        <w:ind w:left="1020" w:hanging="360"/>
      </w:pPr>
    </w:lvl>
    <w:lvl w:ilvl="5" w:tplc="59848278">
      <w:start w:val="1"/>
      <w:numFmt w:val="decimal"/>
      <w:lvlText w:val="%6)"/>
      <w:lvlJc w:val="left"/>
      <w:pPr>
        <w:ind w:left="1020" w:hanging="360"/>
      </w:pPr>
    </w:lvl>
    <w:lvl w:ilvl="6" w:tplc="A0BCCD82">
      <w:start w:val="1"/>
      <w:numFmt w:val="decimal"/>
      <w:lvlText w:val="%7)"/>
      <w:lvlJc w:val="left"/>
      <w:pPr>
        <w:ind w:left="1020" w:hanging="360"/>
      </w:pPr>
    </w:lvl>
    <w:lvl w:ilvl="7" w:tplc="6EAE7768">
      <w:start w:val="1"/>
      <w:numFmt w:val="decimal"/>
      <w:lvlText w:val="%8)"/>
      <w:lvlJc w:val="left"/>
      <w:pPr>
        <w:ind w:left="1020" w:hanging="360"/>
      </w:pPr>
    </w:lvl>
    <w:lvl w:ilvl="8" w:tplc="5CA48ED8">
      <w:start w:val="1"/>
      <w:numFmt w:val="decimal"/>
      <w:lvlText w:val="%9)"/>
      <w:lvlJc w:val="left"/>
      <w:pPr>
        <w:ind w:left="1020" w:hanging="360"/>
      </w:pPr>
    </w:lvl>
  </w:abstractNum>
  <w:abstractNum w:abstractNumId="7" w15:restartNumberingAfterBreak="0">
    <w:nsid w:val="2C4754FC"/>
    <w:multiLevelType w:val="hybridMultilevel"/>
    <w:tmpl w:val="0B6A5E62"/>
    <w:lvl w:ilvl="0" w:tplc="3D8EDC5E">
      <w:start w:val="1"/>
      <w:numFmt w:val="bullet"/>
      <w:lvlText w:val=""/>
      <w:lvlJc w:val="left"/>
      <w:pPr>
        <w:ind w:left="720" w:hanging="360"/>
      </w:pPr>
      <w:rPr>
        <w:rFonts w:ascii="Symbol" w:hAnsi="Symbol"/>
      </w:rPr>
    </w:lvl>
    <w:lvl w:ilvl="1" w:tplc="A7CCE952">
      <w:start w:val="1"/>
      <w:numFmt w:val="bullet"/>
      <w:lvlText w:val=""/>
      <w:lvlJc w:val="left"/>
      <w:pPr>
        <w:ind w:left="720" w:hanging="360"/>
      </w:pPr>
      <w:rPr>
        <w:rFonts w:ascii="Symbol" w:hAnsi="Symbol"/>
      </w:rPr>
    </w:lvl>
    <w:lvl w:ilvl="2" w:tplc="9D507A0C">
      <w:start w:val="1"/>
      <w:numFmt w:val="bullet"/>
      <w:lvlText w:val=""/>
      <w:lvlJc w:val="left"/>
      <w:pPr>
        <w:ind w:left="720" w:hanging="360"/>
      </w:pPr>
      <w:rPr>
        <w:rFonts w:ascii="Symbol" w:hAnsi="Symbol"/>
      </w:rPr>
    </w:lvl>
    <w:lvl w:ilvl="3" w:tplc="96027628">
      <w:start w:val="1"/>
      <w:numFmt w:val="bullet"/>
      <w:lvlText w:val=""/>
      <w:lvlJc w:val="left"/>
      <w:pPr>
        <w:ind w:left="720" w:hanging="360"/>
      </w:pPr>
      <w:rPr>
        <w:rFonts w:ascii="Symbol" w:hAnsi="Symbol"/>
      </w:rPr>
    </w:lvl>
    <w:lvl w:ilvl="4" w:tplc="38D22D38">
      <w:start w:val="1"/>
      <w:numFmt w:val="bullet"/>
      <w:lvlText w:val=""/>
      <w:lvlJc w:val="left"/>
      <w:pPr>
        <w:ind w:left="720" w:hanging="360"/>
      </w:pPr>
      <w:rPr>
        <w:rFonts w:ascii="Symbol" w:hAnsi="Symbol"/>
      </w:rPr>
    </w:lvl>
    <w:lvl w:ilvl="5" w:tplc="15EAF2E6">
      <w:start w:val="1"/>
      <w:numFmt w:val="bullet"/>
      <w:lvlText w:val=""/>
      <w:lvlJc w:val="left"/>
      <w:pPr>
        <w:ind w:left="720" w:hanging="360"/>
      </w:pPr>
      <w:rPr>
        <w:rFonts w:ascii="Symbol" w:hAnsi="Symbol"/>
      </w:rPr>
    </w:lvl>
    <w:lvl w:ilvl="6" w:tplc="0358BD92">
      <w:start w:val="1"/>
      <w:numFmt w:val="bullet"/>
      <w:lvlText w:val=""/>
      <w:lvlJc w:val="left"/>
      <w:pPr>
        <w:ind w:left="720" w:hanging="360"/>
      </w:pPr>
      <w:rPr>
        <w:rFonts w:ascii="Symbol" w:hAnsi="Symbol"/>
      </w:rPr>
    </w:lvl>
    <w:lvl w:ilvl="7" w:tplc="0686890E">
      <w:start w:val="1"/>
      <w:numFmt w:val="bullet"/>
      <w:lvlText w:val=""/>
      <w:lvlJc w:val="left"/>
      <w:pPr>
        <w:ind w:left="720" w:hanging="360"/>
      </w:pPr>
      <w:rPr>
        <w:rFonts w:ascii="Symbol" w:hAnsi="Symbol"/>
      </w:rPr>
    </w:lvl>
    <w:lvl w:ilvl="8" w:tplc="84F07D98">
      <w:start w:val="1"/>
      <w:numFmt w:val="bullet"/>
      <w:lvlText w:val=""/>
      <w:lvlJc w:val="left"/>
      <w:pPr>
        <w:ind w:left="720" w:hanging="360"/>
      </w:pPr>
      <w:rPr>
        <w:rFonts w:ascii="Symbol" w:hAnsi="Symbol"/>
      </w:rPr>
    </w:lvl>
  </w:abstractNum>
  <w:abstractNum w:abstractNumId="8" w15:restartNumberingAfterBreak="0">
    <w:nsid w:val="2E955278"/>
    <w:multiLevelType w:val="hybridMultilevel"/>
    <w:tmpl w:val="3278B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E96BC2"/>
    <w:multiLevelType w:val="hybridMultilevel"/>
    <w:tmpl w:val="7DB05D6E"/>
    <w:lvl w:ilvl="0" w:tplc="D6A8AD48">
      <w:start w:val="1"/>
      <w:numFmt w:val="bullet"/>
      <w:lvlText w:val=""/>
      <w:lvlJc w:val="left"/>
      <w:pPr>
        <w:ind w:left="1440" w:hanging="360"/>
      </w:pPr>
      <w:rPr>
        <w:rFonts w:ascii="Symbol" w:hAnsi="Symbol"/>
      </w:rPr>
    </w:lvl>
    <w:lvl w:ilvl="1" w:tplc="3A620E96">
      <w:start w:val="1"/>
      <w:numFmt w:val="bullet"/>
      <w:lvlText w:val=""/>
      <w:lvlJc w:val="left"/>
      <w:pPr>
        <w:ind w:left="1440" w:hanging="360"/>
      </w:pPr>
      <w:rPr>
        <w:rFonts w:ascii="Symbol" w:hAnsi="Symbol"/>
      </w:rPr>
    </w:lvl>
    <w:lvl w:ilvl="2" w:tplc="EECE1C28">
      <w:start w:val="1"/>
      <w:numFmt w:val="bullet"/>
      <w:lvlText w:val=""/>
      <w:lvlJc w:val="left"/>
      <w:pPr>
        <w:ind w:left="1440" w:hanging="360"/>
      </w:pPr>
      <w:rPr>
        <w:rFonts w:ascii="Symbol" w:hAnsi="Symbol"/>
      </w:rPr>
    </w:lvl>
    <w:lvl w:ilvl="3" w:tplc="7F2E6426">
      <w:start w:val="1"/>
      <w:numFmt w:val="bullet"/>
      <w:lvlText w:val=""/>
      <w:lvlJc w:val="left"/>
      <w:pPr>
        <w:ind w:left="1440" w:hanging="360"/>
      </w:pPr>
      <w:rPr>
        <w:rFonts w:ascii="Symbol" w:hAnsi="Symbol"/>
      </w:rPr>
    </w:lvl>
    <w:lvl w:ilvl="4" w:tplc="6A9A2A48">
      <w:start w:val="1"/>
      <w:numFmt w:val="bullet"/>
      <w:lvlText w:val=""/>
      <w:lvlJc w:val="left"/>
      <w:pPr>
        <w:ind w:left="1440" w:hanging="360"/>
      </w:pPr>
      <w:rPr>
        <w:rFonts w:ascii="Symbol" w:hAnsi="Symbol"/>
      </w:rPr>
    </w:lvl>
    <w:lvl w:ilvl="5" w:tplc="663C795C">
      <w:start w:val="1"/>
      <w:numFmt w:val="bullet"/>
      <w:lvlText w:val=""/>
      <w:lvlJc w:val="left"/>
      <w:pPr>
        <w:ind w:left="1440" w:hanging="360"/>
      </w:pPr>
      <w:rPr>
        <w:rFonts w:ascii="Symbol" w:hAnsi="Symbol"/>
      </w:rPr>
    </w:lvl>
    <w:lvl w:ilvl="6" w:tplc="4D447E8C">
      <w:start w:val="1"/>
      <w:numFmt w:val="bullet"/>
      <w:lvlText w:val=""/>
      <w:lvlJc w:val="left"/>
      <w:pPr>
        <w:ind w:left="1440" w:hanging="360"/>
      </w:pPr>
      <w:rPr>
        <w:rFonts w:ascii="Symbol" w:hAnsi="Symbol"/>
      </w:rPr>
    </w:lvl>
    <w:lvl w:ilvl="7" w:tplc="4A9EDD9C">
      <w:start w:val="1"/>
      <w:numFmt w:val="bullet"/>
      <w:lvlText w:val=""/>
      <w:lvlJc w:val="left"/>
      <w:pPr>
        <w:ind w:left="1440" w:hanging="360"/>
      </w:pPr>
      <w:rPr>
        <w:rFonts w:ascii="Symbol" w:hAnsi="Symbol"/>
      </w:rPr>
    </w:lvl>
    <w:lvl w:ilvl="8" w:tplc="5B7C0310">
      <w:start w:val="1"/>
      <w:numFmt w:val="bullet"/>
      <w:lvlText w:val=""/>
      <w:lvlJc w:val="left"/>
      <w:pPr>
        <w:ind w:left="1440" w:hanging="360"/>
      </w:pPr>
      <w:rPr>
        <w:rFonts w:ascii="Symbol" w:hAnsi="Symbol"/>
      </w:rPr>
    </w:lvl>
  </w:abstractNum>
  <w:abstractNum w:abstractNumId="10" w15:restartNumberingAfterBreak="0">
    <w:nsid w:val="362C6A81"/>
    <w:multiLevelType w:val="multilevel"/>
    <w:tmpl w:val="280E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F4EB2"/>
    <w:multiLevelType w:val="hybridMultilevel"/>
    <w:tmpl w:val="CB6C816A"/>
    <w:lvl w:ilvl="0" w:tplc="C1F2E1FC">
      <w:start w:val="1"/>
      <w:numFmt w:val="bullet"/>
      <w:pStyle w:val="Bullet2G"/>
      <w:lvlText w:val="•"/>
      <w:lvlJc w:val="left"/>
      <w:pPr>
        <w:tabs>
          <w:tab w:val="num" w:pos="2268"/>
        </w:tabs>
        <w:ind w:left="2268" w:hanging="170"/>
      </w:pPr>
      <w:rPr>
        <w:rFonts w:ascii="Times New Roman" w:hAnsi="Times New Roman" w:cs="Times New Roman" w:hint="default"/>
      </w:rPr>
    </w:lvl>
    <w:lvl w:ilvl="1" w:tplc="FEE65A2E" w:tentative="1">
      <w:start w:val="1"/>
      <w:numFmt w:val="bullet"/>
      <w:lvlText w:val="o"/>
      <w:lvlJc w:val="left"/>
      <w:pPr>
        <w:tabs>
          <w:tab w:val="num" w:pos="3708"/>
        </w:tabs>
        <w:ind w:left="3708" w:hanging="360"/>
      </w:pPr>
      <w:rPr>
        <w:rFonts w:ascii="Courier New" w:hAnsi="Courier New" w:hint="default"/>
      </w:rPr>
    </w:lvl>
    <w:lvl w:ilvl="2" w:tplc="13F60FA6" w:tentative="1">
      <w:start w:val="1"/>
      <w:numFmt w:val="bullet"/>
      <w:lvlText w:val=""/>
      <w:lvlJc w:val="left"/>
      <w:pPr>
        <w:tabs>
          <w:tab w:val="num" w:pos="4428"/>
        </w:tabs>
        <w:ind w:left="4428" w:hanging="360"/>
      </w:pPr>
      <w:rPr>
        <w:rFonts w:ascii="Wingdings" w:hAnsi="Wingdings" w:hint="default"/>
      </w:rPr>
    </w:lvl>
    <w:lvl w:ilvl="3" w:tplc="AF888716" w:tentative="1">
      <w:start w:val="1"/>
      <w:numFmt w:val="bullet"/>
      <w:lvlText w:val=""/>
      <w:lvlJc w:val="left"/>
      <w:pPr>
        <w:tabs>
          <w:tab w:val="num" w:pos="5148"/>
        </w:tabs>
        <w:ind w:left="5148" w:hanging="360"/>
      </w:pPr>
      <w:rPr>
        <w:rFonts w:ascii="Symbol" w:hAnsi="Symbol" w:hint="default"/>
      </w:rPr>
    </w:lvl>
    <w:lvl w:ilvl="4" w:tplc="FA425E32" w:tentative="1">
      <w:start w:val="1"/>
      <w:numFmt w:val="bullet"/>
      <w:lvlText w:val="o"/>
      <w:lvlJc w:val="left"/>
      <w:pPr>
        <w:tabs>
          <w:tab w:val="num" w:pos="5868"/>
        </w:tabs>
        <w:ind w:left="5868" w:hanging="360"/>
      </w:pPr>
      <w:rPr>
        <w:rFonts w:ascii="Courier New" w:hAnsi="Courier New" w:hint="default"/>
      </w:rPr>
    </w:lvl>
    <w:lvl w:ilvl="5" w:tplc="375416BC" w:tentative="1">
      <w:start w:val="1"/>
      <w:numFmt w:val="bullet"/>
      <w:lvlText w:val=""/>
      <w:lvlJc w:val="left"/>
      <w:pPr>
        <w:tabs>
          <w:tab w:val="num" w:pos="6588"/>
        </w:tabs>
        <w:ind w:left="6588" w:hanging="360"/>
      </w:pPr>
      <w:rPr>
        <w:rFonts w:ascii="Wingdings" w:hAnsi="Wingdings" w:hint="default"/>
      </w:rPr>
    </w:lvl>
    <w:lvl w:ilvl="6" w:tplc="9BFECE58" w:tentative="1">
      <w:start w:val="1"/>
      <w:numFmt w:val="bullet"/>
      <w:lvlText w:val=""/>
      <w:lvlJc w:val="left"/>
      <w:pPr>
        <w:tabs>
          <w:tab w:val="num" w:pos="7308"/>
        </w:tabs>
        <w:ind w:left="7308" w:hanging="360"/>
      </w:pPr>
      <w:rPr>
        <w:rFonts w:ascii="Symbol" w:hAnsi="Symbol" w:hint="default"/>
      </w:rPr>
    </w:lvl>
    <w:lvl w:ilvl="7" w:tplc="9748264C" w:tentative="1">
      <w:start w:val="1"/>
      <w:numFmt w:val="bullet"/>
      <w:lvlText w:val="o"/>
      <w:lvlJc w:val="left"/>
      <w:pPr>
        <w:tabs>
          <w:tab w:val="num" w:pos="8028"/>
        </w:tabs>
        <w:ind w:left="8028" w:hanging="360"/>
      </w:pPr>
      <w:rPr>
        <w:rFonts w:ascii="Courier New" w:hAnsi="Courier New" w:hint="default"/>
      </w:rPr>
    </w:lvl>
    <w:lvl w:ilvl="8" w:tplc="88A80966"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45F47359"/>
    <w:multiLevelType w:val="hybridMultilevel"/>
    <w:tmpl w:val="E2E05EEA"/>
    <w:lvl w:ilvl="0" w:tplc="A5D6A2D2">
      <w:start w:val="1"/>
      <w:numFmt w:val="decimal"/>
      <w:lvlText w:val="%1."/>
      <w:lvlJc w:val="left"/>
      <w:pPr>
        <w:ind w:left="1854" w:hanging="360"/>
      </w:pPr>
      <w:rPr>
        <w:b w:val="0"/>
        <w:bCs w:val="0"/>
        <w:color w:val="auto"/>
        <w:vertAlign w:val="baseline"/>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3" w15:restartNumberingAfterBreak="0">
    <w:nsid w:val="4D4B0C7D"/>
    <w:multiLevelType w:val="multilevel"/>
    <w:tmpl w:val="7D1E4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5F3357"/>
    <w:multiLevelType w:val="hybridMultilevel"/>
    <w:tmpl w:val="C212BFD2"/>
    <w:lvl w:ilvl="0" w:tplc="6AA257E0">
      <w:start w:val="1"/>
      <w:numFmt w:val="lowerLetter"/>
      <w:lvlText w:val="%1)"/>
      <w:lvlJc w:val="left"/>
      <w:pPr>
        <w:ind w:left="720" w:hanging="360"/>
      </w:pPr>
      <w:rPr>
        <w:rFonts w:ascii="Times New Roman" w:eastAsia="Aptos"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B186EE6"/>
    <w:multiLevelType w:val="hybridMultilevel"/>
    <w:tmpl w:val="99E42D18"/>
    <w:lvl w:ilvl="0" w:tplc="4B04607E">
      <w:start w:val="1"/>
      <w:numFmt w:val="bullet"/>
      <w:lvlText w:val=""/>
      <w:lvlJc w:val="left"/>
      <w:pPr>
        <w:ind w:left="720" w:hanging="360"/>
      </w:pPr>
      <w:rPr>
        <w:rFonts w:ascii="Symbol" w:hAnsi="Symbol"/>
      </w:rPr>
    </w:lvl>
    <w:lvl w:ilvl="1" w:tplc="5A828268">
      <w:start w:val="1"/>
      <w:numFmt w:val="bullet"/>
      <w:lvlText w:val=""/>
      <w:lvlJc w:val="left"/>
      <w:pPr>
        <w:ind w:left="720" w:hanging="360"/>
      </w:pPr>
      <w:rPr>
        <w:rFonts w:ascii="Symbol" w:hAnsi="Symbol"/>
      </w:rPr>
    </w:lvl>
    <w:lvl w:ilvl="2" w:tplc="5A1A03EE">
      <w:start w:val="1"/>
      <w:numFmt w:val="bullet"/>
      <w:lvlText w:val=""/>
      <w:lvlJc w:val="left"/>
      <w:pPr>
        <w:ind w:left="720" w:hanging="360"/>
      </w:pPr>
      <w:rPr>
        <w:rFonts w:ascii="Symbol" w:hAnsi="Symbol"/>
      </w:rPr>
    </w:lvl>
    <w:lvl w:ilvl="3" w:tplc="33C8D0F8">
      <w:start w:val="1"/>
      <w:numFmt w:val="bullet"/>
      <w:lvlText w:val=""/>
      <w:lvlJc w:val="left"/>
      <w:pPr>
        <w:ind w:left="720" w:hanging="360"/>
      </w:pPr>
      <w:rPr>
        <w:rFonts w:ascii="Symbol" w:hAnsi="Symbol"/>
      </w:rPr>
    </w:lvl>
    <w:lvl w:ilvl="4" w:tplc="5BE27A8A">
      <w:start w:val="1"/>
      <w:numFmt w:val="bullet"/>
      <w:lvlText w:val=""/>
      <w:lvlJc w:val="left"/>
      <w:pPr>
        <w:ind w:left="720" w:hanging="360"/>
      </w:pPr>
      <w:rPr>
        <w:rFonts w:ascii="Symbol" w:hAnsi="Symbol"/>
      </w:rPr>
    </w:lvl>
    <w:lvl w:ilvl="5" w:tplc="98544816">
      <w:start w:val="1"/>
      <w:numFmt w:val="bullet"/>
      <w:lvlText w:val=""/>
      <w:lvlJc w:val="left"/>
      <w:pPr>
        <w:ind w:left="720" w:hanging="360"/>
      </w:pPr>
      <w:rPr>
        <w:rFonts w:ascii="Symbol" w:hAnsi="Symbol"/>
      </w:rPr>
    </w:lvl>
    <w:lvl w:ilvl="6" w:tplc="F6A48CF6">
      <w:start w:val="1"/>
      <w:numFmt w:val="bullet"/>
      <w:lvlText w:val=""/>
      <w:lvlJc w:val="left"/>
      <w:pPr>
        <w:ind w:left="720" w:hanging="360"/>
      </w:pPr>
      <w:rPr>
        <w:rFonts w:ascii="Symbol" w:hAnsi="Symbol"/>
      </w:rPr>
    </w:lvl>
    <w:lvl w:ilvl="7" w:tplc="51D825BE">
      <w:start w:val="1"/>
      <w:numFmt w:val="bullet"/>
      <w:lvlText w:val=""/>
      <w:lvlJc w:val="left"/>
      <w:pPr>
        <w:ind w:left="720" w:hanging="360"/>
      </w:pPr>
      <w:rPr>
        <w:rFonts w:ascii="Symbol" w:hAnsi="Symbol"/>
      </w:rPr>
    </w:lvl>
    <w:lvl w:ilvl="8" w:tplc="71E85726">
      <w:start w:val="1"/>
      <w:numFmt w:val="bullet"/>
      <w:lvlText w:val=""/>
      <w:lvlJc w:val="left"/>
      <w:pPr>
        <w:ind w:left="720" w:hanging="360"/>
      </w:pPr>
      <w:rPr>
        <w:rFonts w:ascii="Symbol" w:hAnsi="Symbol"/>
      </w:rPr>
    </w:lvl>
  </w:abstractNum>
  <w:abstractNum w:abstractNumId="16" w15:restartNumberingAfterBreak="0">
    <w:nsid w:val="5F5745F3"/>
    <w:multiLevelType w:val="hybridMultilevel"/>
    <w:tmpl w:val="83DABEDC"/>
    <w:lvl w:ilvl="0" w:tplc="E290691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1123118"/>
    <w:multiLevelType w:val="hybridMultilevel"/>
    <w:tmpl w:val="652224C8"/>
    <w:lvl w:ilvl="0" w:tplc="75604D44">
      <w:start w:val="1"/>
      <w:numFmt w:val="bullet"/>
      <w:lvlText w:val=""/>
      <w:lvlJc w:val="left"/>
      <w:pPr>
        <w:ind w:left="1440" w:hanging="360"/>
      </w:pPr>
      <w:rPr>
        <w:rFonts w:ascii="Symbol" w:hAnsi="Symbol"/>
      </w:rPr>
    </w:lvl>
    <w:lvl w:ilvl="1" w:tplc="7B7473DC">
      <w:start w:val="1"/>
      <w:numFmt w:val="bullet"/>
      <w:lvlText w:val=""/>
      <w:lvlJc w:val="left"/>
      <w:pPr>
        <w:ind w:left="1440" w:hanging="360"/>
      </w:pPr>
      <w:rPr>
        <w:rFonts w:ascii="Symbol" w:hAnsi="Symbol"/>
      </w:rPr>
    </w:lvl>
    <w:lvl w:ilvl="2" w:tplc="29B44F72">
      <w:start w:val="1"/>
      <w:numFmt w:val="bullet"/>
      <w:lvlText w:val=""/>
      <w:lvlJc w:val="left"/>
      <w:pPr>
        <w:ind w:left="1440" w:hanging="360"/>
      </w:pPr>
      <w:rPr>
        <w:rFonts w:ascii="Symbol" w:hAnsi="Symbol"/>
      </w:rPr>
    </w:lvl>
    <w:lvl w:ilvl="3" w:tplc="4D2AB294">
      <w:start w:val="1"/>
      <w:numFmt w:val="bullet"/>
      <w:lvlText w:val=""/>
      <w:lvlJc w:val="left"/>
      <w:pPr>
        <w:ind w:left="1440" w:hanging="360"/>
      </w:pPr>
      <w:rPr>
        <w:rFonts w:ascii="Symbol" w:hAnsi="Symbol"/>
      </w:rPr>
    </w:lvl>
    <w:lvl w:ilvl="4" w:tplc="8AC67A38">
      <w:start w:val="1"/>
      <w:numFmt w:val="bullet"/>
      <w:lvlText w:val=""/>
      <w:lvlJc w:val="left"/>
      <w:pPr>
        <w:ind w:left="1440" w:hanging="360"/>
      </w:pPr>
      <w:rPr>
        <w:rFonts w:ascii="Symbol" w:hAnsi="Symbol"/>
      </w:rPr>
    </w:lvl>
    <w:lvl w:ilvl="5" w:tplc="553C6CFE">
      <w:start w:val="1"/>
      <w:numFmt w:val="bullet"/>
      <w:lvlText w:val=""/>
      <w:lvlJc w:val="left"/>
      <w:pPr>
        <w:ind w:left="1440" w:hanging="360"/>
      </w:pPr>
      <w:rPr>
        <w:rFonts w:ascii="Symbol" w:hAnsi="Symbol"/>
      </w:rPr>
    </w:lvl>
    <w:lvl w:ilvl="6" w:tplc="E0CCA7FA">
      <w:start w:val="1"/>
      <w:numFmt w:val="bullet"/>
      <w:lvlText w:val=""/>
      <w:lvlJc w:val="left"/>
      <w:pPr>
        <w:ind w:left="1440" w:hanging="360"/>
      </w:pPr>
      <w:rPr>
        <w:rFonts w:ascii="Symbol" w:hAnsi="Symbol"/>
      </w:rPr>
    </w:lvl>
    <w:lvl w:ilvl="7" w:tplc="C9C89D30">
      <w:start w:val="1"/>
      <w:numFmt w:val="bullet"/>
      <w:lvlText w:val=""/>
      <w:lvlJc w:val="left"/>
      <w:pPr>
        <w:ind w:left="1440" w:hanging="360"/>
      </w:pPr>
      <w:rPr>
        <w:rFonts w:ascii="Symbol" w:hAnsi="Symbol"/>
      </w:rPr>
    </w:lvl>
    <w:lvl w:ilvl="8" w:tplc="D6FAD486">
      <w:start w:val="1"/>
      <w:numFmt w:val="bullet"/>
      <w:lvlText w:val=""/>
      <w:lvlJc w:val="left"/>
      <w:pPr>
        <w:ind w:left="1440" w:hanging="360"/>
      </w:pPr>
      <w:rPr>
        <w:rFonts w:ascii="Symbol" w:hAnsi="Symbol"/>
      </w:rPr>
    </w:lvl>
  </w:abstractNum>
  <w:abstractNum w:abstractNumId="19"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B77C94"/>
    <w:multiLevelType w:val="hybridMultilevel"/>
    <w:tmpl w:val="1EE46E2E"/>
    <w:lvl w:ilvl="0" w:tplc="4B9C1A06">
      <w:start w:val="1"/>
      <w:numFmt w:val="bullet"/>
      <w:lvlText w:val=""/>
      <w:lvlJc w:val="left"/>
      <w:pPr>
        <w:ind w:left="1440" w:hanging="360"/>
      </w:pPr>
      <w:rPr>
        <w:rFonts w:ascii="Symbol" w:hAnsi="Symbol"/>
      </w:rPr>
    </w:lvl>
    <w:lvl w:ilvl="1" w:tplc="D062EEF6">
      <w:start w:val="1"/>
      <w:numFmt w:val="bullet"/>
      <w:lvlText w:val=""/>
      <w:lvlJc w:val="left"/>
      <w:pPr>
        <w:ind w:left="1440" w:hanging="360"/>
      </w:pPr>
      <w:rPr>
        <w:rFonts w:ascii="Symbol" w:hAnsi="Symbol"/>
      </w:rPr>
    </w:lvl>
    <w:lvl w:ilvl="2" w:tplc="054443AC">
      <w:start w:val="1"/>
      <w:numFmt w:val="bullet"/>
      <w:lvlText w:val=""/>
      <w:lvlJc w:val="left"/>
      <w:pPr>
        <w:ind w:left="1440" w:hanging="360"/>
      </w:pPr>
      <w:rPr>
        <w:rFonts w:ascii="Symbol" w:hAnsi="Symbol"/>
      </w:rPr>
    </w:lvl>
    <w:lvl w:ilvl="3" w:tplc="6E681FAC">
      <w:start w:val="1"/>
      <w:numFmt w:val="bullet"/>
      <w:lvlText w:val=""/>
      <w:lvlJc w:val="left"/>
      <w:pPr>
        <w:ind w:left="1440" w:hanging="360"/>
      </w:pPr>
      <w:rPr>
        <w:rFonts w:ascii="Symbol" w:hAnsi="Symbol"/>
      </w:rPr>
    </w:lvl>
    <w:lvl w:ilvl="4" w:tplc="82C8ADFC">
      <w:start w:val="1"/>
      <w:numFmt w:val="bullet"/>
      <w:lvlText w:val=""/>
      <w:lvlJc w:val="left"/>
      <w:pPr>
        <w:ind w:left="1440" w:hanging="360"/>
      </w:pPr>
      <w:rPr>
        <w:rFonts w:ascii="Symbol" w:hAnsi="Symbol"/>
      </w:rPr>
    </w:lvl>
    <w:lvl w:ilvl="5" w:tplc="3410A66A">
      <w:start w:val="1"/>
      <w:numFmt w:val="bullet"/>
      <w:lvlText w:val=""/>
      <w:lvlJc w:val="left"/>
      <w:pPr>
        <w:ind w:left="1440" w:hanging="360"/>
      </w:pPr>
      <w:rPr>
        <w:rFonts w:ascii="Symbol" w:hAnsi="Symbol"/>
      </w:rPr>
    </w:lvl>
    <w:lvl w:ilvl="6" w:tplc="DE5E45C8">
      <w:start w:val="1"/>
      <w:numFmt w:val="bullet"/>
      <w:lvlText w:val=""/>
      <w:lvlJc w:val="left"/>
      <w:pPr>
        <w:ind w:left="1440" w:hanging="360"/>
      </w:pPr>
      <w:rPr>
        <w:rFonts w:ascii="Symbol" w:hAnsi="Symbol"/>
      </w:rPr>
    </w:lvl>
    <w:lvl w:ilvl="7" w:tplc="88C0C416">
      <w:start w:val="1"/>
      <w:numFmt w:val="bullet"/>
      <w:lvlText w:val=""/>
      <w:lvlJc w:val="left"/>
      <w:pPr>
        <w:ind w:left="1440" w:hanging="360"/>
      </w:pPr>
      <w:rPr>
        <w:rFonts w:ascii="Symbol" w:hAnsi="Symbol"/>
      </w:rPr>
    </w:lvl>
    <w:lvl w:ilvl="8" w:tplc="00CCDB28">
      <w:start w:val="1"/>
      <w:numFmt w:val="bullet"/>
      <w:lvlText w:val=""/>
      <w:lvlJc w:val="left"/>
      <w:pPr>
        <w:ind w:left="1440" w:hanging="360"/>
      </w:pPr>
      <w:rPr>
        <w:rFonts w:ascii="Symbol" w:hAnsi="Symbol"/>
      </w:rPr>
    </w:lvl>
  </w:abstractNum>
  <w:abstractNum w:abstractNumId="21" w15:restartNumberingAfterBreak="0">
    <w:nsid w:val="677363B8"/>
    <w:multiLevelType w:val="hybridMultilevel"/>
    <w:tmpl w:val="E2E05EEA"/>
    <w:lvl w:ilvl="0" w:tplc="FFFFFFFF">
      <w:start w:val="1"/>
      <w:numFmt w:val="decimal"/>
      <w:lvlText w:val="%1."/>
      <w:lvlJc w:val="left"/>
      <w:pPr>
        <w:ind w:left="1854" w:hanging="360"/>
      </w:pPr>
      <w:rPr>
        <w:b w:val="0"/>
        <w:bCs w:val="0"/>
        <w:color w:val="auto"/>
        <w:vertAlign w:val="baseline"/>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8A24B33"/>
    <w:multiLevelType w:val="multilevel"/>
    <w:tmpl w:val="59966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8AD07B2"/>
    <w:multiLevelType w:val="hybridMultilevel"/>
    <w:tmpl w:val="7FEE3222"/>
    <w:lvl w:ilvl="0" w:tplc="EAFA0730">
      <w:start w:val="1"/>
      <w:numFmt w:val="bullet"/>
      <w:pStyle w:val="Bullet1G"/>
      <w:lvlText w:val="•"/>
      <w:lvlJc w:val="left"/>
      <w:pPr>
        <w:tabs>
          <w:tab w:val="num" w:pos="1701"/>
        </w:tabs>
        <w:ind w:left="1701" w:hanging="170"/>
      </w:pPr>
      <w:rPr>
        <w:rFonts w:ascii="Times New Roman" w:hAnsi="Times New Roman" w:cs="Times New Roman" w:hint="default"/>
      </w:rPr>
    </w:lvl>
    <w:lvl w:ilvl="1" w:tplc="FFD8A276" w:tentative="1">
      <w:start w:val="1"/>
      <w:numFmt w:val="bullet"/>
      <w:lvlText w:val="o"/>
      <w:lvlJc w:val="left"/>
      <w:pPr>
        <w:tabs>
          <w:tab w:val="num" w:pos="3141"/>
        </w:tabs>
        <w:ind w:left="3141" w:hanging="360"/>
      </w:pPr>
      <w:rPr>
        <w:rFonts w:ascii="Courier New" w:hAnsi="Courier New" w:hint="default"/>
      </w:rPr>
    </w:lvl>
    <w:lvl w:ilvl="2" w:tplc="25A209A6" w:tentative="1">
      <w:start w:val="1"/>
      <w:numFmt w:val="bullet"/>
      <w:lvlText w:val=""/>
      <w:lvlJc w:val="left"/>
      <w:pPr>
        <w:tabs>
          <w:tab w:val="num" w:pos="3861"/>
        </w:tabs>
        <w:ind w:left="3861" w:hanging="360"/>
      </w:pPr>
      <w:rPr>
        <w:rFonts w:ascii="Wingdings" w:hAnsi="Wingdings" w:hint="default"/>
      </w:rPr>
    </w:lvl>
    <w:lvl w:ilvl="3" w:tplc="8FFA0B76" w:tentative="1">
      <w:start w:val="1"/>
      <w:numFmt w:val="bullet"/>
      <w:lvlText w:val=""/>
      <w:lvlJc w:val="left"/>
      <w:pPr>
        <w:tabs>
          <w:tab w:val="num" w:pos="4581"/>
        </w:tabs>
        <w:ind w:left="4581" w:hanging="360"/>
      </w:pPr>
      <w:rPr>
        <w:rFonts w:ascii="Symbol" w:hAnsi="Symbol" w:hint="default"/>
      </w:rPr>
    </w:lvl>
    <w:lvl w:ilvl="4" w:tplc="1B4C88C0" w:tentative="1">
      <w:start w:val="1"/>
      <w:numFmt w:val="bullet"/>
      <w:lvlText w:val="o"/>
      <w:lvlJc w:val="left"/>
      <w:pPr>
        <w:tabs>
          <w:tab w:val="num" w:pos="5301"/>
        </w:tabs>
        <w:ind w:left="5301" w:hanging="360"/>
      </w:pPr>
      <w:rPr>
        <w:rFonts w:ascii="Courier New" w:hAnsi="Courier New" w:hint="default"/>
      </w:rPr>
    </w:lvl>
    <w:lvl w:ilvl="5" w:tplc="A860E536" w:tentative="1">
      <w:start w:val="1"/>
      <w:numFmt w:val="bullet"/>
      <w:lvlText w:val=""/>
      <w:lvlJc w:val="left"/>
      <w:pPr>
        <w:tabs>
          <w:tab w:val="num" w:pos="6021"/>
        </w:tabs>
        <w:ind w:left="6021" w:hanging="360"/>
      </w:pPr>
      <w:rPr>
        <w:rFonts w:ascii="Wingdings" w:hAnsi="Wingdings" w:hint="default"/>
      </w:rPr>
    </w:lvl>
    <w:lvl w:ilvl="6" w:tplc="FB360A32" w:tentative="1">
      <w:start w:val="1"/>
      <w:numFmt w:val="bullet"/>
      <w:lvlText w:val=""/>
      <w:lvlJc w:val="left"/>
      <w:pPr>
        <w:tabs>
          <w:tab w:val="num" w:pos="6741"/>
        </w:tabs>
        <w:ind w:left="6741" w:hanging="360"/>
      </w:pPr>
      <w:rPr>
        <w:rFonts w:ascii="Symbol" w:hAnsi="Symbol" w:hint="default"/>
      </w:rPr>
    </w:lvl>
    <w:lvl w:ilvl="7" w:tplc="8B98BE9E" w:tentative="1">
      <w:start w:val="1"/>
      <w:numFmt w:val="bullet"/>
      <w:lvlText w:val="o"/>
      <w:lvlJc w:val="left"/>
      <w:pPr>
        <w:tabs>
          <w:tab w:val="num" w:pos="7461"/>
        </w:tabs>
        <w:ind w:left="7461" w:hanging="360"/>
      </w:pPr>
      <w:rPr>
        <w:rFonts w:ascii="Courier New" w:hAnsi="Courier New" w:hint="default"/>
      </w:rPr>
    </w:lvl>
    <w:lvl w:ilvl="8" w:tplc="5AD63E46" w:tentative="1">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75550C96"/>
    <w:multiLevelType w:val="hybridMultilevel"/>
    <w:tmpl w:val="F314F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A2093F"/>
    <w:multiLevelType w:val="hybridMultilevel"/>
    <w:tmpl w:val="C184A06C"/>
    <w:lvl w:ilvl="0" w:tplc="EB7C9B36">
      <w:start w:val="1"/>
      <w:numFmt w:val="bullet"/>
      <w:lvlText w:val=""/>
      <w:lvlJc w:val="left"/>
      <w:pPr>
        <w:ind w:left="1440" w:hanging="360"/>
      </w:pPr>
      <w:rPr>
        <w:rFonts w:ascii="Symbol" w:hAnsi="Symbol"/>
      </w:rPr>
    </w:lvl>
    <w:lvl w:ilvl="1" w:tplc="0A7819DE">
      <w:start w:val="1"/>
      <w:numFmt w:val="bullet"/>
      <w:lvlText w:val=""/>
      <w:lvlJc w:val="left"/>
      <w:pPr>
        <w:ind w:left="1440" w:hanging="360"/>
      </w:pPr>
      <w:rPr>
        <w:rFonts w:ascii="Symbol" w:hAnsi="Symbol"/>
      </w:rPr>
    </w:lvl>
    <w:lvl w:ilvl="2" w:tplc="C9707AB4">
      <w:start w:val="1"/>
      <w:numFmt w:val="bullet"/>
      <w:lvlText w:val=""/>
      <w:lvlJc w:val="left"/>
      <w:pPr>
        <w:ind w:left="1440" w:hanging="360"/>
      </w:pPr>
      <w:rPr>
        <w:rFonts w:ascii="Symbol" w:hAnsi="Symbol"/>
      </w:rPr>
    </w:lvl>
    <w:lvl w:ilvl="3" w:tplc="EFD44B3E">
      <w:start w:val="1"/>
      <w:numFmt w:val="bullet"/>
      <w:lvlText w:val=""/>
      <w:lvlJc w:val="left"/>
      <w:pPr>
        <w:ind w:left="1440" w:hanging="360"/>
      </w:pPr>
      <w:rPr>
        <w:rFonts w:ascii="Symbol" w:hAnsi="Symbol"/>
      </w:rPr>
    </w:lvl>
    <w:lvl w:ilvl="4" w:tplc="EB0E322C">
      <w:start w:val="1"/>
      <w:numFmt w:val="bullet"/>
      <w:lvlText w:val=""/>
      <w:lvlJc w:val="left"/>
      <w:pPr>
        <w:ind w:left="1440" w:hanging="360"/>
      </w:pPr>
      <w:rPr>
        <w:rFonts w:ascii="Symbol" w:hAnsi="Symbol"/>
      </w:rPr>
    </w:lvl>
    <w:lvl w:ilvl="5" w:tplc="11DA1D2C">
      <w:start w:val="1"/>
      <w:numFmt w:val="bullet"/>
      <w:lvlText w:val=""/>
      <w:lvlJc w:val="left"/>
      <w:pPr>
        <w:ind w:left="1440" w:hanging="360"/>
      </w:pPr>
      <w:rPr>
        <w:rFonts w:ascii="Symbol" w:hAnsi="Symbol"/>
      </w:rPr>
    </w:lvl>
    <w:lvl w:ilvl="6" w:tplc="9FA057CA">
      <w:start w:val="1"/>
      <w:numFmt w:val="bullet"/>
      <w:lvlText w:val=""/>
      <w:lvlJc w:val="left"/>
      <w:pPr>
        <w:ind w:left="1440" w:hanging="360"/>
      </w:pPr>
      <w:rPr>
        <w:rFonts w:ascii="Symbol" w:hAnsi="Symbol"/>
      </w:rPr>
    </w:lvl>
    <w:lvl w:ilvl="7" w:tplc="7528F690">
      <w:start w:val="1"/>
      <w:numFmt w:val="bullet"/>
      <w:lvlText w:val=""/>
      <w:lvlJc w:val="left"/>
      <w:pPr>
        <w:ind w:left="1440" w:hanging="360"/>
      </w:pPr>
      <w:rPr>
        <w:rFonts w:ascii="Symbol" w:hAnsi="Symbol"/>
      </w:rPr>
    </w:lvl>
    <w:lvl w:ilvl="8" w:tplc="78445A70">
      <w:start w:val="1"/>
      <w:numFmt w:val="bullet"/>
      <w:lvlText w:val=""/>
      <w:lvlJc w:val="left"/>
      <w:pPr>
        <w:ind w:left="1440" w:hanging="360"/>
      </w:pPr>
      <w:rPr>
        <w:rFonts w:ascii="Symbol" w:hAnsi="Symbol"/>
      </w:rPr>
    </w:lvl>
  </w:abstractNum>
  <w:abstractNum w:abstractNumId="2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D81B1E"/>
    <w:multiLevelType w:val="hybridMultilevel"/>
    <w:tmpl w:val="2A96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E013A9B"/>
    <w:multiLevelType w:val="hybridMultilevel"/>
    <w:tmpl w:val="2D823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8229538">
    <w:abstractNumId w:val="19"/>
  </w:num>
  <w:num w:numId="2" w16cid:durableId="491413087">
    <w:abstractNumId w:val="26"/>
  </w:num>
  <w:num w:numId="3" w16cid:durableId="91509002">
    <w:abstractNumId w:val="23"/>
  </w:num>
  <w:num w:numId="4" w16cid:durableId="1416777754">
    <w:abstractNumId w:val="11"/>
  </w:num>
  <w:num w:numId="5" w16cid:durableId="672415033">
    <w:abstractNumId w:val="2"/>
  </w:num>
  <w:num w:numId="6" w16cid:durableId="1638995636">
    <w:abstractNumId w:val="0"/>
  </w:num>
  <w:num w:numId="7" w16cid:durableId="712461302">
    <w:abstractNumId w:val="17"/>
  </w:num>
  <w:num w:numId="8" w16cid:durableId="579825274">
    <w:abstractNumId w:val="3"/>
  </w:num>
  <w:num w:numId="9" w16cid:durableId="2135976077">
    <w:abstractNumId w:val="5"/>
  </w:num>
  <w:num w:numId="10" w16cid:durableId="1326980634">
    <w:abstractNumId w:val="24"/>
  </w:num>
  <w:num w:numId="11" w16cid:durableId="1341393845">
    <w:abstractNumId w:val="10"/>
  </w:num>
  <w:num w:numId="12" w16cid:durableId="1031229899">
    <w:abstractNumId w:val="1"/>
  </w:num>
  <w:num w:numId="13" w16cid:durableId="290671350">
    <w:abstractNumId w:val="16"/>
  </w:num>
  <w:num w:numId="14" w16cid:durableId="953832187">
    <w:abstractNumId w:val="8"/>
  </w:num>
  <w:num w:numId="15" w16cid:durableId="1315064719">
    <w:abstractNumId w:val="27"/>
  </w:num>
  <w:num w:numId="16" w16cid:durableId="684401202">
    <w:abstractNumId w:val="28"/>
  </w:num>
  <w:num w:numId="17" w16cid:durableId="1795826669">
    <w:abstractNumId w:val="13"/>
  </w:num>
  <w:num w:numId="18" w16cid:durableId="1802839749">
    <w:abstractNumId w:val="22"/>
  </w:num>
  <w:num w:numId="19" w16cid:durableId="466822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753716">
    <w:abstractNumId w:val="25"/>
  </w:num>
  <w:num w:numId="21" w16cid:durableId="1617592282">
    <w:abstractNumId w:val="18"/>
  </w:num>
  <w:num w:numId="22" w16cid:durableId="1698504560">
    <w:abstractNumId w:val="12"/>
  </w:num>
  <w:num w:numId="23" w16cid:durableId="1379626955">
    <w:abstractNumId w:val="21"/>
  </w:num>
  <w:num w:numId="24" w16cid:durableId="747383577">
    <w:abstractNumId w:val="6"/>
  </w:num>
  <w:num w:numId="25" w16cid:durableId="439222686">
    <w:abstractNumId w:val="20"/>
  </w:num>
  <w:num w:numId="26" w16cid:durableId="1219896900">
    <w:abstractNumId w:val="7"/>
  </w:num>
  <w:num w:numId="27" w16cid:durableId="2020043933">
    <w:abstractNumId w:val="9"/>
  </w:num>
  <w:num w:numId="28" w16cid:durableId="1644771555">
    <w:abstractNumId w:val="15"/>
  </w:num>
  <w:num w:numId="29" w16cid:durableId="211905788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0" w:nlCheck="1" w:checkStyle="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DB"/>
    <w:rsid w:val="0000024A"/>
    <w:rsid w:val="00001B46"/>
    <w:rsid w:val="00001D9B"/>
    <w:rsid w:val="00001F66"/>
    <w:rsid w:val="000027F2"/>
    <w:rsid w:val="0000367D"/>
    <w:rsid w:val="0000376C"/>
    <w:rsid w:val="000037B1"/>
    <w:rsid w:val="00004D33"/>
    <w:rsid w:val="00004D80"/>
    <w:rsid w:val="00004F41"/>
    <w:rsid w:val="00005DA1"/>
    <w:rsid w:val="00005ED3"/>
    <w:rsid w:val="00007539"/>
    <w:rsid w:val="00010994"/>
    <w:rsid w:val="00010B90"/>
    <w:rsid w:val="00010F43"/>
    <w:rsid w:val="00011D72"/>
    <w:rsid w:val="000129DF"/>
    <w:rsid w:val="00012A7D"/>
    <w:rsid w:val="00012E32"/>
    <w:rsid w:val="00012F91"/>
    <w:rsid w:val="00014485"/>
    <w:rsid w:val="00015717"/>
    <w:rsid w:val="00015E95"/>
    <w:rsid w:val="00015EC4"/>
    <w:rsid w:val="00016A7B"/>
    <w:rsid w:val="00016EB7"/>
    <w:rsid w:val="000170AC"/>
    <w:rsid w:val="0001797F"/>
    <w:rsid w:val="0001798E"/>
    <w:rsid w:val="00017CD5"/>
    <w:rsid w:val="00021439"/>
    <w:rsid w:val="00021C5F"/>
    <w:rsid w:val="00022069"/>
    <w:rsid w:val="000222AA"/>
    <w:rsid w:val="00022A31"/>
    <w:rsid w:val="000231D7"/>
    <w:rsid w:val="00023873"/>
    <w:rsid w:val="0002486B"/>
    <w:rsid w:val="00024FF5"/>
    <w:rsid w:val="00025D68"/>
    <w:rsid w:val="00026036"/>
    <w:rsid w:val="00026264"/>
    <w:rsid w:val="000265CA"/>
    <w:rsid w:val="00026F2B"/>
    <w:rsid w:val="000270EE"/>
    <w:rsid w:val="00027876"/>
    <w:rsid w:val="00030037"/>
    <w:rsid w:val="000302DB"/>
    <w:rsid w:val="00030327"/>
    <w:rsid w:val="00030583"/>
    <w:rsid w:val="00031996"/>
    <w:rsid w:val="000320FA"/>
    <w:rsid w:val="00032393"/>
    <w:rsid w:val="000331DC"/>
    <w:rsid w:val="0003328B"/>
    <w:rsid w:val="00033C0F"/>
    <w:rsid w:val="00034106"/>
    <w:rsid w:val="0003487B"/>
    <w:rsid w:val="000351EE"/>
    <w:rsid w:val="00035542"/>
    <w:rsid w:val="00035DCD"/>
    <w:rsid w:val="0003689A"/>
    <w:rsid w:val="000368E2"/>
    <w:rsid w:val="00036D70"/>
    <w:rsid w:val="00040A7B"/>
    <w:rsid w:val="00040DB2"/>
    <w:rsid w:val="00041DD9"/>
    <w:rsid w:val="00041F4A"/>
    <w:rsid w:val="00042373"/>
    <w:rsid w:val="00042F55"/>
    <w:rsid w:val="000433CE"/>
    <w:rsid w:val="00043CD0"/>
    <w:rsid w:val="00044044"/>
    <w:rsid w:val="00045B1A"/>
    <w:rsid w:val="00045E3E"/>
    <w:rsid w:val="000461F7"/>
    <w:rsid w:val="00046327"/>
    <w:rsid w:val="000468C3"/>
    <w:rsid w:val="000479B7"/>
    <w:rsid w:val="00051197"/>
    <w:rsid w:val="00051490"/>
    <w:rsid w:val="000514D1"/>
    <w:rsid w:val="000517AD"/>
    <w:rsid w:val="00051CCE"/>
    <w:rsid w:val="00052322"/>
    <w:rsid w:val="00052B9F"/>
    <w:rsid w:val="00052BE4"/>
    <w:rsid w:val="00053416"/>
    <w:rsid w:val="000550C9"/>
    <w:rsid w:val="00055847"/>
    <w:rsid w:val="00056D78"/>
    <w:rsid w:val="00056E7F"/>
    <w:rsid w:val="00057000"/>
    <w:rsid w:val="00057568"/>
    <w:rsid w:val="00057A84"/>
    <w:rsid w:val="0006115D"/>
    <w:rsid w:val="00061C7A"/>
    <w:rsid w:val="00061EF3"/>
    <w:rsid w:val="00062C5E"/>
    <w:rsid w:val="000633F5"/>
    <w:rsid w:val="00063E95"/>
    <w:rsid w:val="00064229"/>
    <w:rsid w:val="00064A89"/>
    <w:rsid w:val="00064A8C"/>
    <w:rsid w:val="000653EA"/>
    <w:rsid w:val="00071870"/>
    <w:rsid w:val="00071DCE"/>
    <w:rsid w:val="00073013"/>
    <w:rsid w:val="000731A9"/>
    <w:rsid w:val="00073C96"/>
    <w:rsid w:val="00074314"/>
    <w:rsid w:val="000750D4"/>
    <w:rsid w:val="000756EE"/>
    <w:rsid w:val="00076133"/>
    <w:rsid w:val="000766CF"/>
    <w:rsid w:val="00076A74"/>
    <w:rsid w:val="00076FF2"/>
    <w:rsid w:val="0007784B"/>
    <w:rsid w:val="0008092C"/>
    <w:rsid w:val="00081C73"/>
    <w:rsid w:val="000824B1"/>
    <w:rsid w:val="00083DDF"/>
    <w:rsid w:val="00083FAF"/>
    <w:rsid w:val="00084A12"/>
    <w:rsid w:val="00084D89"/>
    <w:rsid w:val="00084F27"/>
    <w:rsid w:val="0008556A"/>
    <w:rsid w:val="00085931"/>
    <w:rsid w:val="000861FA"/>
    <w:rsid w:val="000864E9"/>
    <w:rsid w:val="00087473"/>
    <w:rsid w:val="00090127"/>
    <w:rsid w:val="00092B21"/>
    <w:rsid w:val="00092D79"/>
    <w:rsid w:val="00092F1A"/>
    <w:rsid w:val="00093A4B"/>
    <w:rsid w:val="000946D9"/>
    <w:rsid w:val="000948BC"/>
    <w:rsid w:val="00094C7D"/>
    <w:rsid w:val="00095F87"/>
    <w:rsid w:val="000961FB"/>
    <w:rsid w:val="0009626D"/>
    <w:rsid w:val="000963F3"/>
    <w:rsid w:val="00097C4B"/>
    <w:rsid w:val="000A04A7"/>
    <w:rsid w:val="000A11EB"/>
    <w:rsid w:val="000A14E0"/>
    <w:rsid w:val="000A1B59"/>
    <w:rsid w:val="000A258F"/>
    <w:rsid w:val="000A27D7"/>
    <w:rsid w:val="000A34F1"/>
    <w:rsid w:val="000A3520"/>
    <w:rsid w:val="000A48CC"/>
    <w:rsid w:val="000A491B"/>
    <w:rsid w:val="000A53D4"/>
    <w:rsid w:val="000A556B"/>
    <w:rsid w:val="000A5AC5"/>
    <w:rsid w:val="000A5B58"/>
    <w:rsid w:val="000A69AD"/>
    <w:rsid w:val="000A7CCB"/>
    <w:rsid w:val="000B0B6B"/>
    <w:rsid w:val="000B0BA1"/>
    <w:rsid w:val="000B0C59"/>
    <w:rsid w:val="000B0C64"/>
    <w:rsid w:val="000B13CC"/>
    <w:rsid w:val="000B1740"/>
    <w:rsid w:val="000B1882"/>
    <w:rsid w:val="000B273D"/>
    <w:rsid w:val="000B2A40"/>
    <w:rsid w:val="000B2AF6"/>
    <w:rsid w:val="000B38AC"/>
    <w:rsid w:val="000B38C5"/>
    <w:rsid w:val="000B3C12"/>
    <w:rsid w:val="000B3E14"/>
    <w:rsid w:val="000B4281"/>
    <w:rsid w:val="000B4668"/>
    <w:rsid w:val="000B48E4"/>
    <w:rsid w:val="000B4A6C"/>
    <w:rsid w:val="000B5CA9"/>
    <w:rsid w:val="000B6CE5"/>
    <w:rsid w:val="000B6D08"/>
    <w:rsid w:val="000B718A"/>
    <w:rsid w:val="000C25E0"/>
    <w:rsid w:val="000C2714"/>
    <w:rsid w:val="000C5EBC"/>
    <w:rsid w:val="000C6D73"/>
    <w:rsid w:val="000C7F0E"/>
    <w:rsid w:val="000D03BB"/>
    <w:rsid w:val="000D0B8E"/>
    <w:rsid w:val="000D1244"/>
    <w:rsid w:val="000D1FF7"/>
    <w:rsid w:val="000D204A"/>
    <w:rsid w:val="000D2D26"/>
    <w:rsid w:val="000D3105"/>
    <w:rsid w:val="000D33BE"/>
    <w:rsid w:val="000D3E11"/>
    <w:rsid w:val="000D4D1F"/>
    <w:rsid w:val="000D504D"/>
    <w:rsid w:val="000D57BF"/>
    <w:rsid w:val="000D5A94"/>
    <w:rsid w:val="000D5B18"/>
    <w:rsid w:val="000D648B"/>
    <w:rsid w:val="000D68CD"/>
    <w:rsid w:val="000D6B5F"/>
    <w:rsid w:val="000D6D79"/>
    <w:rsid w:val="000D76EC"/>
    <w:rsid w:val="000D78B0"/>
    <w:rsid w:val="000D7976"/>
    <w:rsid w:val="000D7E70"/>
    <w:rsid w:val="000E0596"/>
    <w:rsid w:val="000E06BA"/>
    <w:rsid w:val="000E097F"/>
    <w:rsid w:val="000E1004"/>
    <w:rsid w:val="000E100C"/>
    <w:rsid w:val="000E189D"/>
    <w:rsid w:val="000E1D20"/>
    <w:rsid w:val="000E1EBA"/>
    <w:rsid w:val="000E1F23"/>
    <w:rsid w:val="000E36B3"/>
    <w:rsid w:val="000E375A"/>
    <w:rsid w:val="000E3ADB"/>
    <w:rsid w:val="000E4B79"/>
    <w:rsid w:val="000E4D04"/>
    <w:rsid w:val="000E5A62"/>
    <w:rsid w:val="000E61D5"/>
    <w:rsid w:val="000E665B"/>
    <w:rsid w:val="000E7438"/>
    <w:rsid w:val="000E7544"/>
    <w:rsid w:val="000E7755"/>
    <w:rsid w:val="000F0690"/>
    <w:rsid w:val="000F0731"/>
    <w:rsid w:val="000F076F"/>
    <w:rsid w:val="000F0A73"/>
    <w:rsid w:val="000F1243"/>
    <w:rsid w:val="000F145C"/>
    <w:rsid w:val="000F21DE"/>
    <w:rsid w:val="000F2378"/>
    <w:rsid w:val="000F262B"/>
    <w:rsid w:val="000F2C09"/>
    <w:rsid w:val="000F4217"/>
    <w:rsid w:val="000F4BAE"/>
    <w:rsid w:val="000F5D06"/>
    <w:rsid w:val="000F6513"/>
    <w:rsid w:val="000F6592"/>
    <w:rsid w:val="000F69F4"/>
    <w:rsid w:val="000F6E72"/>
    <w:rsid w:val="000F6F9A"/>
    <w:rsid w:val="000F71C9"/>
    <w:rsid w:val="000F7A2A"/>
    <w:rsid w:val="000F7BC0"/>
    <w:rsid w:val="0010041B"/>
    <w:rsid w:val="001006BD"/>
    <w:rsid w:val="00102A3B"/>
    <w:rsid w:val="00102F13"/>
    <w:rsid w:val="0010387B"/>
    <w:rsid w:val="00103925"/>
    <w:rsid w:val="00103BC5"/>
    <w:rsid w:val="00104202"/>
    <w:rsid w:val="00104282"/>
    <w:rsid w:val="00104B14"/>
    <w:rsid w:val="00104BE9"/>
    <w:rsid w:val="00104F8D"/>
    <w:rsid w:val="0010501D"/>
    <w:rsid w:val="00105A9B"/>
    <w:rsid w:val="001064D6"/>
    <w:rsid w:val="00106E99"/>
    <w:rsid w:val="00106F65"/>
    <w:rsid w:val="00106FFE"/>
    <w:rsid w:val="00110207"/>
    <w:rsid w:val="00110BEC"/>
    <w:rsid w:val="001111DB"/>
    <w:rsid w:val="00112B20"/>
    <w:rsid w:val="00112FA7"/>
    <w:rsid w:val="00113017"/>
    <w:rsid w:val="001132E6"/>
    <w:rsid w:val="00113E04"/>
    <w:rsid w:val="001141D2"/>
    <w:rsid w:val="00114214"/>
    <w:rsid w:val="00114A30"/>
    <w:rsid w:val="00114A33"/>
    <w:rsid w:val="0011529C"/>
    <w:rsid w:val="001154FA"/>
    <w:rsid w:val="00115AD7"/>
    <w:rsid w:val="00116040"/>
    <w:rsid w:val="0011704C"/>
    <w:rsid w:val="001179D1"/>
    <w:rsid w:val="001179F3"/>
    <w:rsid w:val="00117BEF"/>
    <w:rsid w:val="00120A86"/>
    <w:rsid w:val="00120AC9"/>
    <w:rsid w:val="00121560"/>
    <w:rsid w:val="0012160E"/>
    <w:rsid w:val="001219DF"/>
    <w:rsid w:val="001221C2"/>
    <w:rsid w:val="00123D7B"/>
    <w:rsid w:val="00123E8C"/>
    <w:rsid w:val="00124008"/>
    <w:rsid w:val="00124383"/>
    <w:rsid w:val="00125646"/>
    <w:rsid w:val="00125ACE"/>
    <w:rsid w:val="00125CD0"/>
    <w:rsid w:val="00126E2C"/>
    <w:rsid w:val="00127000"/>
    <w:rsid w:val="00127012"/>
    <w:rsid w:val="001276E1"/>
    <w:rsid w:val="00127B70"/>
    <w:rsid w:val="00127E8F"/>
    <w:rsid w:val="0013052F"/>
    <w:rsid w:val="00131BF2"/>
    <w:rsid w:val="00131DFA"/>
    <w:rsid w:val="00131F41"/>
    <w:rsid w:val="00132956"/>
    <w:rsid w:val="00132BE1"/>
    <w:rsid w:val="00133498"/>
    <w:rsid w:val="00133FE4"/>
    <w:rsid w:val="001341BD"/>
    <w:rsid w:val="00134CFB"/>
    <w:rsid w:val="001352EE"/>
    <w:rsid w:val="0013547D"/>
    <w:rsid w:val="0013567C"/>
    <w:rsid w:val="001356CF"/>
    <w:rsid w:val="00135748"/>
    <w:rsid w:val="00136963"/>
    <w:rsid w:val="00137CB1"/>
    <w:rsid w:val="00137EFF"/>
    <w:rsid w:val="0014048E"/>
    <w:rsid w:val="00140B1C"/>
    <w:rsid w:val="00140D66"/>
    <w:rsid w:val="00140E3A"/>
    <w:rsid w:val="0014113B"/>
    <w:rsid w:val="00141427"/>
    <w:rsid w:val="0014294D"/>
    <w:rsid w:val="00142D79"/>
    <w:rsid w:val="001439F6"/>
    <w:rsid w:val="00143E0B"/>
    <w:rsid w:val="00144AC9"/>
    <w:rsid w:val="001466DD"/>
    <w:rsid w:val="00146E58"/>
    <w:rsid w:val="00147076"/>
    <w:rsid w:val="001509F4"/>
    <w:rsid w:val="00150E15"/>
    <w:rsid w:val="00150F57"/>
    <w:rsid w:val="001514FC"/>
    <w:rsid w:val="00151B09"/>
    <w:rsid w:val="001521CA"/>
    <w:rsid w:val="00152FC0"/>
    <w:rsid w:val="00153326"/>
    <w:rsid w:val="001534A3"/>
    <w:rsid w:val="0015351E"/>
    <w:rsid w:val="001539BB"/>
    <w:rsid w:val="001541B0"/>
    <w:rsid w:val="00154416"/>
    <w:rsid w:val="001548E2"/>
    <w:rsid w:val="00154CBE"/>
    <w:rsid w:val="001551E1"/>
    <w:rsid w:val="00155257"/>
    <w:rsid w:val="001562EE"/>
    <w:rsid w:val="00157C5D"/>
    <w:rsid w:val="00157EBC"/>
    <w:rsid w:val="0016063B"/>
    <w:rsid w:val="00160BC8"/>
    <w:rsid w:val="001611BF"/>
    <w:rsid w:val="0016170A"/>
    <w:rsid w:val="00161795"/>
    <w:rsid w:val="00162614"/>
    <w:rsid w:val="00162BB1"/>
    <w:rsid w:val="00163352"/>
    <w:rsid w:val="001636D1"/>
    <w:rsid w:val="00163CA1"/>
    <w:rsid w:val="00163FB7"/>
    <w:rsid w:val="00165030"/>
    <w:rsid w:val="00165688"/>
    <w:rsid w:val="001657CA"/>
    <w:rsid w:val="00165921"/>
    <w:rsid w:val="001660C0"/>
    <w:rsid w:val="001670F1"/>
    <w:rsid w:val="00167D39"/>
    <w:rsid w:val="001707B6"/>
    <w:rsid w:val="0017131E"/>
    <w:rsid w:val="001713A3"/>
    <w:rsid w:val="0017147E"/>
    <w:rsid w:val="00171F14"/>
    <w:rsid w:val="00173464"/>
    <w:rsid w:val="0017513D"/>
    <w:rsid w:val="00175294"/>
    <w:rsid w:val="00175F1E"/>
    <w:rsid w:val="001760E6"/>
    <w:rsid w:val="00177157"/>
    <w:rsid w:val="0017793D"/>
    <w:rsid w:val="00180286"/>
    <w:rsid w:val="00181061"/>
    <w:rsid w:val="0018127D"/>
    <w:rsid w:val="001819D7"/>
    <w:rsid w:val="00181FD3"/>
    <w:rsid w:val="001820ED"/>
    <w:rsid w:val="001831C1"/>
    <w:rsid w:val="00183FED"/>
    <w:rsid w:val="00184B1E"/>
    <w:rsid w:val="00185F36"/>
    <w:rsid w:val="00186733"/>
    <w:rsid w:val="00186A45"/>
    <w:rsid w:val="00186B10"/>
    <w:rsid w:val="0018755F"/>
    <w:rsid w:val="001878E2"/>
    <w:rsid w:val="00190F49"/>
    <w:rsid w:val="00192040"/>
    <w:rsid w:val="00192542"/>
    <w:rsid w:val="00192EBF"/>
    <w:rsid w:val="0019305C"/>
    <w:rsid w:val="0019315F"/>
    <w:rsid w:val="00193BCF"/>
    <w:rsid w:val="0019412B"/>
    <w:rsid w:val="00194972"/>
    <w:rsid w:val="00194C0D"/>
    <w:rsid w:val="00194D2F"/>
    <w:rsid w:val="00194E3E"/>
    <w:rsid w:val="00195822"/>
    <w:rsid w:val="00195C6B"/>
    <w:rsid w:val="0019708F"/>
    <w:rsid w:val="001A0420"/>
    <w:rsid w:val="001A0D0E"/>
    <w:rsid w:val="001A1C6C"/>
    <w:rsid w:val="001A1CD8"/>
    <w:rsid w:val="001A275B"/>
    <w:rsid w:val="001A276F"/>
    <w:rsid w:val="001A2BEA"/>
    <w:rsid w:val="001A303A"/>
    <w:rsid w:val="001A33FF"/>
    <w:rsid w:val="001A3E18"/>
    <w:rsid w:val="001A417C"/>
    <w:rsid w:val="001A4539"/>
    <w:rsid w:val="001A45E4"/>
    <w:rsid w:val="001A542F"/>
    <w:rsid w:val="001A603D"/>
    <w:rsid w:val="001A7019"/>
    <w:rsid w:val="001A76C8"/>
    <w:rsid w:val="001A7C9A"/>
    <w:rsid w:val="001B0F12"/>
    <w:rsid w:val="001B12FD"/>
    <w:rsid w:val="001B15A3"/>
    <w:rsid w:val="001B1A0D"/>
    <w:rsid w:val="001B1E08"/>
    <w:rsid w:val="001B1FD6"/>
    <w:rsid w:val="001B27A4"/>
    <w:rsid w:val="001B29A7"/>
    <w:rsid w:val="001B38ED"/>
    <w:rsid w:val="001B3962"/>
    <w:rsid w:val="001B4289"/>
    <w:rsid w:val="001B49BA"/>
    <w:rsid w:val="001B4C02"/>
    <w:rsid w:val="001B5601"/>
    <w:rsid w:val="001B5BAF"/>
    <w:rsid w:val="001B6A46"/>
    <w:rsid w:val="001B6BA0"/>
    <w:rsid w:val="001B6BA4"/>
    <w:rsid w:val="001C04CA"/>
    <w:rsid w:val="001C10E4"/>
    <w:rsid w:val="001C2553"/>
    <w:rsid w:val="001C25C9"/>
    <w:rsid w:val="001C3856"/>
    <w:rsid w:val="001C41DE"/>
    <w:rsid w:val="001C4535"/>
    <w:rsid w:val="001C4615"/>
    <w:rsid w:val="001C4B77"/>
    <w:rsid w:val="001C78E2"/>
    <w:rsid w:val="001D0C90"/>
    <w:rsid w:val="001D1B5A"/>
    <w:rsid w:val="001D2437"/>
    <w:rsid w:val="001D4810"/>
    <w:rsid w:val="001D51AD"/>
    <w:rsid w:val="001D5F4F"/>
    <w:rsid w:val="001D75B2"/>
    <w:rsid w:val="001D7CB2"/>
    <w:rsid w:val="001E0D27"/>
    <w:rsid w:val="001E12FC"/>
    <w:rsid w:val="001E17D3"/>
    <w:rsid w:val="001E2410"/>
    <w:rsid w:val="001E2528"/>
    <w:rsid w:val="001E2D30"/>
    <w:rsid w:val="001E3406"/>
    <w:rsid w:val="001E35B6"/>
    <w:rsid w:val="001E36C3"/>
    <w:rsid w:val="001E42CC"/>
    <w:rsid w:val="001E43FD"/>
    <w:rsid w:val="001E5B38"/>
    <w:rsid w:val="001E5E7B"/>
    <w:rsid w:val="001E5F35"/>
    <w:rsid w:val="001E67EB"/>
    <w:rsid w:val="001E74A0"/>
    <w:rsid w:val="001E7A35"/>
    <w:rsid w:val="001E7B00"/>
    <w:rsid w:val="001F026B"/>
    <w:rsid w:val="001F0BBC"/>
    <w:rsid w:val="001F14E2"/>
    <w:rsid w:val="001F183D"/>
    <w:rsid w:val="001F199C"/>
    <w:rsid w:val="001F1AF7"/>
    <w:rsid w:val="001F28D1"/>
    <w:rsid w:val="001F2984"/>
    <w:rsid w:val="001F382E"/>
    <w:rsid w:val="001F419E"/>
    <w:rsid w:val="001F4422"/>
    <w:rsid w:val="001F47F5"/>
    <w:rsid w:val="001F4914"/>
    <w:rsid w:val="001F4A29"/>
    <w:rsid w:val="001F5AD5"/>
    <w:rsid w:val="001F5C37"/>
    <w:rsid w:val="001F5E40"/>
    <w:rsid w:val="001F671B"/>
    <w:rsid w:val="001F7215"/>
    <w:rsid w:val="001F74DB"/>
    <w:rsid w:val="001F7524"/>
    <w:rsid w:val="001F7714"/>
    <w:rsid w:val="001F7A4F"/>
    <w:rsid w:val="001F7C09"/>
    <w:rsid w:val="00200024"/>
    <w:rsid w:val="0020042A"/>
    <w:rsid w:val="00200E93"/>
    <w:rsid w:val="00201A25"/>
    <w:rsid w:val="00203F62"/>
    <w:rsid w:val="00204563"/>
    <w:rsid w:val="0020489D"/>
    <w:rsid w:val="002058BD"/>
    <w:rsid w:val="002059AF"/>
    <w:rsid w:val="00205DE4"/>
    <w:rsid w:val="00206DC7"/>
    <w:rsid w:val="00207578"/>
    <w:rsid w:val="0020762A"/>
    <w:rsid w:val="00212A5F"/>
    <w:rsid w:val="0021346D"/>
    <w:rsid w:val="0021389A"/>
    <w:rsid w:val="002139E2"/>
    <w:rsid w:val="00213BD6"/>
    <w:rsid w:val="00213C8F"/>
    <w:rsid w:val="00213E72"/>
    <w:rsid w:val="002142EF"/>
    <w:rsid w:val="00214BE9"/>
    <w:rsid w:val="00214FBA"/>
    <w:rsid w:val="0021566F"/>
    <w:rsid w:val="00220997"/>
    <w:rsid w:val="00221C6C"/>
    <w:rsid w:val="0022253A"/>
    <w:rsid w:val="00222838"/>
    <w:rsid w:val="00222F2B"/>
    <w:rsid w:val="00222F31"/>
    <w:rsid w:val="00223CFB"/>
    <w:rsid w:val="00225EC8"/>
    <w:rsid w:val="002261E8"/>
    <w:rsid w:val="002272D9"/>
    <w:rsid w:val="00230407"/>
    <w:rsid w:val="002312E8"/>
    <w:rsid w:val="002314F5"/>
    <w:rsid w:val="0023206F"/>
    <w:rsid w:val="002335A2"/>
    <w:rsid w:val="00233DAE"/>
    <w:rsid w:val="00234451"/>
    <w:rsid w:val="002344FD"/>
    <w:rsid w:val="00235558"/>
    <w:rsid w:val="00235CDA"/>
    <w:rsid w:val="00235E51"/>
    <w:rsid w:val="002367A6"/>
    <w:rsid w:val="00236F07"/>
    <w:rsid w:val="00237155"/>
    <w:rsid w:val="0023729E"/>
    <w:rsid w:val="00237D3E"/>
    <w:rsid w:val="002407CF"/>
    <w:rsid w:val="00240836"/>
    <w:rsid w:val="00240B77"/>
    <w:rsid w:val="0024159D"/>
    <w:rsid w:val="00242018"/>
    <w:rsid w:val="002422A5"/>
    <w:rsid w:val="0024265F"/>
    <w:rsid w:val="002427C2"/>
    <w:rsid w:val="0024297C"/>
    <w:rsid w:val="00243135"/>
    <w:rsid w:val="002436E6"/>
    <w:rsid w:val="00243B81"/>
    <w:rsid w:val="00244EA7"/>
    <w:rsid w:val="00245170"/>
    <w:rsid w:val="0024601A"/>
    <w:rsid w:val="00246BE3"/>
    <w:rsid w:val="00246EBA"/>
    <w:rsid w:val="002476B3"/>
    <w:rsid w:val="00247741"/>
    <w:rsid w:val="00247B8E"/>
    <w:rsid w:val="00250983"/>
    <w:rsid w:val="00250D30"/>
    <w:rsid w:val="0025177F"/>
    <w:rsid w:val="002518C2"/>
    <w:rsid w:val="00253FEE"/>
    <w:rsid w:val="00254309"/>
    <w:rsid w:val="00255880"/>
    <w:rsid w:val="00255D1C"/>
    <w:rsid w:val="00256A61"/>
    <w:rsid w:val="00256AB4"/>
    <w:rsid w:val="00256AB9"/>
    <w:rsid w:val="0025780C"/>
    <w:rsid w:val="002602E0"/>
    <w:rsid w:val="00261EC9"/>
    <w:rsid w:val="0026282B"/>
    <w:rsid w:val="00262915"/>
    <w:rsid w:val="00263412"/>
    <w:rsid w:val="00264185"/>
    <w:rsid w:val="00264344"/>
    <w:rsid w:val="00265585"/>
    <w:rsid w:val="0026652A"/>
    <w:rsid w:val="00266589"/>
    <w:rsid w:val="00266E70"/>
    <w:rsid w:val="00266ECE"/>
    <w:rsid w:val="00267081"/>
    <w:rsid w:val="0026771E"/>
    <w:rsid w:val="00270E2A"/>
    <w:rsid w:val="002712B3"/>
    <w:rsid w:val="00271468"/>
    <w:rsid w:val="00271821"/>
    <w:rsid w:val="00273048"/>
    <w:rsid w:val="00273A35"/>
    <w:rsid w:val="00275632"/>
    <w:rsid w:val="00276885"/>
    <w:rsid w:val="00277EDE"/>
    <w:rsid w:val="00280170"/>
    <w:rsid w:val="002808F8"/>
    <w:rsid w:val="00280F03"/>
    <w:rsid w:val="00281241"/>
    <w:rsid w:val="00281FB6"/>
    <w:rsid w:val="002826D1"/>
    <w:rsid w:val="0028275E"/>
    <w:rsid w:val="00282E28"/>
    <w:rsid w:val="002844A9"/>
    <w:rsid w:val="00284647"/>
    <w:rsid w:val="00284C4E"/>
    <w:rsid w:val="00284E22"/>
    <w:rsid w:val="0028514D"/>
    <w:rsid w:val="002869C8"/>
    <w:rsid w:val="0028712E"/>
    <w:rsid w:val="00287669"/>
    <w:rsid w:val="00287805"/>
    <w:rsid w:val="00287F90"/>
    <w:rsid w:val="002909F1"/>
    <w:rsid w:val="00291B0A"/>
    <w:rsid w:val="0029210E"/>
    <w:rsid w:val="0029263C"/>
    <w:rsid w:val="00292BB1"/>
    <w:rsid w:val="00293A76"/>
    <w:rsid w:val="00293C91"/>
    <w:rsid w:val="0029412D"/>
    <w:rsid w:val="0029460C"/>
    <w:rsid w:val="002953EB"/>
    <w:rsid w:val="00295758"/>
    <w:rsid w:val="00296120"/>
    <w:rsid w:val="00296266"/>
    <w:rsid w:val="002965CA"/>
    <w:rsid w:val="00297220"/>
    <w:rsid w:val="00297781"/>
    <w:rsid w:val="002A13FE"/>
    <w:rsid w:val="002A1D95"/>
    <w:rsid w:val="002A1F0C"/>
    <w:rsid w:val="002A1FFD"/>
    <w:rsid w:val="002A2348"/>
    <w:rsid w:val="002A26A6"/>
    <w:rsid w:val="002A2784"/>
    <w:rsid w:val="002A2D4A"/>
    <w:rsid w:val="002A2F8F"/>
    <w:rsid w:val="002A42DB"/>
    <w:rsid w:val="002A43C0"/>
    <w:rsid w:val="002A592D"/>
    <w:rsid w:val="002A5D53"/>
    <w:rsid w:val="002A6874"/>
    <w:rsid w:val="002A725A"/>
    <w:rsid w:val="002A7C41"/>
    <w:rsid w:val="002B025F"/>
    <w:rsid w:val="002B10B1"/>
    <w:rsid w:val="002B122E"/>
    <w:rsid w:val="002B16E0"/>
    <w:rsid w:val="002B1A4E"/>
    <w:rsid w:val="002B1F0E"/>
    <w:rsid w:val="002B30E3"/>
    <w:rsid w:val="002B3330"/>
    <w:rsid w:val="002B384F"/>
    <w:rsid w:val="002B3D75"/>
    <w:rsid w:val="002B4C6B"/>
    <w:rsid w:val="002B4DD2"/>
    <w:rsid w:val="002B58F5"/>
    <w:rsid w:val="002B6148"/>
    <w:rsid w:val="002B7135"/>
    <w:rsid w:val="002B780B"/>
    <w:rsid w:val="002B7D78"/>
    <w:rsid w:val="002B7E98"/>
    <w:rsid w:val="002C0CB9"/>
    <w:rsid w:val="002C1692"/>
    <w:rsid w:val="002C1EDF"/>
    <w:rsid w:val="002C29C8"/>
    <w:rsid w:val="002C2B5F"/>
    <w:rsid w:val="002C2BA2"/>
    <w:rsid w:val="002C2FEA"/>
    <w:rsid w:val="002C4575"/>
    <w:rsid w:val="002C45C1"/>
    <w:rsid w:val="002C4667"/>
    <w:rsid w:val="002C4A2E"/>
    <w:rsid w:val="002C7830"/>
    <w:rsid w:val="002D026D"/>
    <w:rsid w:val="002D18D8"/>
    <w:rsid w:val="002D24A5"/>
    <w:rsid w:val="002D3C81"/>
    <w:rsid w:val="002D4C0C"/>
    <w:rsid w:val="002D5D88"/>
    <w:rsid w:val="002D6138"/>
    <w:rsid w:val="002D6CD0"/>
    <w:rsid w:val="002D75D3"/>
    <w:rsid w:val="002D7D72"/>
    <w:rsid w:val="002E0366"/>
    <w:rsid w:val="002E06E2"/>
    <w:rsid w:val="002E1714"/>
    <w:rsid w:val="002E1F91"/>
    <w:rsid w:val="002E305F"/>
    <w:rsid w:val="002E30AD"/>
    <w:rsid w:val="002E3177"/>
    <w:rsid w:val="002E325D"/>
    <w:rsid w:val="002E33F2"/>
    <w:rsid w:val="002E5265"/>
    <w:rsid w:val="002E56CA"/>
    <w:rsid w:val="002E61A4"/>
    <w:rsid w:val="002E7134"/>
    <w:rsid w:val="002E73F1"/>
    <w:rsid w:val="002E7557"/>
    <w:rsid w:val="002E7743"/>
    <w:rsid w:val="002F0B16"/>
    <w:rsid w:val="002F0E8D"/>
    <w:rsid w:val="002F12F0"/>
    <w:rsid w:val="002F2BAF"/>
    <w:rsid w:val="002F36DB"/>
    <w:rsid w:val="002F36F6"/>
    <w:rsid w:val="002F3CFA"/>
    <w:rsid w:val="002F43F4"/>
    <w:rsid w:val="002F4AD7"/>
    <w:rsid w:val="002F5629"/>
    <w:rsid w:val="002F5704"/>
    <w:rsid w:val="002F5732"/>
    <w:rsid w:val="002F57DB"/>
    <w:rsid w:val="002F622C"/>
    <w:rsid w:val="002F6898"/>
    <w:rsid w:val="002F6B95"/>
    <w:rsid w:val="002F763B"/>
    <w:rsid w:val="002F78B9"/>
    <w:rsid w:val="002F79DD"/>
    <w:rsid w:val="003000C6"/>
    <w:rsid w:val="0030029A"/>
    <w:rsid w:val="00300D6F"/>
    <w:rsid w:val="00300DC5"/>
    <w:rsid w:val="0030120C"/>
    <w:rsid w:val="00301E4E"/>
    <w:rsid w:val="00301E53"/>
    <w:rsid w:val="00303174"/>
    <w:rsid w:val="003035E9"/>
    <w:rsid w:val="00303710"/>
    <w:rsid w:val="003044D1"/>
    <w:rsid w:val="00304641"/>
    <w:rsid w:val="00304A98"/>
    <w:rsid w:val="003051AE"/>
    <w:rsid w:val="003053DA"/>
    <w:rsid w:val="00305A58"/>
    <w:rsid w:val="00305FC6"/>
    <w:rsid w:val="003062C3"/>
    <w:rsid w:val="00306461"/>
    <w:rsid w:val="003073B1"/>
    <w:rsid w:val="00310E95"/>
    <w:rsid w:val="0031100A"/>
    <w:rsid w:val="00311E9E"/>
    <w:rsid w:val="00312610"/>
    <w:rsid w:val="003126D6"/>
    <w:rsid w:val="00312A67"/>
    <w:rsid w:val="00315A7B"/>
    <w:rsid w:val="00315E5A"/>
    <w:rsid w:val="0031600E"/>
    <w:rsid w:val="00316278"/>
    <w:rsid w:val="003164F4"/>
    <w:rsid w:val="00316535"/>
    <w:rsid w:val="00316CE6"/>
    <w:rsid w:val="00317431"/>
    <w:rsid w:val="003217F2"/>
    <w:rsid w:val="003218D9"/>
    <w:rsid w:val="003226C4"/>
    <w:rsid w:val="00322748"/>
    <w:rsid w:val="003233D5"/>
    <w:rsid w:val="00323575"/>
    <w:rsid w:val="00323983"/>
    <w:rsid w:val="00323C11"/>
    <w:rsid w:val="00325385"/>
    <w:rsid w:val="00325924"/>
    <w:rsid w:val="00325D44"/>
    <w:rsid w:val="003266BF"/>
    <w:rsid w:val="00326EFF"/>
    <w:rsid w:val="003274B1"/>
    <w:rsid w:val="00327CB0"/>
    <w:rsid w:val="00330A5E"/>
    <w:rsid w:val="0033109B"/>
    <w:rsid w:val="0033150F"/>
    <w:rsid w:val="00331AAB"/>
    <w:rsid w:val="0033212A"/>
    <w:rsid w:val="00332ABE"/>
    <w:rsid w:val="003336F5"/>
    <w:rsid w:val="003337BF"/>
    <w:rsid w:val="00333FB9"/>
    <w:rsid w:val="00334B98"/>
    <w:rsid w:val="00334CEF"/>
    <w:rsid w:val="0033593C"/>
    <w:rsid w:val="00335A5C"/>
    <w:rsid w:val="00335F73"/>
    <w:rsid w:val="00335FF8"/>
    <w:rsid w:val="0033606E"/>
    <w:rsid w:val="00337435"/>
    <w:rsid w:val="00341C04"/>
    <w:rsid w:val="00344863"/>
    <w:rsid w:val="00344D98"/>
    <w:rsid w:val="00346971"/>
    <w:rsid w:val="00347EF4"/>
    <w:rsid w:val="00350BDF"/>
    <w:rsid w:val="00352206"/>
    <w:rsid w:val="00352343"/>
    <w:rsid w:val="00352416"/>
    <w:rsid w:val="0035254B"/>
    <w:rsid w:val="003548B9"/>
    <w:rsid w:val="003550DE"/>
    <w:rsid w:val="0035528D"/>
    <w:rsid w:val="003555CC"/>
    <w:rsid w:val="00356805"/>
    <w:rsid w:val="00356819"/>
    <w:rsid w:val="00356978"/>
    <w:rsid w:val="003569EC"/>
    <w:rsid w:val="00356AE2"/>
    <w:rsid w:val="0035729C"/>
    <w:rsid w:val="00357B1B"/>
    <w:rsid w:val="003601EC"/>
    <w:rsid w:val="00360200"/>
    <w:rsid w:val="003610A8"/>
    <w:rsid w:val="003619B3"/>
    <w:rsid w:val="003619D0"/>
    <w:rsid w:val="003630B9"/>
    <w:rsid w:val="00363972"/>
    <w:rsid w:val="0036450C"/>
    <w:rsid w:val="00364D1A"/>
    <w:rsid w:val="003651B4"/>
    <w:rsid w:val="00370EBF"/>
    <w:rsid w:val="0037122E"/>
    <w:rsid w:val="00371230"/>
    <w:rsid w:val="003724E9"/>
    <w:rsid w:val="00372870"/>
    <w:rsid w:val="003729AA"/>
    <w:rsid w:val="00373B4E"/>
    <w:rsid w:val="00374712"/>
    <w:rsid w:val="00375B98"/>
    <w:rsid w:val="00375D89"/>
    <w:rsid w:val="00375EE2"/>
    <w:rsid w:val="00376953"/>
    <w:rsid w:val="00376956"/>
    <w:rsid w:val="00380657"/>
    <w:rsid w:val="003808EA"/>
    <w:rsid w:val="003814BC"/>
    <w:rsid w:val="00382240"/>
    <w:rsid w:val="00383599"/>
    <w:rsid w:val="00383C1A"/>
    <w:rsid w:val="00384044"/>
    <w:rsid w:val="00384133"/>
    <w:rsid w:val="0038421C"/>
    <w:rsid w:val="00384D60"/>
    <w:rsid w:val="0038541A"/>
    <w:rsid w:val="00385486"/>
    <w:rsid w:val="00385F12"/>
    <w:rsid w:val="00386048"/>
    <w:rsid w:val="003863E9"/>
    <w:rsid w:val="003865DB"/>
    <w:rsid w:val="00387809"/>
    <w:rsid w:val="00387B32"/>
    <w:rsid w:val="00391629"/>
    <w:rsid w:val="00392084"/>
    <w:rsid w:val="00392849"/>
    <w:rsid w:val="00392921"/>
    <w:rsid w:val="00393508"/>
    <w:rsid w:val="00393919"/>
    <w:rsid w:val="00393986"/>
    <w:rsid w:val="00394E3A"/>
    <w:rsid w:val="003950CE"/>
    <w:rsid w:val="0039534A"/>
    <w:rsid w:val="003958F0"/>
    <w:rsid w:val="003960AB"/>
    <w:rsid w:val="00397A18"/>
    <w:rsid w:val="00397CED"/>
    <w:rsid w:val="00397F98"/>
    <w:rsid w:val="00397FE2"/>
    <w:rsid w:val="003A008F"/>
    <w:rsid w:val="003A03A9"/>
    <w:rsid w:val="003A043B"/>
    <w:rsid w:val="003A0DB4"/>
    <w:rsid w:val="003A159A"/>
    <w:rsid w:val="003A2F45"/>
    <w:rsid w:val="003A3271"/>
    <w:rsid w:val="003A34AA"/>
    <w:rsid w:val="003A3804"/>
    <w:rsid w:val="003A3B6D"/>
    <w:rsid w:val="003A3C16"/>
    <w:rsid w:val="003A4299"/>
    <w:rsid w:val="003A542D"/>
    <w:rsid w:val="003A57E7"/>
    <w:rsid w:val="003A5EEC"/>
    <w:rsid w:val="003A5F1A"/>
    <w:rsid w:val="003A7FEC"/>
    <w:rsid w:val="003B06E9"/>
    <w:rsid w:val="003B0886"/>
    <w:rsid w:val="003B09C3"/>
    <w:rsid w:val="003B0AB6"/>
    <w:rsid w:val="003B0D14"/>
    <w:rsid w:val="003B0EC3"/>
    <w:rsid w:val="003B20C6"/>
    <w:rsid w:val="003B3259"/>
    <w:rsid w:val="003B5310"/>
    <w:rsid w:val="003B575B"/>
    <w:rsid w:val="003B596E"/>
    <w:rsid w:val="003B61DA"/>
    <w:rsid w:val="003B65FE"/>
    <w:rsid w:val="003B6BE8"/>
    <w:rsid w:val="003B6EB5"/>
    <w:rsid w:val="003B7172"/>
    <w:rsid w:val="003B7889"/>
    <w:rsid w:val="003C156A"/>
    <w:rsid w:val="003C396D"/>
    <w:rsid w:val="003C4DF5"/>
    <w:rsid w:val="003C514E"/>
    <w:rsid w:val="003C5247"/>
    <w:rsid w:val="003C580C"/>
    <w:rsid w:val="003C5E03"/>
    <w:rsid w:val="003C66CC"/>
    <w:rsid w:val="003C6A64"/>
    <w:rsid w:val="003C765D"/>
    <w:rsid w:val="003C7822"/>
    <w:rsid w:val="003C7AF5"/>
    <w:rsid w:val="003D0DAA"/>
    <w:rsid w:val="003D171A"/>
    <w:rsid w:val="003D2AE5"/>
    <w:rsid w:val="003D3B26"/>
    <w:rsid w:val="003D48A3"/>
    <w:rsid w:val="003D48D8"/>
    <w:rsid w:val="003D49CA"/>
    <w:rsid w:val="003D4E78"/>
    <w:rsid w:val="003D55CB"/>
    <w:rsid w:val="003D5BC9"/>
    <w:rsid w:val="003D6889"/>
    <w:rsid w:val="003D6D87"/>
    <w:rsid w:val="003D71FF"/>
    <w:rsid w:val="003D771B"/>
    <w:rsid w:val="003D7D94"/>
    <w:rsid w:val="003E0989"/>
    <w:rsid w:val="003E0D5C"/>
    <w:rsid w:val="003E0E9C"/>
    <w:rsid w:val="003E109C"/>
    <w:rsid w:val="003E1E51"/>
    <w:rsid w:val="003E20D5"/>
    <w:rsid w:val="003E27A2"/>
    <w:rsid w:val="003E2AC4"/>
    <w:rsid w:val="003E354D"/>
    <w:rsid w:val="003E35B1"/>
    <w:rsid w:val="003E4294"/>
    <w:rsid w:val="003E458E"/>
    <w:rsid w:val="003E4B48"/>
    <w:rsid w:val="003E4FFE"/>
    <w:rsid w:val="003E60AA"/>
    <w:rsid w:val="003E67AF"/>
    <w:rsid w:val="003E79C9"/>
    <w:rsid w:val="003E7D36"/>
    <w:rsid w:val="003F0362"/>
    <w:rsid w:val="003F0E96"/>
    <w:rsid w:val="003F0EF8"/>
    <w:rsid w:val="003F1193"/>
    <w:rsid w:val="003F1D87"/>
    <w:rsid w:val="003F342A"/>
    <w:rsid w:val="003F4E26"/>
    <w:rsid w:val="003F51B0"/>
    <w:rsid w:val="003F5325"/>
    <w:rsid w:val="003F604C"/>
    <w:rsid w:val="003F682A"/>
    <w:rsid w:val="003F685B"/>
    <w:rsid w:val="003F6B21"/>
    <w:rsid w:val="003F6E03"/>
    <w:rsid w:val="003F7300"/>
    <w:rsid w:val="004006F4"/>
    <w:rsid w:val="0040077D"/>
    <w:rsid w:val="004008AF"/>
    <w:rsid w:val="00400BCB"/>
    <w:rsid w:val="00400F2A"/>
    <w:rsid w:val="0040103F"/>
    <w:rsid w:val="00401542"/>
    <w:rsid w:val="00401855"/>
    <w:rsid w:val="00401BD5"/>
    <w:rsid w:val="00401D04"/>
    <w:rsid w:val="004024F5"/>
    <w:rsid w:val="00403607"/>
    <w:rsid w:val="00403CE9"/>
    <w:rsid w:val="00403F5A"/>
    <w:rsid w:val="0040426B"/>
    <w:rsid w:val="00404273"/>
    <w:rsid w:val="0040505E"/>
    <w:rsid w:val="004053A2"/>
    <w:rsid w:val="00405E5A"/>
    <w:rsid w:val="00406DE5"/>
    <w:rsid w:val="00407578"/>
    <w:rsid w:val="00411A59"/>
    <w:rsid w:val="00413C2F"/>
    <w:rsid w:val="00413EDC"/>
    <w:rsid w:val="004150D9"/>
    <w:rsid w:val="004154EA"/>
    <w:rsid w:val="00415D26"/>
    <w:rsid w:val="0041602B"/>
    <w:rsid w:val="0041623C"/>
    <w:rsid w:val="0042049A"/>
    <w:rsid w:val="00420C9B"/>
    <w:rsid w:val="00420D41"/>
    <w:rsid w:val="00421068"/>
    <w:rsid w:val="004227C0"/>
    <w:rsid w:val="00422AEA"/>
    <w:rsid w:val="00422E04"/>
    <w:rsid w:val="00422E81"/>
    <w:rsid w:val="004236FF"/>
    <w:rsid w:val="00423C60"/>
    <w:rsid w:val="00424A98"/>
    <w:rsid w:val="00424B80"/>
    <w:rsid w:val="00425200"/>
    <w:rsid w:val="004255CB"/>
    <w:rsid w:val="0042608C"/>
    <w:rsid w:val="00426C08"/>
    <w:rsid w:val="00426E79"/>
    <w:rsid w:val="00427131"/>
    <w:rsid w:val="004278AD"/>
    <w:rsid w:val="004279E7"/>
    <w:rsid w:val="0043008A"/>
    <w:rsid w:val="00430A35"/>
    <w:rsid w:val="00430DA6"/>
    <w:rsid w:val="00431576"/>
    <w:rsid w:val="00432CC9"/>
    <w:rsid w:val="004338A1"/>
    <w:rsid w:val="00434A91"/>
    <w:rsid w:val="004350D7"/>
    <w:rsid w:val="0043598F"/>
    <w:rsid w:val="00436282"/>
    <w:rsid w:val="00436571"/>
    <w:rsid w:val="004401DC"/>
    <w:rsid w:val="0044083B"/>
    <w:rsid w:val="004432C0"/>
    <w:rsid w:val="004440C3"/>
    <w:rsid w:val="00445854"/>
    <w:rsid w:val="004459C7"/>
    <w:rsid w:val="00445D6B"/>
    <w:rsid w:val="00445D8B"/>
    <w:rsid w:val="004463C7"/>
    <w:rsid w:val="00446E78"/>
    <w:rsid w:val="00447B04"/>
    <w:rsid w:val="00450A52"/>
    <w:rsid w:val="00450CB4"/>
    <w:rsid w:val="0045100A"/>
    <w:rsid w:val="00451AA6"/>
    <w:rsid w:val="00451BB5"/>
    <w:rsid w:val="004520D4"/>
    <w:rsid w:val="004526D0"/>
    <w:rsid w:val="00452EEF"/>
    <w:rsid w:val="004536C8"/>
    <w:rsid w:val="004544A0"/>
    <w:rsid w:val="004553F6"/>
    <w:rsid w:val="0045561B"/>
    <w:rsid w:val="004557EB"/>
    <w:rsid w:val="00455895"/>
    <w:rsid w:val="0045685B"/>
    <w:rsid w:val="004574F8"/>
    <w:rsid w:val="00457C8B"/>
    <w:rsid w:val="00457E8F"/>
    <w:rsid w:val="004601FA"/>
    <w:rsid w:val="00460487"/>
    <w:rsid w:val="004609C7"/>
    <w:rsid w:val="00461C79"/>
    <w:rsid w:val="00462246"/>
    <w:rsid w:val="00462373"/>
    <w:rsid w:val="0046255D"/>
    <w:rsid w:val="00462926"/>
    <w:rsid w:val="00462A99"/>
    <w:rsid w:val="00462F3D"/>
    <w:rsid w:val="0046376D"/>
    <w:rsid w:val="00463AF5"/>
    <w:rsid w:val="004643D6"/>
    <w:rsid w:val="004656FF"/>
    <w:rsid w:val="00465C04"/>
    <w:rsid w:val="00466326"/>
    <w:rsid w:val="00467110"/>
    <w:rsid w:val="004674E5"/>
    <w:rsid w:val="00467E60"/>
    <w:rsid w:val="00471383"/>
    <w:rsid w:val="004716D9"/>
    <w:rsid w:val="00471A51"/>
    <w:rsid w:val="00471DC6"/>
    <w:rsid w:val="0047274E"/>
    <w:rsid w:val="004728F1"/>
    <w:rsid w:val="00473743"/>
    <w:rsid w:val="00473B11"/>
    <w:rsid w:val="00474321"/>
    <w:rsid w:val="00474DF9"/>
    <w:rsid w:val="00475B05"/>
    <w:rsid w:val="00477323"/>
    <w:rsid w:val="0047743C"/>
    <w:rsid w:val="00477FA4"/>
    <w:rsid w:val="004803E4"/>
    <w:rsid w:val="004818C4"/>
    <w:rsid w:val="00482177"/>
    <w:rsid w:val="004828E0"/>
    <w:rsid w:val="00482932"/>
    <w:rsid w:val="00483219"/>
    <w:rsid w:val="004836CB"/>
    <w:rsid w:val="00483A89"/>
    <w:rsid w:val="00484237"/>
    <w:rsid w:val="0048429E"/>
    <w:rsid w:val="00484C03"/>
    <w:rsid w:val="00485101"/>
    <w:rsid w:val="00485256"/>
    <w:rsid w:val="00485727"/>
    <w:rsid w:val="004859E3"/>
    <w:rsid w:val="004864B2"/>
    <w:rsid w:val="00486CA7"/>
    <w:rsid w:val="0048741E"/>
    <w:rsid w:val="00490317"/>
    <w:rsid w:val="004905E1"/>
    <w:rsid w:val="004909D5"/>
    <w:rsid w:val="004912A7"/>
    <w:rsid w:val="00491A7F"/>
    <w:rsid w:val="004922CE"/>
    <w:rsid w:val="00492B48"/>
    <w:rsid w:val="00492D0E"/>
    <w:rsid w:val="0049341E"/>
    <w:rsid w:val="00493556"/>
    <w:rsid w:val="00493599"/>
    <w:rsid w:val="004936DE"/>
    <w:rsid w:val="00495394"/>
    <w:rsid w:val="00495EA0"/>
    <w:rsid w:val="00496B1C"/>
    <w:rsid w:val="00497027"/>
    <w:rsid w:val="0049766A"/>
    <w:rsid w:val="0049768C"/>
    <w:rsid w:val="00497962"/>
    <w:rsid w:val="004A2701"/>
    <w:rsid w:val="004A2B18"/>
    <w:rsid w:val="004A338B"/>
    <w:rsid w:val="004A3A2B"/>
    <w:rsid w:val="004A47F2"/>
    <w:rsid w:val="004A4E4A"/>
    <w:rsid w:val="004A4F1E"/>
    <w:rsid w:val="004A585C"/>
    <w:rsid w:val="004A660A"/>
    <w:rsid w:val="004A76C7"/>
    <w:rsid w:val="004A7C57"/>
    <w:rsid w:val="004B0E33"/>
    <w:rsid w:val="004B110D"/>
    <w:rsid w:val="004B172E"/>
    <w:rsid w:val="004B2562"/>
    <w:rsid w:val="004B3D7B"/>
    <w:rsid w:val="004B3F3C"/>
    <w:rsid w:val="004B3FCB"/>
    <w:rsid w:val="004B4267"/>
    <w:rsid w:val="004B4D28"/>
    <w:rsid w:val="004B5A4C"/>
    <w:rsid w:val="004B65DC"/>
    <w:rsid w:val="004B6BA1"/>
    <w:rsid w:val="004C20B0"/>
    <w:rsid w:val="004C222C"/>
    <w:rsid w:val="004C25D7"/>
    <w:rsid w:val="004C26CA"/>
    <w:rsid w:val="004C294F"/>
    <w:rsid w:val="004C2EEE"/>
    <w:rsid w:val="004C394F"/>
    <w:rsid w:val="004C3E3F"/>
    <w:rsid w:val="004C3E9A"/>
    <w:rsid w:val="004C43CE"/>
    <w:rsid w:val="004C47EF"/>
    <w:rsid w:val="004C5514"/>
    <w:rsid w:val="004C5812"/>
    <w:rsid w:val="004C5BBC"/>
    <w:rsid w:val="004C5C1C"/>
    <w:rsid w:val="004C7147"/>
    <w:rsid w:val="004C7314"/>
    <w:rsid w:val="004C755E"/>
    <w:rsid w:val="004D0300"/>
    <w:rsid w:val="004D04A8"/>
    <w:rsid w:val="004D16AD"/>
    <w:rsid w:val="004D2029"/>
    <w:rsid w:val="004D2BA9"/>
    <w:rsid w:val="004D2FD8"/>
    <w:rsid w:val="004D3054"/>
    <w:rsid w:val="004D30DB"/>
    <w:rsid w:val="004D3434"/>
    <w:rsid w:val="004D4101"/>
    <w:rsid w:val="004D447F"/>
    <w:rsid w:val="004D49AF"/>
    <w:rsid w:val="004D4A74"/>
    <w:rsid w:val="004D4FBF"/>
    <w:rsid w:val="004D5458"/>
    <w:rsid w:val="004D548C"/>
    <w:rsid w:val="004D5F8B"/>
    <w:rsid w:val="004D66F1"/>
    <w:rsid w:val="004E0AFF"/>
    <w:rsid w:val="004E0C64"/>
    <w:rsid w:val="004E1942"/>
    <w:rsid w:val="004E207E"/>
    <w:rsid w:val="004E25B0"/>
    <w:rsid w:val="004E2CEE"/>
    <w:rsid w:val="004E2DFB"/>
    <w:rsid w:val="004E3635"/>
    <w:rsid w:val="004E36DC"/>
    <w:rsid w:val="004E390E"/>
    <w:rsid w:val="004E3C92"/>
    <w:rsid w:val="004E3E1A"/>
    <w:rsid w:val="004E3F14"/>
    <w:rsid w:val="004E43F5"/>
    <w:rsid w:val="004E44D8"/>
    <w:rsid w:val="004E4856"/>
    <w:rsid w:val="004E4FAD"/>
    <w:rsid w:val="004E5771"/>
    <w:rsid w:val="004E6534"/>
    <w:rsid w:val="004E7725"/>
    <w:rsid w:val="004E7E9F"/>
    <w:rsid w:val="004E7F9F"/>
    <w:rsid w:val="004F1181"/>
    <w:rsid w:val="004F1F4F"/>
    <w:rsid w:val="004F2141"/>
    <w:rsid w:val="004F24C3"/>
    <w:rsid w:val="004F2E9B"/>
    <w:rsid w:val="004F3489"/>
    <w:rsid w:val="004F42C4"/>
    <w:rsid w:val="004F4E9E"/>
    <w:rsid w:val="004F52CD"/>
    <w:rsid w:val="004F54E9"/>
    <w:rsid w:val="004F54FA"/>
    <w:rsid w:val="004F5F9C"/>
    <w:rsid w:val="004F62B8"/>
    <w:rsid w:val="004F6F54"/>
    <w:rsid w:val="004F6F72"/>
    <w:rsid w:val="004F7181"/>
    <w:rsid w:val="004F7D49"/>
    <w:rsid w:val="005011C5"/>
    <w:rsid w:val="00501416"/>
    <w:rsid w:val="00501F59"/>
    <w:rsid w:val="00502556"/>
    <w:rsid w:val="00502DB9"/>
    <w:rsid w:val="005041D3"/>
    <w:rsid w:val="00504EBC"/>
    <w:rsid w:val="00504EF2"/>
    <w:rsid w:val="00504F69"/>
    <w:rsid w:val="00505007"/>
    <w:rsid w:val="0050513C"/>
    <w:rsid w:val="0050681C"/>
    <w:rsid w:val="005072D8"/>
    <w:rsid w:val="005072E4"/>
    <w:rsid w:val="005107A4"/>
    <w:rsid w:val="00510900"/>
    <w:rsid w:val="00510933"/>
    <w:rsid w:val="00511458"/>
    <w:rsid w:val="005121F0"/>
    <w:rsid w:val="00512260"/>
    <w:rsid w:val="00512DBB"/>
    <w:rsid w:val="005137D3"/>
    <w:rsid w:val="005146EE"/>
    <w:rsid w:val="00514B22"/>
    <w:rsid w:val="005150DC"/>
    <w:rsid w:val="00515509"/>
    <w:rsid w:val="00515E17"/>
    <w:rsid w:val="00515F1C"/>
    <w:rsid w:val="00516A73"/>
    <w:rsid w:val="00517DF0"/>
    <w:rsid w:val="00520147"/>
    <w:rsid w:val="00520A06"/>
    <w:rsid w:val="00520C57"/>
    <w:rsid w:val="00520CA3"/>
    <w:rsid w:val="00520F99"/>
    <w:rsid w:val="00521412"/>
    <w:rsid w:val="0052169B"/>
    <w:rsid w:val="005217FE"/>
    <w:rsid w:val="00521859"/>
    <w:rsid w:val="00521F5C"/>
    <w:rsid w:val="005224E3"/>
    <w:rsid w:val="00522652"/>
    <w:rsid w:val="00523545"/>
    <w:rsid w:val="0052391F"/>
    <w:rsid w:val="005242CD"/>
    <w:rsid w:val="005245A0"/>
    <w:rsid w:val="00524FF9"/>
    <w:rsid w:val="005254A1"/>
    <w:rsid w:val="00526C1A"/>
    <w:rsid w:val="00527449"/>
    <w:rsid w:val="00527582"/>
    <w:rsid w:val="00527910"/>
    <w:rsid w:val="00527A27"/>
    <w:rsid w:val="00531131"/>
    <w:rsid w:val="00531E61"/>
    <w:rsid w:val="005325A0"/>
    <w:rsid w:val="005325DF"/>
    <w:rsid w:val="0053262F"/>
    <w:rsid w:val="00534329"/>
    <w:rsid w:val="0053479D"/>
    <w:rsid w:val="0053688E"/>
    <w:rsid w:val="00536B4A"/>
    <w:rsid w:val="00536F4F"/>
    <w:rsid w:val="00537FB7"/>
    <w:rsid w:val="005400DD"/>
    <w:rsid w:val="00541216"/>
    <w:rsid w:val="00543841"/>
    <w:rsid w:val="00543A15"/>
    <w:rsid w:val="00544309"/>
    <w:rsid w:val="005445C9"/>
    <w:rsid w:val="0054528D"/>
    <w:rsid w:val="00545885"/>
    <w:rsid w:val="00546231"/>
    <w:rsid w:val="00547084"/>
    <w:rsid w:val="0054798E"/>
    <w:rsid w:val="00547DC1"/>
    <w:rsid w:val="005503B7"/>
    <w:rsid w:val="0055041E"/>
    <w:rsid w:val="00550C6F"/>
    <w:rsid w:val="00551CEB"/>
    <w:rsid w:val="00551E01"/>
    <w:rsid w:val="00553366"/>
    <w:rsid w:val="0055464C"/>
    <w:rsid w:val="0055499E"/>
    <w:rsid w:val="00554EEB"/>
    <w:rsid w:val="0055599D"/>
    <w:rsid w:val="00556798"/>
    <w:rsid w:val="005573E6"/>
    <w:rsid w:val="005600F8"/>
    <w:rsid w:val="00560B44"/>
    <w:rsid w:val="005616AE"/>
    <w:rsid w:val="00562382"/>
    <w:rsid w:val="00562563"/>
    <w:rsid w:val="00562E53"/>
    <w:rsid w:val="00562E9D"/>
    <w:rsid w:val="00563184"/>
    <w:rsid w:val="005632C2"/>
    <w:rsid w:val="00563847"/>
    <w:rsid w:val="005641DD"/>
    <w:rsid w:val="005644BC"/>
    <w:rsid w:val="00565365"/>
    <w:rsid w:val="005653E2"/>
    <w:rsid w:val="00566C9C"/>
    <w:rsid w:val="005701B7"/>
    <w:rsid w:val="00570A1E"/>
    <w:rsid w:val="00571737"/>
    <w:rsid w:val="005718F9"/>
    <w:rsid w:val="005718FE"/>
    <w:rsid w:val="00572CF1"/>
    <w:rsid w:val="00572EB2"/>
    <w:rsid w:val="0057327F"/>
    <w:rsid w:val="0057476D"/>
    <w:rsid w:val="00574B06"/>
    <w:rsid w:val="00575DE0"/>
    <w:rsid w:val="005763FB"/>
    <w:rsid w:val="005770D7"/>
    <w:rsid w:val="00577367"/>
    <w:rsid w:val="005778F3"/>
    <w:rsid w:val="00577C58"/>
    <w:rsid w:val="0058054C"/>
    <w:rsid w:val="00580DD2"/>
    <w:rsid w:val="00581251"/>
    <w:rsid w:val="00581B94"/>
    <w:rsid w:val="00581F7F"/>
    <w:rsid w:val="005823A1"/>
    <w:rsid w:val="0058250F"/>
    <w:rsid w:val="00583489"/>
    <w:rsid w:val="00584835"/>
    <w:rsid w:val="00585530"/>
    <w:rsid w:val="00585F3A"/>
    <w:rsid w:val="005869DD"/>
    <w:rsid w:val="005906C9"/>
    <w:rsid w:val="00591247"/>
    <w:rsid w:val="005918F9"/>
    <w:rsid w:val="0059213B"/>
    <w:rsid w:val="00592AC0"/>
    <w:rsid w:val="00592DC8"/>
    <w:rsid w:val="0059353F"/>
    <w:rsid w:val="00593FAF"/>
    <w:rsid w:val="00594B1F"/>
    <w:rsid w:val="00597B96"/>
    <w:rsid w:val="005A0136"/>
    <w:rsid w:val="005A02B8"/>
    <w:rsid w:val="005A0CF2"/>
    <w:rsid w:val="005A0DE6"/>
    <w:rsid w:val="005A14E8"/>
    <w:rsid w:val="005A1609"/>
    <w:rsid w:val="005A179B"/>
    <w:rsid w:val="005A1D2F"/>
    <w:rsid w:val="005A3064"/>
    <w:rsid w:val="005A3107"/>
    <w:rsid w:val="005A4227"/>
    <w:rsid w:val="005A469F"/>
    <w:rsid w:val="005A49CB"/>
    <w:rsid w:val="005A5A5F"/>
    <w:rsid w:val="005A5DD5"/>
    <w:rsid w:val="005A71E8"/>
    <w:rsid w:val="005A76EA"/>
    <w:rsid w:val="005A7803"/>
    <w:rsid w:val="005A7ACE"/>
    <w:rsid w:val="005A7E73"/>
    <w:rsid w:val="005B04C8"/>
    <w:rsid w:val="005B12EE"/>
    <w:rsid w:val="005B150C"/>
    <w:rsid w:val="005B37DA"/>
    <w:rsid w:val="005B4CA0"/>
    <w:rsid w:val="005B5044"/>
    <w:rsid w:val="005B5AEE"/>
    <w:rsid w:val="005B688C"/>
    <w:rsid w:val="005B68C9"/>
    <w:rsid w:val="005B6E49"/>
    <w:rsid w:val="005B708A"/>
    <w:rsid w:val="005B7994"/>
    <w:rsid w:val="005C0ABD"/>
    <w:rsid w:val="005C11C4"/>
    <w:rsid w:val="005C1DF9"/>
    <w:rsid w:val="005C1E3E"/>
    <w:rsid w:val="005C20D5"/>
    <w:rsid w:val="005C243C"/>
    <w:rsid w:val="005C2668"/>
    <w:rsid w:val="005C2D30"/>
    <w:rsid w:val="005C3545"/>
    <w:rsid w:val="005C3769"/>
    <w:rsid w:val="005C3C83"/>
    <w:rsid w:val="005C4654"/>
    <w:rsid w:val="005C4E58"/>
    <w:rsid w:val="005C5147"/>
    <w:rsid w:val="005C5206"/>
    <w:rsid w:val="005C5A57"/>
    <w:rsid w:val="005C5EF8"/>
    <w:rsid w:val="005C715E"/>
    <w:rsid w:val="005C7344"/>
    <w:rsid w:val="005C747C"/>
    <w:rsid w:val="005D044B"/>
    <w:rsid w:val="005D109C"/>
    <w:rsid w:val="005D12D7"/>
    <w:rsid w:val="005D1624"/>
    <w:rsid w:val="005D1924"/>
    <w:rsid w:val="005D1E71"/>
    <w:rsid w:val="005D221C"/>
    <w:rsid w:val="005D2519"/>
    <w:rsid w:val="005D28FD"/>
    <w:rsid w:val="005D298D"/>
    <w:rsid w:val="005D2E07"/>
    <w:rsid w:val="005D2E4B"/>
    <w:rsid w:val="005D4AEC"/>
    <w:rsid w:val="005D4E23"/>
    <w:rsid w:val="005D5584"/>
    <w:rsid w:val="005D55C1"/>
    <w:rsid w:val="005D572D"/>
    <w:rsid w:val="005E0C78"/>
    <w:rsid w:val="005E1DC5"/>
    <w:rsid w:val="005E1EB7"/>
    <w:rsid w:val="005E216A"/>
    <w:rsid w:val="005E2973"/>
    <w:rsid w:val="005E4042"/>
    <w:rsid w:val="005E42DA"/>
    <w:rsid w:val="005E460C"/>
    <w:rsid w:val="005E4A9A"/>
    <w:rsid w:val="005E5FCA"/>
    <w:rsid w:val="005E61CE"/>
    <w:rsid w:val="005E62C2"/>
    <w:rsid w:val="005E6A61"/>
    <w:rsid w:val="005E6F78"/>
    <w:rsid w:val="005F160D"/>
    <w:rsid w:val="005F17FE"/>
    <w:rsid w:val="005F2B92"/>
    <w:rsid w:val="005F3487"/>
    <w:rsid w:val="005F3B22"/>
    <w:rsid w:val="005F44EA"/>
    <w:rsid w:val="005F4C05"/>
    <w:rsid w:val="005F6E44"/>
    <w:rsid w:val="005F78BF"/>
    <w:rsid w:val="0060142A"/>
    <w:rsid w:val="00601E71"/>
    <w:rsid w:val="00602260"/>
    <w:rsid w:val="00603CAA"/>
    <w:rsid w:val="00603E2B"/>
    <w:rsid w:val="0060470A"/>
    <w:rsid w:val="00604D5C"/>
    <w:rsid w:val="00604DD3"/>
    <w:rsid w:val="0060547A"/>
    <w:rsid w:val="00605AB3"/>
    <w:rsid w:val="00606BB6"/>
    <w:rsid w:val="00607529"/>
    <w:rsid w:val="00607D2E"/>
    <w:rsid w:val="00607D4A"/>
    <w:rsid w:val="00607E23"/>
    <w:rsid w:val="0061042F"/>
    <w:rsid w:val="006106DC"/>
    <w:rsid w:val="0061284F"/>
    <w:rsid w:val="006154FA"/>
    <w:rsid w:val="00615ACE"/>
    <w:rsid w:val="00615E6E"/>
    <w:rsid w:val="006162CC"/>
    <w:rsid w:val="00616489"/>
    <w:rsid w:val="006164B4"/>
    <w:rsid w:val="00617EB2"/>
    <w:rsid w:val="00620192"/>
    <w:rsid w:val="006205A6"/>
    <w:rsid w:val="006205A8"/>
    <w:rsid w:val="006213FB"/>
    <w:rsid w:val="00621F6A"/>
    <w:rsid w:val="0062205B"/>
    <w:rsid w:val="006222B7"/>
    <w:rsid w:val="00622730"/>
    <w:rsid w:val="006227D8"/>
    <w:rsid w:val="00622B7E"/>
    <w:rsid w:val="00622C59"/>
    <w:rsid w:val="00623E19"/>
    <w:rsid w:val="0062447B"/>
    <w:rsid w:val="006244EF"/>
    <w:rsid w:val="00624EB6"/>
    <w:rsid w:val="00625129"/>
    <w:rsid w:val="00626611"/>
    <w:rsid w:val="00626B73"/>
    <w:rsid w:val="00626E37"/>
    <w:rsid w:val="00627659"/>
    <w:rsid w:val="00627983"/>
    <w:rsid w:val="00627F33"/>
    <w:rsid w:val="006300C3"/>
    <w:rsid w:val="00631AD5"/>
    <w:rsid w:val="00632D43"/>
    <w:rsid w:val="00633869"/>
    <w:rsid w:val="00633A74"/>
    <w:rsid w:val="006341A3"/>
    <w:rsid w:val="00634BFB"/>
    <w:rsid w:val="00634E2F"/>
    <w:rsid w:val="00635047"/>
    <w:rsid w:val="0063527F"/>
    <w:rsid w:val="006354EF"/>
    <w:rsid w:val="00635506"/>
    <w:rsid w:val="00635F57"/>
    <w:rsid w:val="00636AB1"/>
    <w:rsid w:val="0064071A"/>
    <w:rsid w:val="006413EC"/>
    <w:rsid w:val="00641F97"/>
    <w:rsid w:val="00642412"/>
    <w:rsid w:val="006428F0"/>
    <w:rsid w:val="006437A2"/>
    <w:rsid w:val="0064546F"/>
    <w:rsid w:val="006456EF"/>
    <w:rsid w:val="00646923"/>
    <w:rsid w:val="00647F74"/>
    <w:rsid w:val="0065016A"/>
    <w:rsid w:val="00650766"/>
    <w:rsid w:val="00650933"/>
    <w:rsid w:val="00650A20"/>
    <w:rsid w:val="00651514"/>
    <w:rsid w:val="0065165B"/>
    <w:rsid w:val="00651A71"/>
    <w:rsid w:val="006526F2"/>
    <w:rsid w:val="00652DA0"/>
    <w:rsid w:val="00653051"/>
    <w:rsid w:val="00653068"/>
    <w:rsid w:val="00653E30"/>
    <w:rsid w:val="006545C3"/>
    <w:rsid w:val="006550DA"/>
    <w:rsid w:val="006564AC"/>
    <w:rsid w:val="00657A24"/>
    <w:rsid w:val="00657E39"/>
    <w:rsid w:val="00657EC3"/>
    <w:rsid w:val="00660469"/>
    <w:rsid w:val="006609B0"/>
    <w:rsid w:val="00660AF1"/>
    <w:rsid w:val="00661BEE"/>
    <w:rsid w:val="006637FE"/>
    <w:rsid w:val="0066396E"/>
    <w:rsid w:val="00664273"/>
    <w:rsid w:val="00664333"/>
    <w:rsid w:val="00664416"/>
    <w:rsid w:val="00664896"/>
    <w:rsid w:val="00665254"/>
    <w:rsid w:val="006652BC"/>
    <w:rsid w:val="00665B58"/>
    <w:rsid w:val="0066638A"/>
    <w:rsid w:val="00666F3D"/>
    <w:rsid w:val="0066735F"/>
    <w:rsid w:val="00670230"/>
    <w:rsid w:val="00670497"/>
    <w:rsid w:val="00670539"/>
    <w:rsid w:val="00671368"/>
    <w:rsid w:val="006714C3"/>
    <w:rsid w:val="00671A67"/>
    <w:rsid w:val="00671EAF"/>
    <w:rsid w:val="00671EB1"/>
    <w:rsid w:val="006733D5"/>
    <w:rsid w:val="00673738"/>
    <w:rsid w:val="00673989"/>
    <w:rsid w:val="00673C0A"/>
    <w:rsid w:val="006748B1"/>
    <w:rsid w:val="00675254"/>
    <w:rsid w:val="00675531"/>
    <w:rsid w:val="006770FF"/>
    <w:rsid w:val="00677517"/>
    <w:rsid w:val="0067756F"/>
    <w:rsid w:val="00677615"/>
    <w:rsid w:val="00677E33"/>
    <w:rsid w:val="0068029C"/>
    <w:rsid w:val="00680356"/>
    <w:rsid w:val="0068159E"/>
    <w:rsid w:val="00681872"/>
    <w:rsid w:val="00681F8D"/>
    <w:rsid w:val="006832A1"/>
    <w:rsid w:val="00683932"/>
    <w:rsid w:val="006841AD"/>
    <w:rsid w:val="00684298"/>
    <w:rsid w:val="00685689"/>
    <w:rsid w:val="006860CC"/>
    <w:rsid w:val="00686C1B"/>
    <w:rsid w:val="006879C4"/>
    <w:rsid w:val="00687A62"/>
    <w:rsid w:val="00687C55"/>
    <w:rsid w:val="00687C98"/>
    <w:rsid w:val="00687D4D"/>
    <w:rsid w:val="00690BC0"/>
    <w:rsid w:val="00690FD5"/>
    <w:rsid w:val="00692107"/>
    <w:rsid w:val="006934C4"/>
    <w:rsid w:val="006939BE"/>
    <w:rsid w:val="00693F57"/>
    <w:rsid w:val="0069466F"/>
    <w:rsid w:val="006947E9"/>
    <w:rsid w:val="00694935"/>
    <w:rsid w:val="00694ABB"/>
    <w:rsid w:val="00694FEE"/>
    <w:rsid w:val="0069549E"/>
    <w:rsid w:val="00695B97"/>
    <w:rsid w:val="00696125"/>
    <w:rsid w:val="00696178"/>
    <w:rsid w:val="00696592"/>
    <w:rsid w:val="00696712"/>
    <w:rsid w:val="00696C92"/>
    <w:rsid w:val="00697DB3"/>
    <w:rsid w:val="006A0C63"/>
    <w:rsid w:val="006A2AD2"/>
    <w:rsid w:val="006A2B00"/>
    <w:rsid w:val="006A2DBF"/>
    <w:rsid w:val="006A36DE"/>
    <w:rsid w:val="006A3F4C"/>
    <w:rsid w:val="006A5AAF"/>
    <w:rsid w:val="006A616B"/>
    <w:rsid w:val="006A6388"/>
    <w:rsid w:val="006A6B1E"/>
    <w:rsid w:val="006A76F5"/>
    <w:rsid w:val="006A7E1B"/>
    <w:rsid w:val="006B07FF"/>
    <w:rsid w:val="006B0F18"/>
    <w:rsid w:val="006B2399"/>
    <w:rsid w:val="006B2AF7"/>
    <w:rsid w:val="006B4EEA"/>
    <w:rsid w:val="006B5621"/>
    <w:rsid w:val="006B5711"/>
    <w:rsid w:val="006B5EE1"/>
    <w:rsid w:val="006B61D1"/>
    <w:rsid w:val="006B6340"/>
    <w:rsid w:val="006B71F6"/>
    <w:rsid w:val="006B7384"/>
    <w:rsid w:val="006B75B2"/>
    <w:rsid w:val="006C196A"/>
    <w:rsid w:val="006C1FD5"/>
    <w:rsid w:val="006C209C"/>
    <w:rsid w:val="006C394C"/>
    <w:rsid w:val="006C3E29"/>
    <w:rsid w:val="006C6E46"/>
    <w:rsid w:val="006C7219"/>
    <w:rsid w:val="006C7345"/>
    <w:rsid w:val="006D1580"/>
    <w:rsid w:val="006D1E94"/>
    <w:rsid w:val="006D25B1"/>
    <w:rsid w:val="006D2803"/>
    <w:rsid w:val="006D2C63"/>
    <w:rsid w:val="006D33B7"/>
    <w:rsid w:val="006D3A34"/>
    <w:rsid w:val="006D3E49"/>
    <w:rsid w:val="006D3F85"/>
    <w:rsid w:val="006D401A"/>
    <w:rsid w:val="006D4F53"/>
    <w:rsid w:val="006D4FDD"/>
    <w:rsid w:val="006D506E"/>
    <w:rsid w:val="006D524E"/>
    <w:rsid w:val="006D5EFB"/>
    <w:rsid w:val="006D621B"/>
    <w:rsid w:val="006D7F91"/>
    <w:rsid w:val="006E06DB"/>
    <w:rsid w:val="006E130E"/>
    <w:rsid w:val="006E17A5"/>
    <w:rsid w:val="006E1D1B"/>
    <w:rsid w:val="006E1D32"/>
    <w:rsid w:val="006E23B3"/>
    <w:rsid w:val="006E335A"/>
    <w:rsid w:val="006E4246"/>
    <w:rsid w:val="006E5E22"/>
    <w:rsid w:val="006E67A2"/>
    <w:rsid w:val="006E6B65"/>
    <w:rsid w:val="006E6B86"/>
    <w:rsid w:val="006E6D1E"/>
    <w:rsid w:val="006E71FD"/>
    <w:rsid w:val="006E74E9"/>
    <w:rsid w:val="006F06E4"/>
    <w:rsid w:val="006F0A06"/>
    <w:rsid w:val="006F1178"/>
    <w:rsid w:val="006F1279"/>
    <w:rsid w:val="006F1B03"/>
    <w:rsid w:val="006F256C"/>
    <w:rsid w:val="006F2ECA"/>
    <w:rsid w:val="006F3FC1"/>
    <w:rsid w:val="006F4062"/>
    <w:rsid w:val="006F41B7"/>
    <w:rsid w:val="006F4A59"/>
    <w:rsid w:val="006F4AA2"/>
    <w:rsid w:val="006F4B86"/>
    <w:rsid w:val="006F54F2"/>
    <w:rsid w:val="006F5788"/>
    <w:rsid w:val="006F6220"/>
    <w:rsid w:val="006F64B0"/>
    <w:rsid w:val="006F6B3F"/>
    <w:rsid w:val="00700497"/>
    <w:rsid w:val="00700810"/>
    <w:rsid w:val="00701A50"/>
    <w:rsid w:val="00701E99"/>
    <w:rsid w:val="00702376"/>
    <w:rsid w:val="0070262A"/>
    <w:rsid w:val="00703622"/>
    <w:rsid w:val="00703B7F"/>
    <w:rsid w:val="00704169"/>
    <w:rsid w:val="0070471A"/>
    <w:rsid w:val="00705019"/>
    <w:rsid w:val="0070515B"/>
    <w:rsid w:val="00705682"/>
    <w:rsid w:val="00705994"/>
    <w:rsid w:val="007067D4"/>
    <w:rsid w:val="007070F8"/>
    <w:rsid w:val="00707994"/>
    <w:rsid w:val="00707CFC"/>
    <w:rsid w:val="00707FC5"/>
    <w:rsid w:val="007104FA"/>
    <w:rsid w:val="00710659"/>
    <w:rsid w:val="007106F9"/>
    <w:rsid w:val="00710B0D"/>
    <w:rsid w:val="00710B29"/>
    <w:rsid w:val="00710E51"/>
    <w:rsid w:val="00711023"/>
    <w:rsid w:val="007113E0"/>
    <w:rsid w:val="00711C14"/>
    <w:rsid w:val="00712EC1"/>
    <w:rsid w:val="00713232"/>
    <w:rsid w:val="00713BC9"/>
    <w:rsid w:val="00715180"/>
    <w:rsid w:val="00715532"/>
    <w:rsid w:val="00715C1B"/>
    <w:rsid w:val="00716142"/>
    <w:rsid w:val="00716E58"/>
    <w:rsid w:val="00717141"/>
    <w:rsid w:val="00717A5A"/>
    <w:rsid w:val="00717A98"/>
    <w:rsid w:val="007201D1"/>
    <w:rsid w:val="00720730"/>
    <w:rsid w:val="00721494"/>
    <w:rsid w:val="00722C87"/>
    <w:rsid w:val="007233D9"/>
    <w:rsid w:val="00723F78"/>
    <w:rsid w:val="00723FA8"/>
    <w:rsid w:val="007246CA"/>
    <w:rsid w:val="007248D0"/>
    <w:rsid w:val="00724C09"/>
    <w:rsid w:val="00726306"/>
    <w:rsid w:val="0072653A"/>
    <w:rsid w:val="00726B0C"/>
    <w:rsid w:val="007279E8"/>
    <w:rsid w:val="00727D28"/>
    <w:rsid w:val="00730A0D"/>
    <w:rsid w:val="00731665"/>
    <w:rsid w:val="00731CA2"/>
    <w:rsid w:val="00731F77"/>
    <w:rsid w:val="007326EF"/>
    <w:rsid w:val="007331D6"/>
    <w:rsid w:val="00734AC5"/>
    <w:rsid w:val="00735274"/>
    <w:rsid w:val="007352BA"/>
    <w:rsid w:val="00735391"/>
    <w:rsid w:val="007378A8"/>
    <w:rsid w:val="0074161C"/>
    <w:rsid w:val="00742A01"/>
    <w:rsid w:val="00743D91"/>
    <w:rsid w:val="00744887"/>
    <w:rsid w:val="007448E1"/>
    <w:rsid w:val="00744A01"/>
    <w:rsid w:val="0074588C"/>
    <w:rsid w:val="00745974"/>
    <w:rsid w:val="0074608F"/>
    <w:rsid w:val="007476D2"/>
    <w:rsid w:val="007504BC"/>
    <w:rsid w:val="00750D07"/>
    <w:rsid w:val="00751DAE"/>
    <w:rsid w:val="00751DC5"/>
    <w:rsid w:val="007531FF"/>
    <w:rsid w:val="00753765"/>
    <w:rsid w:val="00754327"/>
    <w:rsid w:val="00754350"/>
    <w:rsid w:val="007544D5"/>
    <w:rsid w:val="00755423"/>
    <w:rsid w:val="0075703E"/>
    <w:rsid w:val="00757A04"/>
    <w:rsid w:val="0076094A"/>
    <w:rsid w:val="00760966"/>
    <w:rsid w:val="00760A8F"/>
    <w:rsid w:val="007615FC"/>
    <w:rsid w:val="007618B6"/>
    <w:rsid w:val="007630CB"/>
    <w:rsid w:val="00763603"/>
    <w:rsid w:val="007637A0"/>
    <w:rsid w:val="00763C3D"/>
    <w:rsid w:val="00763FAD"/>
    <w:rsid w:val="00764EF0"/>
    <w:rsid w:val="00766CE4"/>
    <w:rsid w:val="00767C1F"/>
    <w:rsid w:val="007703F5"/>
    <w:rsid w:val="00771813"/>
    <w:rsid w:val="007724D5"/>
    <w:rsid w:val="00772D29"/>
    <w:rsid w:val="0077374E"/>
    <w:rsid w:val="00774382"/>
    <w:rsid w:val="00774D89"/>
    <w:rsid w:val="00780116"/>
    <w:rsid w:val="0078093C"/>
    <w:rsid w:val="00780C7D"/>
    <w:rsid w:val="00782C85"/>
    <w:rsid w:val="00783014"/>
    <w:rsid w:val="007835A5"/>
    <w:rsid w:val="0078393E"/>
    <w:rsid w:val="00783A23"/>
    <w:rsid w:val="00783C41"/>
    <w:rsid w:val="007847C0"/>
    <w:rsid w:val="00785380"/>
    <w:rsid w:val="00785B2B"/>
    <w:rsid w:val="00785C88"/>
    <w:rsid w:val="00785EA4"/>
    <w:rsid w:val="00786440"/>
    <w:rsid w:val="00786C2A"/>
    <w:rsid w:val="00786E8D"/>
    <w:rsid w:val="007876FF"/>
    <w:rsid w:val="00790D66"/>
    <w:rsid w:val="00791F4B"/>
    <w:rsid w:val="00792443"/>
    <w:rsid w:val="00792E07"/>
    <w:rsid w:val="00793055"/>
    <w:rsid w:val="007930C6"/>
    <w:rsid w:val="0079343B"/>
    <w:rsid w:val="00793F0B"/>
    <w:rsid w:val="007943B5"/>
    <w:rsid w:val="007947B3"/>
    <w:rsid w:val="00795077"/>
    <w:rsid w:val="00796222"/>
    <w:rsid w:val="00796FC4"/>
    <w:rsid w:val="0079749A"/>
    <w:rsid w:val="00797C00"/>
    <w:rsid w:val="007A0102"/>
    <w:rsid w:val="007A046C"/>
    <w:rsid w:val="007A11D8"/>
    <w:rsid w:val="007A1264"/>
    <w:rsid w:val="007A1844"/>
    <w:rsid w:val="007A1A48"/>
    <w:rsid w:val="007A25B4"/>
    <w:rsid w:val="007A3F05"/>
    <w:rsid w:val="007A414F"/>
    <w:rsid w:val="007A4C79"/>
    <w:rsid w:val="007A5D0C"/>
    <w:rsid w:val="007A5EFB"/>
    <w:rsid w:val="007A60BF"/>
    <w:rsid w:val="007A62CE"/>
    <w:rsid w:val="007A7375"/>
    <w:rsid w:val="007A7C6D"/>
    <w:rsid w:val="007B1215"/>
    <w:rsid w:val="007B13D6"/>
    <w:rsid w:val="007B284A"/>
    <w:rsid w:val="007B2A76"/>
    <w:rsid w:val="007B3AA7"/>
    <w:rsid w:val="007B4991"/>
    <w:rsid w:val="007B5184"/>
    <w:rsid w:val="007B5A4F"/>
    <w:rsid w:val="007B5A95"/>
    <w:rsid w:val="007B693D"/>
    <w:rsid w:val="007B695E"/>
    <w:rsid w:val="007B6C8C"/>
    <w:rsid w:val="007B6DFA"/>
    <w:rsid w:val="007B7437"/>
    <w:rsid w:val="007B77B7"/>
    <w:rsid w:val="007C128F"/>
    <w:rsid w:val="007C1BD3"/>
    <w:rsid w:val="007C1DE8"/>
    <w:rsid w:val="007C2D10"/>
    <w:rsid w:val="007C356E"/>
    <w:rsid w:val="007C50ED"/>
    <w:rsid w:val="007C576A"/>
    <w:rsid w:val="007C6466"/>
    <w:rsid w:val="007C6468"/>
    <w:rsid w:val="007C6B6A"/>
    <w:rsid w:val="007C71C9"/>
    <w:rsid w:val="007C747A"/>
    <w:rsid w:val="007C7680"/>
    <w:rsid w:val="007D0015"/>
    <w:rsid w:val="007D01C4"/>
    <w:rsid w:val="007D01CA"/>
    <w:rsid w:val="007D03F9"/>
    <w:rsid w:val="007D0C30"/>
    <w:rsid w:val="007D10CC"/>
    <w:rsid w:val="007D119C"/>
    <w:rsid w:val="007D2DB3"/>
    <w:rsid w:val="007D409D"/>
    <w:rsid w:val="007D480B"/>
    <w:rsid w:val="007D4965"/>
    <w:rsid w:val="007D61F4"/>
    <w:rsid w:val="007D71F8"/>
    <w:rsid w:val="007E0199"/>
    <w:rsid w:val="007E0BCA"/>
    <w:rsid w:val="007E1098"/>
    <w:rsid w:val="007E15DE"/>
    <w:rsid w:val="007E184A"/>
    <w:rsid w:val="007E1BC6"/>
    <w:rsid w:val="007E3074"/>
    <w:rsid w:val="007E37A6"/>
    <w:rsid w:val="007E3904"/>
    <w:rsid w:val="007E3DBE"/>
    <w:rsid w:val="007E4129"/>
    <w:rsid w:val="007E6490"/>
    <w:rsid w:val="007E6543"/>
    <w:rsid w:val="007E6948"/>
    <w:rsid w:val="007E6DB4"/>
    <w:rsid w:val="007E7432"/>
    <w:rsid w:val="007E7AC1"/>
    <w:rsid w:val="007E7AC7"/>
    <w:rsid w:val="007E7B31"/>
    <w:rsid w:val="007F0E32"/>
    <w:rsid w:val="007F107F"/>
    <w:rsid w:val="007F1A48"/>
    <w:rsid w:val="007F3577"/>
    <w:rsid w:val="007F40B1"/>
    <w:rsid w:val="007F43D5"/>
    <w:rsid w:val="007F4F03"/>
    <w:rsid w:val="007F5509"/>
    <w:rsid w:val="007F5616"/>
    <w:rsid w:val="007F5971"/>
    <w:rsid w:val="007F61B5"/>
    <w:rsid w:val="007F61C5"/>
    <w:rsid w:val="007F65AF"/>
    <w:rsid w:val="007F7395"/>
    <w:rsid w:val="007F7FA8"/>
    <w:rsid w:val="0080059D"/>
    <w:rsid w:val="00800D56"/>
    <w:rsid w:val="00800E2C"/>
    <w:rsid w:val="00801B6A"/>
    <w:rsid w:val="00801EEB"/>
    <w:rsid w:val="00802126"/>
    <w:rsid w:val="00802E17"/>
    <w:rsid w:val="008037C6"/>
    <w:rsid w:val="008040DA"/>
    <w:rsid w:val="008054D2"/>
    <w:rsid w:val="008058EB"/>
    <w:rsid w:val="008067EA"/>
    <w:rsid w:val="00807E59"/>
    <w:rsid w:val="00810375"/>
    <w:rsid w:val="00810B05"/>
    <w:rsid w:val="0081165A"/>
    <w:rsid w:val="00811B01"/>
    <w:rsid w:val="00811DBA"/>
    <w:rsid w:val="00811FB7"/>
    <w:rsid w:val="00812F6A"/>
    <w:rsid w:val="0081427C"/>
    <w:rsid w:val="0081493A"/>
    <w:rsid w:val="00814C31"/>
    <w:rsid w:val="00815182"/>
    <w:rsid w:val="008159A6"/>
    <w:rsid w:val="008165B4"/>
    <w:rsid w:val="008166F3"/>
    <w:rsid w:val="00817006"/>
    <w:rsid w:val="00817CA9"/>
    <w:rsid w:val="00824152"/>
    <w:rsid w:val="00825245"/>
    <w:rsid w:val="008252A9"/>
    <w:rsid w:val="00826258"/>
    <w:rsid w:val="00826883"/>
    <w:rsid w:val="00826B0B"/>
    <w:rsid w:val="00826B57"/>
    <w:rsid w:val="00827034"/>
    <w:rsid w:val="008309AB"/>
    <w:rsid w:val="00830FC1"/>
    <w:rsid w:val="0083114B"/>
    <w:rsid w:val="00831759"/>
    <w:rsid w:val="008325F8"/>
    <w:rsid w:val="0083317A"/>
    <w:rsid w:val="00835411"/>
    <w:rsid w:val="00835CB3"/>
    <w:rsid w:val="008364D1"/>
    <w:rsid w:val="00836AFE"/>
    <w:rsid w:val="00836B12"/>
    <w:rsid w:val="00836F9C"/>
    <w:rsid w:val="00837CE7"/>
    <w:rsid w:val="00837D49"/>
    <w:rsid w:val="008405D4"/>
    <w:rsid w:val="0084088D"/>
    <w:rsid w:val="00840ABB"/>
    <w:rsid w:val="00840B12"/>
    <w:rsid w:val="00840E0E"/>
    <w:rsid w:val="0084129B"/>
    <w:rsid w:val="00842A34"/>
    <w:rsid w:val="00842A47"/>
    <w:rsid w:val="00842EDC"/>
    <w:rsid w:val="00843256"/>
    <w:rsid w:val="0084353A"/>
    <w:rsid w:val="0084389E"/>
    <w:rsid w:val="00843EF2"/>
    <w:rsid w:val="008440F4"/>
    <w:rsid w:val="008442AC"/>
    <w:rsid w:val="00844FA9"/>
    <w:rsid w:val="00845232"/>
    <w:rsid w:val="008463E1"/>
    <w:rsid w:val="00846457"/>
    <w:rsid w:val="00846581"/>
    <w:rsid w:val="00846795"/>
    <w:rsid w:val="00846A03"/>
    <w:rsid w:val="00846E4C"/>
    <w:rsid w:val="00847720"/>
    <w:rsid w:val="0084797E"/>
    <w:rsid w:val="00850F47"/>
    <w:rsid w:val="00852BDB"/>
    <w:rsid w:val="00853C38"/>
    <w:rsid w:val="008544CD"/>
    <w:rsid w:val="008546D4"/>
    <w:rsid w:val="00854B60"/>
    <w:rsid w:val="00855085"/>
    <w:rsid w:val="00855D2E"/>
    <w:rsid w:val="0085695B"/>
    <w:rsid w:val="00857553"/>
    <w:rsid w:val="00857E9B"/>
    <w:rsid w:val="008605B1"/>
    <w:rsid w:val="00861724"/>
    <w:rsid w:val="00862EE8"/>
    <w:rsid w:val="0086429E"/>
    <w:rsid w:val="00864C36"/>
    <w:rsid w:val="0086579F"/>
    <w:rsid w:val="008658FB"/>
    <w:rsid w:val="00866699"/>
    <w:rsid w:val="00870367"/>
    <w:rsid w:val="008705CE"/>
    <w:rsid w:val="00870FF1"/>
    <w:rsid w:val="008711A8"/>
    <w:rsid w:val="008723BD"/>
    <w:rsid w:val="00872510"/>
    <w:rsid w:val="00872CAA"/>
    <w:rsid w:val="0087510D"/>
    <w:rsid w:val="0087590E"/>
    <w:rsid w:val="00876672"/>
    <w:rsid w:val="008768FD"/>
    <w:rsid w:val="00876A59"/>
    <w:rsid w:val="00876BA2"/>
    <w:rsid w:val="00876FCC"/>
    <w:rsid w:val="0087745E"/>
    <w:rsid w:val="008778CC"/>
    <w:rsid w:val="00877D7D"/>
    <w:rsid w:val="00877F01"/>
    <w:rsid w:val="008808A3"/>
    <w:rsid w:val="00880C21"/>
    <w:rsid w:val="00880E57"/>
    <w:rsid w:val="00881DD1"/>
    <w:rsid w:val="00881E6C"/>
    <w:rsid w:val="0088300A"/>
    <w:rsid w:val="008837D9"/>
    <w:rsid w:val="00883939"/>
    <w:rsid w:val="00883C2E"/>
    <w:rsid w:val="00884308"/>
    <w:rsid w:val="0088456F"/>
    <w:rsid w:val="0088551C"/>
    <w:rsid w:val="008856B4"/>
    <w:rsid w:val="00885D92"/>
    <w:rsid w:val="008871E4"/>
    <w:rsid w:val="008875CD"/>
    <w:rsid w:val="008879CC"/>
    <w:rsid w:val="008903A0"/>
    <w:rsid w:val="0089250C"/>
    <w:rsid w:val="00892914"/>
    <w:rsid w:val="00892B00"/>
    <w:rsid w:val="00892D52"/>
    <w:rsid w:val="00894390"/>
    <w:rsid w:val="00894F3F"/>
    <w:rsid w:val="00895967"/>
    <w:rsid w:val="00896D27"/>
    <w:rsid w:val="008A13F4"/>
    <w:rsid w:val="008A1C4F"/>
    <w:rsid w:val="008A1DF5"/>
    <w:rsid w:val="008A3029"/>
    <w:rsid w:val="008A3653"/>
    <w:rsid w:val="008A38CC"/>
    <w:rsid w:val="008A3941"/>
    <w:rsid w:val="008A435A"/>
    <w:rsid w:val="008A5399"/>
    <w:rsid w:val="008A5D93"/>
    <w:rsid w:val="008A6055"/>
    <w:rsid w:val="008A6B09"/>
    <w:rsid w:val="008A6EB5"/>
    <w:rsid w:val="008A739F"/>
    <w:rsid w:val="008A7414"/>
    <w:rsid w:val="008A762B"/>
    <w:rsid w:val="008B0853"/>
    <w:rsid w:val="008B0D91"/>
    <w:rsid w:val="008B1661"/>
    <w:rsid w:val="008B311E"/>
    <w:rsid w:val="008B383A"/>
    <w:rsid w:val="008B3B09"/>
    <w:rsid w:val="008B3D21"/>
    <w:rsid w:val="008B673D"/>
    <w:rsid w:val="008B6D46"/>
    <w:rsid w:val="008B774A"/>
    <w:rsid w:val="008B7AD8"/>
    <w:rsid w:val="008B7C0A"/>
    <w:rsid w:val="008C07A5"/>
    <w:rsid w:val="008C0AED"/>
    <w:rsid w:val="008C124B"/>
    <w:rsid w:val="008C128F"/>
    <w:rsid w:val="008C13F7"/>
    <w:rsid w:val="008C169F"/>
    <w:rsid w:val="008C192D"/>
    <w:rsid w:val="008C1B27"/>
    <w:rsid w:val="008C2202"/>
    <w:rsid w:val="008C269A"/>
    <w:rsid w:val="008C26EE"/>
    <w:rsid w:val="008C390B"/>
    <w:rsid w:val="008C3CBF"/>
    <w:rsid w:val="008C3EEF"/>
    <w:rsid w:val="008C4C8D"/>
    <w:rsid w:val="008C65DC"/>
    <w:rsid w:val="008C6DC5"/>
    <w:rsid w:val="008C6ED6"/>
    <w:rsid w:val="008C72A9"/>
    <w:rsid w:val="008C734A"/>
    <w:rsid w:val="008C7466"/>
    <w:rsid w:val="008C7B0C"/>
    <w:rsid w:val="008D1069"/>
    <w:rsid w:val="008D12B5"/>
    <w:rsid w:val="008D1525"/>
    <w:rsid w:val="008D1F0C"/>
    <w:rsid w:val="008D3BC0"/>
    <w:rsid w:val="008D4003"/>
    <w:rsid w:val="008D5429"/>
    <w:rsid w:val="008D626E"/>
    <w:rsid w:val="008D6461"/>
    <w:rsid w:val="008D68DB"/>
    <w:rsid w:val="008E0B93"/>
    <w:rsid w:val="008E0FC3"/>
    <w:rsid w:val="008E27A2"/>
    <w:rsid w:val="008E2972"/>
    <w:rsid w:val="008E3FDD"/>
    <w:rsid w:val="008E4186"/>
    <w:rsid w:val="008E67C2"/>
    <w:rsid w:val="008E6EE7"/>
    <w:rsid w:val="008E7151"/>
    <w:rsid w:val="008E7A91"/>
    <w:rsid w:val="008F0BE4"/>
    <w:rsid w:val="008F17D6"/>
    <w:rsid w:val="008F381B"/>
    <w:rsid w:val="008F50A1"/>
    <w:rsid w:val="008F5210"/>
    <w:rsid w:val="008F5C12"/>
    <w:rsid w:val="008F73EE"/>
    <w:rsid w:val="008F7411"/>
    <w:rsid w:val="008F7AAC"/>
    <w:rsid w:val="0090005B"/>
    <w:rsid w:val="009001B6"/>
    <w:rsid w:val="00900499"/>
    <w:rsid w:val="00902123"/>
    <w:rsid w:val="009027C5"/>
    <w:rsid w:val="00902DE5"/>
    <w:rsid w:val="00903625"/>
    <w:rsid w:val="00903950"/>
    <w:rsid w:val="009050FA"/>
    <w:rsid w:val="0090543B"/>
    <w:rsid w:val="00905461"/>
    <w:rsid w:val="009065B2"/>
    <w:rsid w:val="00906A7D"/>
    <w:rsid w:val="00906B6B"/>
    <w:rsid w:val="00906DE9"/>
    <w:rsid w:val="00906FD4"/>
    <w:rsid w:val="0090766B"/>
    <w:rsid w:val="009077D9"/>
    <w:rsid w:val="00907CD5"/>
    <w:rsid w:val="00907E1D"/>
    <w:rsid w:val="00907EF2"/>
    <w:rsid w:val="00910575"/>
    <w:rsid w:val="00910965"/>
    <w:rsid w:val="009118CD"/>
    <w:rsid w:val="00913118"/>
    <w:rsid w:val="009131D3"/>
    <w:rsid w:val="00913AF8"/>
    <w:rsid w:val="009142CD"/>
    <w:rsid w:val="00914AF0"/>
    <w:rsid w:val="009158E6"/>
    <w:rsid w:val="00915B8E"/>
    <w:rsid w:val="00916240"/>
    <w:rsid w:val="0091628E"/>
    <w:rsid w:val="0091720A"/>
    <w:rsid w:val="00917DD8"/>
    <w:rsid w:val="009204A6"/>
    <w:rsid w:val="009210AE"/>
    <w:rsid w:val="00921219"/>
    <w:rsid w:val="009232F3"/>
    <w:rsid w:val="0092333C"/>
    <w:rsid w:val="00923B0F"/>
    <w:rsid w:val="00924097"/>
    <w:rsid w:val="009240E4"/>
    <w:rsid w:val="00925622"/>
    <w:rsid w:val="00925803"/>
    <w:rsid w:val="0092638C"/>
    <w:rsid w:val="0092652C"/>
    <w:rsid w:val="00926A41"/>
    <w:rsid w:val="00926F15"/>
    <w:rsid w:val="0093101F"/>
    <w:rsid w:val="00931822"/>
    <w:rsid w:val="0093194C"/>
    <w:rsid w:val="009321D6"/>
    <w:rsid w:val="009324A6"/>
    <w:rsid w:val="00932888"/>
    <w:rsid w:val="00932F1B"/>
    <w:rsid w:val="009357F1"/>
    <w:rsid w:val="009359FA"/>
    <w:rsid w:val="00937DDD"/>
    <w:rsid w:val="0094008A"/>
    <w:rsid w:val="00940783"/>
    <w:rsid w:val="0094101C"/>
    <w:rsid w:val="0094163B"/>
    <w:rsid w:val="00942415"/>
    <w:rsid w:val="009426B0"/>
    <w:rsid w:val="00942918"/>
    <w:rsid w:val="0094347A"/>
    <w:rsid w:val="00944294"/>
    <w:rsid w:val="009460F1"/>
    <w:rsid w:val="00946AF0"/>
    <w:rsid w:val="00946EC6"/>
    <w:rsid w:val="009473BE"/>
    <w:rsid w:val="00947422"/>
    <w:rsid w:val="0095017A"/>
    <w:rsid w:val="009501AA"/>
    <w:rsid w:val="00950438"/>
    <w:rsid w:val="009507B2"/>
    <w:rsid w:val="009512A1"/>
    <w:rsid w:val="00951AD0"/>
    <w:rsid w:val="0095217B"/>
    <w:rsid w:val="00952578"/>
    <w:rsid w:val="00952D72"/>
    <w:rsid w:val="00952DF0"/>
    <w:rsid w:val="00954159"/>
    <w:rsid w:val="00954CA7"/>
    <w:rsid w:val="00954FC3"/>
    <w:rsid w:val="00955FC0"/>
    <w:rsid w:val="00956040"/>
    <w:rsid w:val="009562E2"/>
    <w:rsid w:val="009563BC"/>
    <w:rsid w:val="00956B75"/>
    <w:rsid w:val="00956E6D"/>
    <w:rsid w:val="00957914"/>
    <w:rsid w:val="00960F0F"/>
    <w:rsid w:val="00961476"/>
    <w:rsid w:val="009618E3"/>
    <w:rsid w:val="00961F9A"/>
    <w:rsid w:val="00963012"/>
    <w:rsid w:val="009630CB"/>
    <w:rsid w:val="009638BF"/>
    <w:rsid w:val="009638DB"/>
    <w:rsid w:val="00964EC8"/>
    <w:rsid w:val="00964F1E"/>
    <w:rsid w:val="0096503D"/>
    <w:rsid w:val="00966AB4"/>
    <w:rsid w:val="00967D85"/>
    <w:rsid w:val="00971922"/>
    <w:rsid w:val="00971BA9"/>
    <w:rsid w:val="0097200B"/>
    <w:rsid w:val="0097214B"/>
    <w:rsid w:val="00972340"/>
    <w:rsid w:val="009723F3"/>
    <w:rsid w:val="009738A1"/>
    <w:rsid w:val="0097397D"/>
    <w:rsid w:val="00974A02"/>
    <w:rsid w:val="00974F6E"/>
    <w:rsid w:val="0097545A"/>
    <w:rsid w:val="009754ED"/>
    <w:rsid w:val="009770D4"/>
    <w:rsid w:val="009772B1"/>
    <w:rsid w:val="0097772B"/>
    <w:rsid w:val="00977A28"/>
    <w:rsid w:val="00980BBB"/>
    <w:rsid w:val="00980E9A"/>
    <w:rsid w:val="009814B1"/>
    <w:rsid w:val="00981E79"/>
    <w:rsid w:val="00982676"/>
    <w:rsid w:val="00982687"/>
    <w:rsid w:val="00983957"/>
    <w:rsid w:val="00984421"/>
    <w:rsid w:val="009855A2"/>
    <w:rsid w:val="00986E74"/>
    <w:rsid w:val="00987514"/>
    <w:rsid w:val="009901DC"/>
    <w:rsid w:val="00991164"/>
    <w:rsid w:val="009913CD"/>
    <w:rsid w:val="00991DDA"/>
    <w:rsid w:val="00992426"/>
    <w:rsid w:val="00992FC5"/>
    <w:rsid w:val="00995C9E"/>
    <w:rsid w:val="00996163"/>
    <w:rsid w:val="009973BC"/>
    <w:rsid w:val="00997BFC"/>
    <w:rsid w:val="009A048C"/>
    <w:rsid w:val="009A08DF"/>
    <w:rsid w:val="009A126A"/>
    <w:rsid w:val="009A13A4"/>
    <w:rsid w:val="009A14C6"/>
    <w:rsid w:val="009A2161"/>
    <w:rsid w:val="009A24ED"/>
    <w:rsid w:val="009A3639"/>
    <w:rsid w:val="009A3BD2"/>
    <w:rsid w:val="009A3DD3"/>
    <w:rsid w:val="009A41BF"/>
    <w:rsid w:val="009A4235"/>
    <w:rsid w:val="009A4251"/>
    <w:rsid w:val="009A42CF"/>
    <w:rsid w:val="009A49B6"/>
    <w:rsid w:val="009A5117"/>
    <w:rsid w:val="009A5C36"/>
    <w:rsid w:val="009A6E71"/>
    <w:rsid w:val="009A773F"/>
    <w:rsid w:val="009A7819"/>
    <w:rsid w:val="009B190D"/>
    <w:rsid w:val="009B1C32"/>
    <w:rsid w:val="009B297D"/>
    <w:rsid w:val="009B4918"/>
    <w:rsid w:val="009B49EB"/>
    <w:rsid w:val="009B5011"/>
    <w:rsid w:val="009B5ABD"/>
    <w:rsid w:val="009B5EEC"/>
    <w:rsid w:val="009B69C2"/>
    <w:rsid w:val="009B6B39"/>
    <w:rsid w:val="009B7197"/>
    <w:rsid w:val="009B731F"/>
    <w:rsid w:val="009B75E2"/>
    <w:rsid w:val="009C0105"/>
    <w:rsid w:val="009C03B2"/>
    <w:rsid w:val="009C07D6"/>
    <w:rsid w:val="009C0F6C"/>
    <w:rsid w:val="009C1305"/>
    <w:rsid w:val="009C1550"/>
    <w:rsid w:val="009C16B3"/>
    <w:rsid w:val="009C1F4D"/>
    <w:rsid w:val="009C39CA"/>
    <w:rsid w:val="009C4F33"/>
    <w:rsid w:val="009C51F0"/>
    <w:rsid w:val="009C59CF"/>
    <w:rsid w:val="009C5C22"/>
    <w:rsid w:val="009C6AC7"/>
    <w:rsid w:val="009C6D77"/>
    <w:rsid w:val="009C6F47"/>
    <w:rsid w:val="009D05EA"/>
    <w:rsid w:val="009D0800"/>
    <w:rsid w:val="009D172C"/>
    <w:rsid w:val="009D3C4B"/>
    <w:rsid w:val="009D500B"/>
    <w:rsid w:val="009D5974"/>
    <w:rsid w:val="009D6A3B"/>
    <w:rsid w:val="009D71CA"/>
    <w:rsid w:val="009D7A14"/>
    <w:rsid w:val="009D7F37"/>
    <w:rsid w:val="009E0111"/>
    <w:rsid w:val="009E1514"/>
    <w:rsid w:val="009E1A4A"/>
    <w:rsid w:val="009E1D97"/>
    <w:rsid w:val="009E32FA"/>
    <w:rsid w:val="009E34E8"/>
    <w:rsid w:val="009E361F"/>
    <w:rsid w:val="009E3D0D"/>
    <w:rsid w:val="009E3FB1"/>
    <w:rsid w:val="009E4449"/>
    <w:rsid w:val="009E4B8B"/>
    <w:rsid w:val="009E5F20"/>
    <w:rsid w:val="009E60DA"/>
    <w:rsid w:val="009E7140"/>
    <w:rsid w:val="009E79D1"/>
    <w:rsid w:val="009F030A"/>
    <w:rsid w:val="009F030B"/>
    <w:rsid w:val="009F09D0"/>
    <w:rsid w:val="009F0BA8"/>
    <w:rsid w:val="009F3159"/>
    <w:rsid w:val="009F4071"/>
    <w:rsid w:val="009F4562"/>
    <w:rsid w:val="009F4CD1"/>
    <w:rsid w:val="009F5AAA"/>
    <w:rsid w:val="009F6184"/>
    <w:rsid w:val="009F6243"/>
    <w:rsid w:val="009F633D"/>
    <w:rsid w:val="009F6454"/>
    <w:rsid w:val="009F7F2A"/>
    <w:rsid w:val="00A00009"/>
    <w:rsid w:val="00A00AC8"/>
    <w:rsid w:val="00A01E6B"/>
    <w:rsid w:val="00A02E74"/>
    <w:rsid w:val="00A03A10"/>
    <w:rsid w:val="00A03D63"/>
    <w:rsid w:val="00A042FC"/>
    <w:rsid w:val="00A04AA4"/>
    <w:rsid w:val="00A05FF3"/>
    <w:rsid w:val="00A060AE"/>
    <w:rsid w:val="00A062D9"/>
    <w:rsid w:val="00A06338"/>
    <w:rsid w:val="00A06BC5"/>
    <w:rsid w:val="00A06D7D"/>
    <w:rsid w:val="00A06E62"/>
    <w:rsid w:val="00A0750D"/>
    <w:rsid w:val="00A07689"/>
    <w:rsid w:val="00A07697"/>
    <w:rsid w:val="00A07F00"/>
    <w:rsid w:val="00A10807"/>
    <w:rsid w:val="00A109EB"/>
    <w:rsid w:val="00A11550"/>
    <w:rsid w:val="00A11B6C"/>
    <w:rsid w:val="00A11E4D"/>
    <w:rsid w:val="00A12FBA"/>
    <w:rsid w:val="00A132F2"/>
    <w:rsid w:val="00A139DA"/>
    <w:rsid w:val="00A14B13"/>
    <w:rsid w:val="00A1555E"/>
    <w:rsid w:val="00A15AFF"/>
    <w:rsid w:val="00A15BB8"/>
    <w:rsid w:val="00A15BEA"/>
    <w:rsid w:val="00A16130"/>
    <w:rsid w:val="00A17118"/>
    <w:rsid w:val="00A17819"/>
    <w:rsid w:val="00A2003C"/>
    <w:rsid w:val="00A2060A"/>
    <w:rsid w:val="00A20691"/>
    <w:rsid w:val="00A20B3D"/>
    <w:rsid w:val="00A20DD6"/>
    <w:rsid w:val="00A21935"/>
    <w:rsid w:val="00A224E9"/>
    <w:rsid w:val="00A22B8E"/>
    <w:rsid w:val="00A235B0"/>
    <w:rsid w:val="00A23A78"/>
    <w:rsid w:val="00A23D3C"/>
    <w:rsid w:val="00A24610"/>
    <w:rsid w:val="00A25311"/>
    <w:rsid w:val="00A25E2B"/>
    <w:rsid w:val="00A26147"/>
    <w:rsid w:val="00A26CA3"/>
    <w:rsid w:val="00A272D4"/>
    <w:rsid w:val="00A27644"/>
    <w:rsid w:val="00A27895"/>
    <w:rsid w:val="00A27A13"/>
    <w:rsid w:val="00A3012F"/>
    <w:rsid w:val="00A301B2"/>
    <w:rsid w:val="00A3039B"/>
    <w:rsid w:val="00A3079C"/>
    <w:rsid w:val="00A31316"/>
    <w:rsid w:val="00A31693"/>
    <w:rsid w:val="00A31C0E"/>
    <w:rsid w:val="00A31F63"/>
    <w:rsid w:val="00A32034"/>
    <w:rsid w:val="00A32097"/>
    <w:rsid w:val="00A321CB"/>
    <w:rsid w:val="00A3331F"/>
    <w:rsid w:val="00A33500"/>
    <w:rsid w:val="00A33909"/>
    <w:rsid w:val="00A33F9A"/>
    <w:rsid w:val="00A354B7"/>
    <w:rsid w:val="00A355FA"/>
    <w:rsid w:val="00A37026"/>
    <w:rsid w:val="00A379CD"/>
    <w:rsid w:val="00A4024F"/>
    <w:rsid w:val="00A40284"/>
    <w:rsid w:val="00A4103D"/>
    <w:rsid w:val="00A41634"/>
    <w:rsid w:val="00A41EA5"/>
    <w:rsid w:val="00A41F1E"/>
    <w:rsid w:val="00A42143"/>
    <w:rsid w:val="00A423A4"/>
    <w:rsid w:val="00A427D2"/>
    <w:rsid w:val="00A42EC4"/>
    <w:rsid w:val="00A43337"/>
    <w:rsid w:val="00A44415"/>
    <w:rsid w:val="00A4475F"/>
    <w:rsid w:val="00A44CFD"/>
    <w:rsid w:val="00A457AC"/>
    <w:rsid w:val="00A46550"/>
    <w:rsid w:val="00A4743B"/>
    <w:rsid w:val="00A47EDA"/>
    <w:rsid w:val="00A50F45"/>
    <w:rsid w:val="00A51246"/>
    <w:rsid w:val="00A522C5"/>
    <w:rsid w:val="00A52B85"/>
    <w:rsid w:val="00A5334E"/>
    <w:rsid w:val="00A53A99"/>
    <w:rsid w:val="00A557D6"/>
    <w:rsid w:val="00A56398"/>
    <w:rsid w:val="00A56D16"/>
    <w:rsid w:val="00A57AA3"/>
    <w:rsid w:val="00A6009F"/>
    <w:rsid w:val="00A60C91"/>
    <w:rsid w:val="00A60ED8"/>
    <w:rsid w:val="00A616E5"/>
    <w:rsid w:val="00A61F14"/>
    <w:rsid w:val="00A622E0"/>
    <w:rsid w:val="00A62395"/>
    <w:rsid w:val="00A636A0"/>
    <w:rsid w:val="00A6427B"/>
    <w:rsid w:val="00A64465"/>
    <w:rsid w:val="00A6584B"/>
    <w:rsid w:val="00A6588F"/>
    <w:rsid w:val="00A65B62"/>
    <w:rsid w:val="00A66190"/>
    <w:rsid w:val="00A66521"/>
    <w:rsid w:val="00A6659E"/>
    <w:rsid w:val="00A66ACF"/>
    <w:rsid w:val="00A66D81"/>
    <w:rsid w:val="00A66EB3"/>
    <w:rsid w:val="00A70612"/>
    <w:rsid w:val="00A714BC"/>
    <w:rsid w:val="00A71AAA"/>
    <w:rsid w:val="00A71DDA"/>
    <w:rsid w:val="00A71FD2"/>
    <w:rsid w:val="00A72435"/>
    <w:rsid w:val="00A72892"/>
    <w:rsid w:val="00A73124"/>
    <w:rsid w:val="00A73F93"/>
    <w:rsid w:val="00A7433B"/>
    <w:rsid w:val="00A745C0"/>
    <w:rsid w:val="00A75748"/>
    <w:rsid w:val="00A75EF0"/>
    <w:rsid w:val="00A76340"/>
    <w:rsid w:val="00A76B7A"/>
    <w:rsid w:val="00A771C8"/>
    <w:rsid w:val="00A773E3"/>
    <w:rsid w:val="00A7782D"/>
    <w:rsid w:val="00A77EBD"/>
    <w:rsid w:val="00A81193"/>
    <w:rsid w:val="00A81A34"/>
    <w:rsid w:val="00A81ED8"/>
    <w:rsid w:val="00A82680"/>
    <w:rsid w:val="00A8321C"/>
    <w:rsid w:val="00A83960"/>
    <w:rsid w:val="00A83DE9"/>
    <w:rsid w:val="00A83E70"/>
    <w:rsid w:val="00A8491C"/>
    <w:rsid w:val="00A85A73"/>
    <w:rsid w:val="00A86188"/>
    <w:rsid w:val="00A867CB"/>
    <w:rsid w:val="00A867EC"/>
    <w:rsid w:val="00A8739F"/>
    <w:rsid w:val="00A90339"/>
    <w:rsid w:val="00A910B7"/>
    <w:rsid w:val="00A915CE"/>
    <w:rsid w:val="00A92D33"/>
    <w:rsid w:val="00A93531"/>
    <w:rsid w:val="00A93B38"/>
    <w:rsid w:val="00A9423C"/>
    <w:rsid w:val="00A94A86"/>
    <w:rsid w:val="00A94F10"/>
    <w:rsid w:val="00A95755"/>
    <w:rsid w:val="00A9666C"/>
    <w:rsid w:val="00A96F8C"/>
    <w:rsid w:val="00A97DE1"/>
    <w:rsid w:val="00AA0520"/>
    <w:rsid w:val="00AA0590"/>
    <w:rsid w:val="00AA09AE"/>
    <w:rsid w:val="00AA0BF3"/>
    <w:rsid w:val="00AA16A2"/>
    <w:rsid w:val="00AA18D9"/>
    <w:rsid w:val="00AA2514"/>
    <w:rsid w:val="00AA2A76"/>
    <w:rsid w:val="00AA2C8D"/>
    <w:rsid w:val="00AA36E3"/>
    <w:rsid w:val="00AA3CF7"/>
    <w:rsid w:val="00AA3D02"/>
    <w:rsid w:val="00AA428B"/>
    <w:rsid w:val="00AA4792"/>
    <w:rsid w:val="00AA52DF"/>
    <w:rsid w:val="00AA5DAC"/>
    <w:rsid w:val="00AA6319"/>
    <w:rsid w:val="00AA6F3B"/>
    <w:rsid w:val="00AA7EFF"/>
    <w:rsid w:val="00AB0174"/>
    <w:rsid w:val="00AB16C4"/>
    <w:rsid w:val="00AB22E4"/>
    <w:rsid w:val="00AB2B40"/>
    <w:rsid w:val="00AB304B"/>
    <w:rsid w:val="00AB40AA"/>
    <w:rsid w:val="00AB4557"/>
    <w:rsid w:val="00AB4E5C"/>
    <w:rsid w:val="00AB500D"/>
    <w:rsid w:val="00AB57D5"/>
    <w:rsid w:val="00AB5B0C"/>
    <w:rsid w:val="00AB74AB"/>
    <w:rsid w:val="00AB7633"/>
    <w:rsid w:val="00AC054E"/>
    <w:rsid w:val="00AC148A"/>
    <w:rsid w:val="00AC1A0C"/>
    <w:rsid w:val="00AC3179"/>
    <w:rsid w:val="00AC39C4"/>
    <w:rsid w:val="00AC6357"/>
    <w:rsid w:val="00AC63D8"/>
    <w:rsid w:val="00AC69BF"/>
    <w:rsid w:val="00AC7058"/>
    <w:rsid w:val="00AC7435"/>
    <w:rsid w:val="00AD0A0E"/>
    <w:rsid w:val="00AD0E74"/>
    <w:rsid w:val="00AD17E2"/>
    <w:rsid w:val="00AD183F"/>
    <w:rsid w:val="00AD2427"/>
    <w:rsid w:val="00AD2535"/>
    <w:rsid w:val="00AD33BD"/>
    <w:rsid w:val="00AD33E4"/>
    <w:rsid w:val="00AD432A"/>
    <w:rsid w:val="00AD7122"/>
    <w:rsid w:val="00AD72F4"/>
    <w:rsid w:val="00AD7B67"/>
    <w:rsid w:val="00AE0132"/>
    <w:rsid w:val="00AE0A8C"/>
    <w:rsid w:val="00AE100D"/>
    <w:rsid w:val="00AE24A9"/>
    <w:rsid w:val="00AE2A3A"/>
    <w:rsid w:val="00AE3326"/>
    <w:rsid w:val="00AE36A4"/>
    <w:rsid w:val="00AE3800"/>
    <w:rsid w:val="00AE3C9D"/>
    <w:rsid w:val="00AE40B1"/>
    <w:rsid w:val="00AE46AE"/>
    <w:rsid w:val="00AE4CEB"/>
    <w:rsid w:val="00AE511B"/>
    <w:rsid w:val="00AE5141"/>
    <w:rsid w:val="00AE5203"/>
    <w:rsid w:val="00AE5744"/>
    <w:rsid w:val="00AE685C"/>
    <w:rsid w:val="00AE6937"/>
    <w:rsid w:val="00AE715F"/>
    <w:rsid w:val="00AF07A1"/>
    <w:rsid w:val="00AF0EB6"/>
    <w:rsid w:val="00AF167D"/>
    <w:rsid w:val="00AF253F"/>
    <w:rsid w:val="00AF28E4"/>
    <w:rsid w:val="00AF2C83"/>
    <w:rsid w:val="00AF2D00"/>
    <w:rsid w:val="00AF3BB4"/>
    <w:rsid w:val="00AF4AB5"/>
    <w:rsid w:val="00AF4F94"/>
    <w:rsid w:val="00AF5227"/>
    <w:rsid w:val="00AF6EAA"/>
    <w:rsid w:val="00AF7B91"/>
    <w:rsid w:val="00B01077"/>
    <w:rsid w:val="00B013A6"/>
    <w:rsid w:val="00B01AE6"/>
    <w:rsid w:val="00B02295"/>
    <w:rsid w:val="00B0240F"/>
    <w:rsid w:val="00B0275E"/>
    <w:rsid w:val="00B029E7"/>
    <w:rsid w:val="00B02B96"/>
    <w:rsid w:val="00B02BBF"/>
    <w:rsid w:val="00B02F36"/>
    <w:rsid w:val="00B031D9"/>
    <w:rsid w:val="00B03630"/>
    <w:rsid w:val="00B041DF"/>
    <w:rsid w:val="00B04C70"/>
    <w:rsid w:val="00B05781"/>
    <w:rsid w:val="00B066A3"/>
    <w:rsid w:val="00B069CC"/>
    <w:rsid w:val="00B10212"/>
    <w:rsid w:val="00B1047B"/>
    <w:rsid w:val="00B10782"/>
    <w:rsid w:val="00B10C12"/>
    <w:rsid w:val="00B116F3"/>
    <w:rsid w:val="00B1297A"/>
    <w:rsid w:val="00B129F6"/>
    <w:rsid w:val="00B13233"/>
    <w:rsid w:val="00B134D7"/>
    <w:rsid w:val="00B1366D"/>
    <w:rsid w:val="00B13D3C"/>
    <w:rsid w:val="00B13F44"/>
    <w:rsid w:val="00B14302"/>
    <w:rsid w:val="00B155AD"/>
    <w:rsid w:val="00B166B0"/>
    <w:rsid w:val="00B179D0"/>
    <w:rsid w:val="00B200A6"/>
    <w:rsid w:val="00B200ED"/>
    <w:rsid w:val="00B20DD3"/>
    <w:rsid w:val="00B21166"/>
    <w:rsid w:val="00B21603"/>
    <w:rsid w:val="00B21831"/>
    <w:rsid w:val="00B21A01"/>
    <w:rsid w:val="00B2232B"/>
    <w:rsid w:val="00B2306C"/>
    <w:rsid w:val="00B23355"/>
    <w:rsid w:val="00B24C59"/>
    <w:rsid w:val="00B2501D"/>
    <w:rsid w:val="00B253F6"/>
    <w:rsid w:val="00B25B26"/>
    <w:rsid w:val="00B25D7E"/>
    <w:rsid w:val="00B27F83"/>
    <w:rsid w:val="00B3027D"/>
    <w:rsid w:val="00B311B8"/>
    <w:rsid w:val="00B314BD"/>
    <w:rsid w:val="00B31D55"/>
    <w:rsid w:val="00B32060"/>
    <w:rsid w:val="00B32435"/>
    <w:rsid w:val="00B327B6"/>
    <w:rsid w:val="00B32DCA"/>
    <w:rsid w:val="00B331BF"/>
    <w:rsid w:val="00B33428"/>
    <w:rsid w:val="00B35163"/>
    <w:rsid w:val="00B35169"/>
    <w:rsid w:val="00B35B15"/>
    <w:rsid w:val="00B36C83"/>
    <w:rsid w:val="00B370D2"/>
    <w:rsid w:val="00B378C6"/>
    <w:rsid w:val="00B40D0A"/>
    <w:rsid w:val="00B40F4E"/>
    <w:rsid w:val="00B41EEA"/>
    <w:rsid w:val="00B41F22"/>
    <w:rsid w:val="00B43110"/>
    <w:rsid w:val="00B4444C"/>
    <w:rsid w:val="00B4553B"/>
    <w:rsid w:val="00B46D30"/>
    <w:rsid w:val="00B47103"/>
    <w:rsid w:val="00B472D2"/>
    <w:rsid w:val="00B4749E"/>
    <w:rsid w:val="00B47A17"/>
    <w:rsid w:val="00B51199"/>
    <w:rsid w:val="00B518EC"/>
    <w:rsid w:val="00B52641"/>
    <w:rsid w:val="00B529EF"/>
    <w:rsid w:val="00B52E19"/>
    <w:rsid w:val="00B52EDB"/>
    <w:rsid w:val="00B533E4"/>
    <w:rsid w:val="00B56910"/>
    <w:rsid w:val="00B56952"/>
    <w:rsid w:val="00B56C70"/>
    <w:rsid w:val="00B573AF"/>
    <w:rsid w:val="00B57617"/>
    <w:rsid w:val="00B57EE9"/>
    <w:rsid w:val="00B6075C"/>
    <w:rsid w:val="00B60F87"/>
    <w:rsid w:val="00B61153"/>
    <w:rsid w:val="00B612EA"/>
    <w:rsid w:val="00B6131C"/>
    <w:rsid w:val="00B6152D"/>
    <w:rsid w:val="00B61B08"/>
    <w:rsid w:val="00B61FF8"/>
    <w:rsid w:val="00B62793"/>
    <w:rsid w:val="00B62812"/>
    <w:rsid w:val="00B632E4"/>
    <w:rsid w:val="00B64A7E"/>
    <w:rsid w:val="00B65B0A"/>
    <w:rsid w:val="00B65E27"/>
    <w:rsid w:val="00B65EC7"/>
    <w:rsid w:val="00B665AA"/>
    <w:rsid w:val="00B700B0"/>
    <w:rsid w:val="00B70566"/>
    <w:rsid w:val="00B70970"/>
    <w:rsid w:val="00B709E0"/>
    <w:rsid w:val="00B7152F"/>
    <w:rsid w:val="00B71AB5"/>
    <w:rsid w:val="00B71BBA"/>
    <w:rsid w:val="00B71C0B"/>
    <w:rsid w:val="00B72E00"/>
    <w:rsid w:val="00B72E3D"/>
    <w:rsid w:val="00B73117"/>
    <w:rsid w:val="00B733BA"/>
    <w:rsid w:val="00B734B5"/>
    <w:rsid w:val="00B7362C"/>
    <w:rsid w:val="00B7370F"/>
    <w:rsid w:val="00B7405D"/>
    <w:rsid w:val="00B74798"/>
    <w:rsid w:val="00B74913"/>
    <w:rsid w:val="00B7492B"/>
    <w:rsid w:val="00B74FD3"/>
    <w:rsid w:val="00B7664C"/>
    <w:rsid w:val="00B8095F"/>
    <w:rsid w:val="00B80EDF"/>
    <w:rsid w:val="00B812A6"/>
    <w:rsid w:val="00B817E9"/>
    <w:rsid w:val="00B81985"/>
    <w:rsid w:val="00B81FEA"/>
    <w:rsid w:val="00B82338"/>
    <w:rsid w:val="00B827BA"/>
    <w:rsid w:val="00B859B0"/>
    <w:rsid w:val="00B87128"/>
    <w:rsid w:val="00B8770C"/>
    <w:rsid w:val="00B8771B"/>
    <w:rsid w:val="00B877AC"/>
    <w:rsid w:val="00B90957"/>
    <w:rsid w:val="00B9255B"/>
    <w:rsid w:val="00B92B12"/>
    <w:rsid w:val="00B92B44"/>
    <w:rsid w:val="00B92FE3"/>
    <w:rsid w:val="00B935D5"/>
    <w:rsid w:val="00B9389F"/>
    <w:rsid w:val="00B93D81"/>
    <w:rsid w:val="00B94900"/>
    <w:rsid w:val="00B94A4E"/>
    <w:rsid w:val="00B94AC8"/>
    <w:rsid w:val="00B94F29"/>
    <w:rsid w:val="00B95E4E"/>
    <w:rsid w:val="00B96F19"/>
    <w:rsid w:val="00B97700"/>
    <w:rsid w:val="00BA028A"/>
    <w:rsid w:val="00BA03CA"/>
    <w:rsid w:val="00BA0899"/>
    <w:rsid w:val="00BA0CF9"/>
    <w:rsid w:val="00BA12C0"/>
    <w:rsid w:val="00BA188F"/>
    <w:rsid w:val="00BA35B6"/>
    <w:rsid w:val="00BA3E82"/>
    <w:rsid w:val="00BA45E0"/>
    <w:rsid w:val="00BA4A2E"/>
    <w:rsid w:val="00BA5639"/>
    <w:rsid w:val="00BA56C4"/>
    <w:rsid w:val="00BA5DF1"/>
    <w:rsid w:val="00BA6333"/>
    <w:rsid w:val="00BA6934"/>
    <w:rsid w:val="00BA71FC"/>
    <w:rsid w:val="00BB0F09"/>
    <w:rsid w:val="00BB19B8"/>
    <w:rsid w:val="00BB228C"/>
    <w:rsid w:val="00BB3121"/>
    <w:rsid w:val="00BB35F7"/>
    <w:rsid w:val="00BB41AE"/>
    <w:rsid w:val="00BB43D1"/>
    <w:rsid w:val="00BB4DE0"/>
    <w:rsid w:val="00BB4F39"/>
    <w:rsid w:val="00BB5062"/>
    <w:rsid w:val="00BB5149"/>
    <w:rsid w:val="00BB62DF"/>
    <w:rsid w:val="00BB67C8"/>
    <w:rsid w:val="00BB6923"/>
    <w:rsid w:val="00BB7207"/>
    <w:rsid w:val="00BB7485"/>
    <w:rsid w:val="00BB7545"/>
    <w:rsid w:val="00BB77BD"/>
    <w:rsid w:val="00BB7D22"/>
    <w:rsid w:val="00BC03AE"/>
    <w:rsid w:val="00BC03F1"/>
    <w:rsid w:val="00BC1817"/>
    <w:rsid w:val="00BC2433"/>
    <w:rsid w:val="00BC266B"/>
    <w:rsid w:val="00BC34F0"/>
    <w:rsid w:val="00BC3A48"/>
    <w:rsid w:val="00BC47A9"/>
    <w:rsid w:val="00BC47D2"/>
    <w:rsid w:val="00BC49D9"/>
    <w:rsid w:val="00BC565C"/>
    <w:rsid w:val="00BC6C12"/>
    <w:rsid w:val="00BC6DBA"/>
    <w:rsid w:val="00BC738D"/>
    <w:rsid w:val="00BC779A"/>
    <w:rsid w:val="00BD1789"/>
    <w:rsid w:val="00BD203D"/>
    <w:rsid w:val="00BD2A7E"/>
    <w:rsid w:val="00BD3252"/>
    <w:rsid w:val="00BD52F7"/>
    <w:rsid w:val="00BD579E"/>
    <w:rsid w:val="00BD62A4"/>
    <w:rsid w:val="00BD72F6"/>
    <w:rsid w:val="00BE018A"/>
    <w:rsid w:val="00BE0B90"/>
    <w:rsid w:val="00BE0F91"/>
    <w:rsid w:val="00BE1D81"/>
    <w:rsid w:val="00BE384B"/>
    <w:rsid w:val="00BE3A1E"/>
    <w:rsid w:val="00BE47AA"/>
    <w:rsid w:val="00BE4AC0"/>
    <w:rsid w:val="00BE5C17"/>
    <w:rsid w:val="00BE5F6C"/>
    <w:rsid w:val="00BE691F"/>
    <w:rsid w:val="00BE6BFB"/>
    <w:rsid w:val="00BE71FE"/>
    <w:rsid w:val="00BF02CA"/>
    <w:rsid w:val="00BF081B"/>
    <w:rsid w:val="00BF0A0E"/>
    <w:rsid w:val="00BF12DF"/>
    <w:rsid w:val="00BF1F24"/>
    <w:rsid w:val="00BF3892"/>
    <w:rsid w:val="00BF3B58"/>
    <w:rsid w:val="00BF657A"/>
    <w:rsid w:val="00BF659F"/>
    <w:rsid w:val="00BF772D"/>
    <w:rsid w:val="00C01DD9"/>
    <w:rsid w:val="00C0281E"/>
    <w:rsid w:val="00C02828"/>
    <w:rsid w:val="00C03C77"/>
    <w:rsid w:val="00C0593B"/>
    <w:rsid w:val="00C063E4"/>
    <w:rsid w:val="00C063FD"/>
    <w:rsid w:val="00C071E4"/>
    <w:rsid w:val="00C07C4F"/>
    <w:rsid w:val="00C112B0"/>
    <w:rsid w:val="00C11347"/>
    <w:rsid w:val="00C11DE3"/>
    <w:rsid w:val="00C12203"/>
    <w:rsid w:val="00C12745"/>
    <w:rsid w:val="00C12890"/>
    <w:rsid w:val="00C129CE"/>
    <w:rsid w:val="00C1304C"/>
    <w:rsid w:val="00C1352D"/>
    <w:rsid w:val="00C13CAA"/>
    <w:rsid w:val="00C1412C"/>
    <w:rsid w:val="00C14377"/>
    <w:rsid w:val="00C155C8"/>
    <w:rsid w:val="00C15A45"/>
    <w:rsid w:val="00C169E1"/>
    <w:rsid w:val="00C16DE1"/>
    <w:rsid w:val="00C1701E"/>
    <w:rsid w:val="00C20862"/>
    <w:rsid w:val="00C21AC2"/>
    <w:rsid w:val="00C2202E"/>
    <w:rsid w:val="00C23322"/>
    <w:rsid w:val="00C24EAC"/>
    <w:rsid w:val="00C268DC"/>
    <w:rsid w:val="00C26B66"/>
    <w:rsid w:val="00C270B5"/>
    <w:rsid w:val="00C30571"/>
    <w:rsid w:val="00C310C9"/>
    <w:rsid w:val="00C3339C"/>
    <w:rsid w:val="00C33CAD"/>
    <w:rsid w:val="00C342FD"/>
    <w:rsid w:val="00C34473"/>
    <w:rsid w:val="00C35D44"/>
    <w:rsid w:val="00C4019B"/>
    <w:rsid w:val="00C406BB"/>
    <w:rsid w:val="00C409C6"/>
    <w:rsid w:val="00C40BEC"/>
    <w:rsid w:val="00C40EBC"/>
    <w:rsid w:val="00C418A8"/>
    <w:rsid w:val="00C4198E"/>
    <w:rsid w:val="00C41E93"/>
    <w:rsid w:val="00C42167"/>
    <w:rsid w:val="00C42858"/>
    <w:rsid w:val="00C4288D"/>
    <w:rsid w:val="00C439AA"/>
    <w:rsid w:val="00C43DAB"/>
    <w:rsid w:val="00C43DDC"/>
    <w:rsid w:val="00C44064"/>
    <w:rsid w:val="00C44540"/>
    <w:rsid w:val="00C446B9"/>
    <w:rsid w:val="00C44B15"/>
    <w:rsid w:val="00C44C65"/>
    <w:rsid w:val="00C45072"/>
    <w:rsid w:val="00C45E65"/>
    <w:rsid w:val="00C474CC"/>
    <w:rsid w:val="00C477F2"/>
    <w:rsid w:val="00C5073D"/>
    <w:rsid w:val="00C51190"/>
    <w:rsid w:val="00C516D6"/>
    <w:rsid w:val="00C51B96"/>
    <w:rsid w:val="00C5294D"/>
    <w:rsid w:val="00C52D7C"/>
    <w:rsid w:val="00C547E7"/>
    <w:rsid w:val="00C54E4D"/>
    <w:rsid w:val="00C554AA"/>
    <w:rsid w:val="00C55B51"/>
    <w:rsid w:val="00C5609C"/>
    <w:rsid w:val="00C5701B"/>
    <w:rsid w:val="00C572E1"/>
    <w:rsid w:val="00C57EDE"/>
    <w:rsid w:val="00C57F6E"/>
    <w:rsid w:val="00C6019B"/>
    <w:rsid w:val="00C60418"/>
    <w:rsid w:val="00C6056A"/>
    <w:rsid w:val="00C60713"/>
    <w:rsid w:val="00C61702"/>
    <w:rsid w:val="00C61C68"/>
    <w:rsid w:val="00C61F69"/>
    <w:rsid w:val="00C620BF"/>
    <w:rsid w:val="00C6240A"/>
    <w:rsid w:val="00C62DA1"/>
    <w:rsid w:val="00C6361B"/>
    <w:rsid w:val="00C638A7"/>
    <w:rsid w:val="00C63D88"/>
    <w:rsid w:val="00C6473D"/>
    <w:rsid w:val="00C66D76"/>
    <w:rsid w:val="00C66DDD"/>
    <w:rsid w:val="00C67C34"/>
    <w:rsid w:val="00C701DC"/>
    <w:rsid w:val="00C708ED"/>
    <w:rsid w:val="00C70C08"/>
    <w:rsid w:val="00C70C99"/>
    <w:rsid w:val="00C717EF"/>
    <w:rsid w:val="00C71AA8"/>
    <w:rsid w:val="00C71B32"/>
    <w:rsid w:val="00C721C9"/>
    <w:rsid w:val="00C726F2"/>
    <w:rsid w:val="00C72CF5"/>
    <w:rsid w:val="00C735A6"/>
    <w:rsid w:val="00C75AC7"/>
    <w:rsid w:val="00C762A2"/>
    <w:rsid w:val="00C76878"/>
    <w:rsid w:val="00C77197"/>
    <w:rsid w:val="00C77795"/>
    <w:rsid w:val="00C801FB"/>
    <w:rsid w:val="00C814AA"/>
    <w:rsid w:val="00C81DB8"/>
    <w:rsid w:val="00C84099"/>
    <w:rsid w:val="00C842BB"/>
    <w:rsid w:val="00C8533F"/>
    <w:rsid w:val="00C8546D"/>
    <w:rsid w:val="00C85881"/>
    <w:rsid w:val="00C85BBE"/>
    <w:rsid w:val="00C86A17"/>
    <w:rsid w:val="00C87139"/>
    <w:rsid w:val="00C87484"/>
    <w:rsid w:val="00C90C09"/>
    <w:rsid w:val="00C918D6"/>
    <w:rsid w:val="00C921B4"/>
    <w:rsid w:val="00C93063"/>
    <w:rsid w:val="00C939F2"/>
    <w:rsid w:val="00C93E70"/>
    <w:rsid w:val="00C94C6B"/>
    <w:rsid w:val="00C95104"/>
    <w:rsid w:val="00C962D0"/>
    <w:rsid w:val="00C962D6"/>
    <w:rsid w:val="00C964F9"/>
    <w:rsid w:val="00C970CE"/>
    <w:rsid w:val="00C97C04"/>
    <w:rsid w:val="00C97E37"/>
    <w:rsid w:val="00C97F2E"/>
    <w:rsid w:val="00C97F42"/>
    <w:rsid w:val="00CA022F"/>
    <w:rsid w:val="00CA04F4"/>
    <w:rsid w:val="00CA0B79"/>
    <w:rsid w:val="00CA0CB0"/>
    <w:rsid w:val="00CA1E18"/>
    <w:rsid w:val="00CA2DEB"/>
    <w:rsid w:val="00CA394A"/>
    <w:rsid w:val="00CA3F8A"/>
    <w:rsid w:val="00CA420D"/>
    <w:rsid w:val="00CA44C6"/>
    <w:rsid w:val="00CA48E7"/>
    <w:rsid w:val="00CA4D86"/>
    <w:rsid w:val="00CA588E"/>
    <w:rsid w:val="00CA6105"/>
    <w:rsid w:val="00CA6475"/>
    <w:rsid w:val="00CA7720"/>
    <w:rsid w:val="00CA7D9B"/>
    <w:rsid w:val="00CB0864"/>
    <w:rsid w:val="00CB16ED"/>
    <w:rsid w:val="00CB173A"/>
    <w:rsid w:val="00CB1BCF"/>
    <w:rsid w:val="00CB1DFD"/>
    <w:rsid w:val="00CB20A5"/>
    <w:rsid w:val="00CB2C50"/>
    <w:rsid w:val="00CB31C1"/>
    <w:rsid w:val="00CB33C7"/>
    <w:rsid w:val="00CB3FF0"/>
    <w:rsid w:val="00CB4649"/>
    <w:rsid w:val="00CB473D"/>
    <w:rsid w:val="00CB57A6"/>
    <w:rsid w:val="00CB5810"/>
    <w:rsid w:val="00CB62B5"/>
    <w:rsid w:val="00CB691B"/>
    <w:rsid w:val="00CB766A"/>
    <w:rsid w:val="00CB769A"/>
    <w:rsid w:val="00CC0019"/>
    <w:rsid w:val="00CC11E9"/>
    <w:rsid w:val="00CC32EB"/>
    <w:rsid w:val="00CC4417"/>
    <w:rsid w:val="00CC5AB9"/>
    <w:rsid w:val="00CC5D14"/>
    <w:rsid w:val="00CC63BA"/>
    <w:rsid w:val="00CC7176"/>
    <w:rsid w:val="00CC7AAE"/>
    <w:rsid w:val="00CD033B"/>
    <w:rsid w:val="00CD0721"/>
    <w:rsid w:val="00CD0922"/>
    <w:rsid w:val="00CD0D30"/>
    <w:rsid w:val="00CD1C05"/>
    <w:rsid w:val="00CD2C4C"/>
    <w:rsid w:val="00CD38A8"/>
    <w:rsid w:val="00CD40A2"/>
    <w:rsid w:val="00CD43F9"/>
    <w:rsid w:val="00CD44C5"/>
    <w:rsid w:val="00CD48C9"/>
    <w:rsid w:val="00CD4A65"/>
    <w:rsid w:val="00CD4D72"/>
    <w:rsid w:val="00CD5227"/>
    <w:rsid w:val="00CD5876"/>
    <w:rsid w:val="00CD5EF3"/>
    <w:rsid w:val="00CD6764"/>
    <w:rsid w:val="00CD6A34"/>
    <w:rsid w:val="00CD7251"/>
    <w:rsid w:val="00CD72CA"/>
    <w:rsid w:val="00CD7C99"/>
    <w:rsid w:val="00CD7E81"/>
    <w:rsid w:val="00CE0315"/>
    <w:rsid w:val="00CE03AA"/>
    <w:rsid w:val="00CE0D78"/>
    <w:rsid w:val="00CE14C5"/>
    <w:rsid w:val="00CE15B9"/>
    <w:rsid w:val="00CE1937"/>
    <w:rsid w:val="00CE1BEC"/>
    <w:rsid w:val="00CE1C67"/>
    <w:rsid w:val="00CE2A09"/>
    <w:rsid w:val="00CE2B3D"/>
    <w:rsid w:val="00CE2E8F"/>
    <w:rsid w:val="00CE3A43"/>
    <w:rsid w:val="00CE3D20"/>
    <w:rsid w:val="00CE412F"/>
    <w:rsid w:val="00CE4288"/>
    <w:rsid w:val="00CE4339"/>
    <w:rsid w:val="00CE4397"/>
    <w:rsid w:val="00CE4AB7"/>
    <w:rsid w:val="00CE54BC"/>
    <w:rsid w:val="00CE5D17"/>
    <w:rsid w:val="00CE651D"/>
    <w:rsid w:val="00CE7030"/>
    <w:rsid w:val="00CE7118"/>
    <w:rsid w:val="00CF00D9"/>
    <w:rsid w:val="00CF0BEC"/>
    <w:rsid w:val="00CF0CBE"/>
    <w:rsid w:val="00CF0DBF"/>
    <w:rsid w:val="00CF10CE"/>
    <w:rsid w:val="00CF14EE"/>
    <w:rsid w:val="00CF22A6"/>
    <w:rsid w:val="00CF2893"/>
    <w:rsid w:val="00CF2D1F"/>
    <w:rsid w:val="00CF33B9"/>
    <w:rsid w:val="00CF4B2D"/>
    <w:rsid w:val="00CF5A36"/>
    <w:rsid w:val="00CF5E7E"/>
    <w:rsid w:val="00CF64B0"/>
    <w:rsid w:val="00CF7EB4"/>
    <w:rsid w:val="00D00D3E"/>
    <w:rsid w:val="00D00EBE"/>
    <w:rsid w:val="00D00F39"/>
    <w:rsid w:val="00D00F8E"/>
    <w:rsid w:val="00D02303"/>
    <w:rsid w:val="00D0288A"/>
    <w:rsid w:val="00D02A63"/>
    <w:rsid w:val="00D02CD5"/>
    <w:rsid w:val="00D0328B"/>
    <w:rsid w:val="00D03531"/>
    <w:rsid w:val="00D03F36"/>
    <w:rsid w:val="00D04837"/>
    <w:rsid w:val="00D04C8D"/>
    <w:rsid w:val="00D053E3"/>
    <w:rsid w:val="00D06921"/>
    <w:rsid w:val="00D06CA1"/>
    <w:rsid w:val="00D07799"/>
    <w:rsid w:val="00D07C06"/>
    <w:rsid w:val="00D07CB2"/>
    <w:rsid w:val="00D07F98"/>
    <w:rsid w:val="00D100B4"/>
    <w:rsid w:val="00D11336"/>
    <w:rsid w:val="00D1182B"/>
    <w:rsid w:val="00D12CFF"/>
    <w:rsid w:val="00D13011"/>
    <w:rsid w:val="00D13AC2"/>
    <w:rsid w:val="00D14312"/>
    <w:rsid w:val="00D14422"/>
    <w:rsid w:val="00D14CB4"/>
    <w:rsid w:val="00D16161"/>
    <w:rsid w:val="00D16495"/>
    <w:rsid w:val="00D16732"/>
    <w:rsid w:val="00D177F8"/>
    <w:rsid w:val="00D17863"/>
    <w:rsid w:val="00D20194"/>
    <w:rsid w:val="00D20794"/>
    <w:rsid w:val="00D20AC7"/>
    <w:rsid w:val="00D20F9D"/>
    <w:rsid w:val="00D221F2"/>
    <w:rsid w:val="00D223C6"/>
    <w:rsid w:val="00D22A42"/>
    <w:rsid w:val="00D233C3"/>
    <w:rsid w:val="00D238DC"/>
    <w:rsid w:val="00D23946"/>
    <w:rsid w:val="00D23D31"/>
    <w:rsid w:val="00D23DBA"/>
    <w:rsid w:val="00D23DFA"/>
    <w:rsid w:val="00D24C7A"/>
    <w:rsid w:val="00D25049"/>
    <w:rsid w:val="00D26769"/>
    <w:rsid w:val="00D26D37"/>
    <w:rsid w:val="00D26F61"/>
    <w:rsid w:val="00D27E3C"/>
    <w:rsid w:val="00D30478"/>
    <w:rsid w:val="00D3066A"/>
    <w:rsid w:val="00D30D70"/>
    <w:rsid w:val="00D3288F"/>
    <w:rsid w:val="00D3320C"/>
    <w:rsid w:val="00D3323D"/>
    <w:rsid w:val="00D334B0"/>
    <w:rsid w:val="00D335ED"/>
    <w:rsid w:val="00D34043"/>
    <w:rsid w:val="00D346A7"/>
    <w:rsid w:val="00D349EA"/>
    <w:rsid w:val="00D34E9D"/>
    <w:rsid w:val="00D355D7"/>
    <w:rsid w:val="00D3570F"/>
    <w:rsid w:val="00D357AB"/>
    <w:rsid w:val="00D35C02"/>
    <w:rsid w:val="00D36206"/>
    <w:rsid w:val="00D3694D"/>
    <w:rsid w:val="00D36A62"/>
    <w:rsid w:val="00D36CC1"/>
    <w:rsid w:val="00D36D88"/>
    <w:rsid w:val="00D370A5"/>
    <w:rsid w:val="00D37239"/>
    <w:rsid w:val="00D37538"/>
    <w:rsid w:val="00D37A83"/>
    <w:rsid w:val="00D37BC0"/>
    <w:rsid w:val="00D42178"/>
    <w:rsid w:val="00D424DD"/>
    <w:rsid w:val="00D426E8"/>
    <w:rsid w:val="00D43220"/>
    <w:rsid w:val="00D436CD"/>
    <w:rsid w:val="00D43CAB"/>
    <w:rsid w:val="00D446F7"/>
    <w:rsid w:val="00D44F10"/>
    <w:rsid w:val="00D450CB"/>
    <w:rsid w:val="00D45569"/>
    <w:rsid w:val="00D45C1B"/>
    <w:rsid w:val="00D4625C"/>
    <w:rsid w:val="00D46D3A"/>
    <w:rsid w:val="00D47469"/>
    <w:rsid w:val="00D47B87"/>
    <w:rsid w:val="00D50E53"/>
    <w:rsid w:val="00D51727"/>
    <w:rsid w:val="00D5206C"/>
    <w:rsid w:val="00D520A8"/>
    <w:rsid w:val="00D526B7"/>
    <w:rsid w:val="00D527EA"/>
    <w:rsid w:val="00D5467A"/>
    <w:rsid w:val="00D549B2"/>
    <w:rsid w:val="00D54CEC"/>
    <w:rsid w:val="00D56181"/>
    <w:rsid w:val="00D56984"/>
    <w:rsid w:val="00D569BC"/>
    <w:rsid w:val="00D56DAB"/>
    <w:rsid w:val="00D571C0"/>
    <w:rsid w:val="00D57AC5"/>
    <w:rsid w:val="00D57F80"/>
    <w:rsid w:val="00D600D6"/>
    <w:rsid w:val="00D60CBD"/>
    <w:rsid w:val="00D611BC"/>
    <w:rsid w:val="00D61A80"/>
    <w:rsid w:val="00D62831"/>
    <w:rsid w:val="00D62F56"/>
    <w:rsid w:val="00D63588"/>
    <w:rsid w:val="00D6547B"/>
    <w:rsid w:val="00D65781"/>
    <w:rsid w:val="00D65CC8"/>
    <w:rsid w:val="00D664E5"/>
    <w:rsid w:val="00D67749"/>
    <w:rsid w:val="00D704D6"/>
    <w:rsid w:val="00D71C6A"/>
    <w:rsid w:val="00D71E32"/>
    <w:rsid w:val="00D724A3"/>
    <w:rsid w:val="00D72A4C"/>
    <w:rsid w:val="00D73114"/>
    <w:rsid w:val="00D74759"/>
    <w:rsid w:val="00D754A0"/>
    <w:rsid w:val="00D75F78"/>
    <w:rsid w:val="00D762B6"/>
    <w:rsid w:val="00D764DC"/>
    <w:rsid w:val="00D77B2B"/>
    <w:rsid w:val="00D806AF"/>
    <w:rsid w:val="00D8147D"/>
    <w:rsid w:val="00D81878"/>
    <w:rsid w:val="00D81B13"/>
    <w:rsid w:val="00D8225E"/>
    <w:rsid w:val="00D82314"/>
    <w:rsid w:val="00D8266B"/>
    <w:rsid w:val="00D82682"/>
    <w:rsid w:val="00D82A41"/>
    <w:rsid w:val="00D82A7B"/>
    <w:rsid w:val="00D82BF0"/>
    <w:rsid w:val="00D83B9E"/>
    <w:rsid w:val="00D842FB"/>
    <w:rsid w:val="00D84894"/>
    <w:rsid w:val="00D84FE3"/>
    <w:rsid w:val="00D852F4"/>
    <w:rsid w:val="00D8580A"/>
    <w:rsid w:val="00D86FB0"/>
    <w:rsid w:val="00D87953"/>
    <w:rsid w:val="00D91B98"/>
    <w:rsid w:val="00D923CA"/>
    <w:rsid w:val="00D92CFD"/>
    <w:rsid w:val="00D92F0F"/>
    <w:rsid w:val="00D93290"/>
    <w:rsid w:val="00D93C9F"/>
    <w:rsid w:val="00D94FAA"/>
    <w:rsid w:val="00D96822"/>
    <w:rsid w:val="00D97563"/>
    <w:rsid w:val="00D97654"/>
    <w:rsid w:val="00DA0544"/>
    <w:rsid w:val="00DA0829"/>
    <w:rsid w:val="00DA0E83"/>
    <w:rsid w:val="00DA132D"/>
    <w:rsid w:val="00DA1499"/>
    <w:rsid w:val="00DA1E32"/>
    <w:rsid w:val="00DA1E5F"/>
    <w:rsid w:val="00DA208D"/>
    <w:rsid w:val="00DA23D2"/>
    <w:rsid w:val="00DA30AE"/>
    <w:rsid w:val="00DA31E0"/>
    <w:rsid w:val="00DA36CB"/>
    <w:rsid w:val="00DA3C99"/>
    <w:rsid w:val="00DA5909"/>
    <w:rsid w:val="00DA5DD2"/>
    <w:rsid w:val="00DA7973"/>
    <w:rsid w:val="00DB02DF"/>
    <w:rsid w:val="00DB1216"/>
    <w:rsid w:val="00DB1931"/>
    <w:rsid w:val="00DB2977"/>
    <w:rsid w:val="00DB2C78"/>
    <w:rsid w:val="00DB2E7E"/>
    <w:rsid w:val="00DB414E"/>
    <w:rsid w:val="00DB42DF"/>
    <w:rsid w:val="00DB46E7"/>
    <w:rsid w:val="00DB4BD9"/>
    <w:rsid w:val="00DB5444"/>
    <w:rsid w:val="00DB5CA4"/>
    <w:rsid w:val="00DB5EBA"/>
    <w:rsid w:val="00DB60B6"/>
    <w:rsid w:val="00DC08D8"/>
    <w:rsid w:val="00DC12FA"/>
    <w:rsid w:val="00DC1511"/>
    <w:rsid w:val="00DC15F4"/>
    <w:rsid w:val="00DC27D2"/>
    <w:rsid w:val="00DC3270"/>
    <w:rsid w:val="00DC3814"/>
    <w:rsid w:val="00DC3947"/>
    <w:rsid w:val="00DC4A50"/>
    <w:rsid w:val="00DC4B48"/>
    <w:rsid w:val="00DC60DD"/>
    <w:rsid w:val="00DC67A1"/>
    <w:rsid w:val="00DC6C7E"/>
    <w:rsid w:val="00DC708E"/>
    <w:rsid w:val="00DC76A1"/>
    <w:rsid w:val="00DC799F"/>
    <w:rsid w:val="00DC7BF1"/>
    <w:rsid w:val="00DD07E5"/>
    <w:rsid w:val="00DD0F98"/>
    <w:rsid w:val="00DD1139"/>
    <w:rsid w:val="00DD1250"/>
    <w:rsid w:val="00DD17E9"/>
    <w:rsid w:val="00DD2C4E"/>
    <w:rsid w:val="00DD4E12"/>
    <w:rsid w:val="00DD5243"/>
    <w:rsid w:val="00DD58E0"/>
    <w:rsid w:val="00DD5A15"/>
    <w:rsid w:val="00DD5DF5"/>
    <w:rsid w:val="00DD66C2"/>
    <w:rsid w:val="00DD67D2"/>
    <w:rsid w:val="00DD73D3"/>
    <w:rsid w:val="00DD7703"/>
    <w:rsid w:val="00DD7D66"/>
    <w:rsid w:val="00DE0840"/>
    <w:rsid w:val="00DE1681"/>
    <w:rsid w:val="00DE2897"/>
    <w:rsid w:val="00DE28B8"/>
    <w:rsid w:val="00DE2DC2"/>
    <w:rsid w:val="00DE3242"/>
    <w:rsid w:val="00DE41F4"/>
    <w:rsid w:val="00DE467F"/>
    <w:rsid w:val="00DE4774"/>
    <w:rsid w:val="00DE574B"/>
    <w:rsid w:val="00DE574F"/>
    <w:rsid w:val="00DE5BD0"/>
    <w:rsid w:val="00DE5F8D"/>
    <w:rsid w:val="00DE7A34"/>
    <w:rsid w:val="00DF0644"/>
    <w:rsid w:val="00DF0DB3"/>
    <w:rsid w:val="00DF1675"/>
    <w:rsid w:val="00DF1914"/>
    <w:rsid w:val="00DF3889"/>
    <w:rsid w:val="00DF48BE"/>
    <w:rsid w:val="00DF48C6"/>
    <w:rsid w:val="00DF4E14"/>
    <w:rsid w:val="00DF51C4"/>
    <w:rsid w:val="00DF6221"/>
    <w:rsid w:val="00DF6615"/>
    <w:rsid w:val="00DF69A8"/>
    <w:rsid w:val="00DF74C2"/>
    <w:rsid w:val="00DF79C8"/>
    <w:rsid w:val="00DF79F4"/>
    <w:rsid w:val="00DF7B3D"/>
    <w:rsid w:val="00DF7C48"/>
    <w:rsid w:val="00DF7F04"/>
    <w:rsid w:val="00E00186"/>
    <w:rsid w:val="00E00F5D"/>
    <w:rsid w:val="00E010B1"/>
    <w:rsid w:val="00E011C7"/>
    <w:rsid w:val="00E01B52"/>
    <w:rsid w:val="00E023F5"/>
    <w:rsid w:val="00E02B38"/>
    <w:rsid w:val="00E03D2C"/>
    <w:rsid w:val="00E0407C"/>
    <w:rsid w:val="00E0484C"/>
    <w:rsid w:val="00E04D52"/>
    <w:rsid w:val="00E04E5F"/>
    <w:rsid w:val="00E0503F"/>
    <w:rsid w:val="00E0522B"/>
    <w:rsid w:val="00E05AB7"/>
    <w:rsid w:val="00E05D43"/>
    <w:rsid w:val="00E05E02"/>
    <w:rsid w:val="00E06554"/>
    <w:rsid w:val="00E068E5"/>
    <w:rsid w:val="00E06A84"/>
    <w:rsid w:val="00E07C78"/>
    <w:rsid w:val="00E07DA3"/>
    <w:rsid w:val="00E07FBD"/>
    <w:rsid w:val="00E10631"/>
    <w:rsid w:val="00E108B6"/>
    <w:rsid w:val="00E11913"/>
    <w:rsid w:val="00E119FB"/>
    <w:rsid w:val="00E11DC6"/>
    <w:rsid w:val="00E11E4B"/>
    <w:rsid w:val="00E12794"/>
    <w:rsid w:val="00E12B53"/>
    <w:rsid w:val="00E13742"/>
    <w:rsid w:val="00E13DC8"/>
    <w:rsid w:val="00E14729"/>
    <w:rsid w:val="00E15C81"/>
    <w:rsid w:val="00E160F7"/>
    <w:rsid w:val="00E16182"/>
    <w:rsid w:val="00E1666B"/>
    <w:rsid w:val="00E16D17"/>
    <w:rsid w:val="00E20269"/>
    <w:rsid w:val="00E20C1D"/>
    <w:rsid w:val="00E22211"/>
    <w:rsid w:val="00E22356"/>
    <w:rsid w:val="00E224B4"/>
    <w:rsid w:val="00E2276A"/>
    <w:rsid w:val="00E22EEC"/>
    <w:rsid w:val="00E235D9"/>
    <w:rsid w:val="00E23E00"/>
    <w:rsid w:val="00E24024"/>
    <w:rsid w:val="00E253C9"/>
    <w:rsid w:val="00E25595"/>
    <w:rsid w:val="00E26243"/>
    <w:rsid w:val="00E266DD"/>
    <w:rsid w:val="00E278C6"/>
    <w:rsid w:val="00E301AA"/>
    <w:rsid w:val="00E30607"/>
    <w:rsid w:val="00E30CE4"/>
    <w:rsid w:val="00E31AFE"/>
    <w:rsid w:val="00E31CD4"/>
    <w:rsid w:val="00E330E7"/>
    <w:rsid w:val="00E33250"/>
    <w:rsid w:val="00E335CC"/>
    <w:rsid w:val="00E3473B"/>
    <w:rsid w:val="00E353A2"/>
    <w:rsid w:val="00E363F9"/>
    <w:rsid w:val="00E366E4"/>
    <w:rsid w:val="00E36E0C"/>
    <w:rsid w:val="00E36F9F"/>
    <w:rsid w:val="00E40B6C"/>
    <w:rsid w:val="00E417E7"/>
    <w:rsid w:val="00E41A87"/>
    <w:rsid w:val="00E42FAE"/>
    <w:rsid w:val="00E43912"/>
    <w:rsid w:val="00E440F9"/>
    <w:rsid w:val="00E44487"/>
    <w:rsid w:val="00E44A67"/>
    <w:rsid w:val="00E455D4"/>
    <w:rsid w:val="00E460A4"/>
    <w:rsid w:val="00E46ADE"/>
    <w:rsid w:val="00E509A5"/>
    <w:rsid w:val="00E52A40"/>
    <w:rsid w:val="00E53A54"/>
    <w:rsid w:val="00E55439"/>
    <w:rsid w:val="00E5598E"/>
    <w:rsid w:val="00E559B7"/>
    <w:rsid w:val="00E566FF"/>
    <w:rsid w:val="00E603D0"/>
    <w:rsid w:val="00E60CB1"/>
    <w:rsid w:val="00E61772"/>
    <w:rsid w:val="00E624FB"/>
    <w:rsid w:val="00E625EE"/>
    <w:rsid w:val="00E63A65"/>
    <w:rsid w:val="00E64294"/>
    <w:rsid w:val="00E64E01"/>
    <w:rsid w:val="00E64EBC"/>
    <w:rsid w:val="00E64F85"/>
    <w:rsid w:val="00E65B4A"/>
    <w:rsid w:val="00E6609F"/>
    <w:rsid w:val="00E663A6"/>
    <w:rsid w:val="00E66621"/>
    <w:rsid w:val="00E70838"/>
    <w:rsid w:val="00E70A40"/>
    <w:rsid w:val="00E739CE"/>
    <w:rsid w:val="00E748B9"/>
    <w:rsid w:val="00E766E3"/>
    <w:rsid w:val="00E77521"/>
    <w:rsid w:val="00E77F5E"/>
    <w:rsid w:val="00E80DE3"/>
    <w:rsid w:val="00E811F9"/>
    <w:rsid w:val="00E81772"/>
    <w:rsid w:val="00E817F8"/>
    <w:rsid w:val="00E81A56"/>
    <w:rsid w:val="00E81F75"/>
    <w:rsid w:val="00E825CB"/>
    <w:rsid w:val="00E837C2"/>
    <w:rsid w:val="00E837E7"/>
    <w:rsid w:val="00E83F8B"/>
    <w:rsid w:val="00E841A4"/>
    <w:rsid w:val="00E84466"/>
    <w:rsid w:val="00E84774"/>
    <w:rsid w:val="00E85509"/>
    <w:rsid w:val="00E85D9C"/>
    <w:rsid w:val="00E86E7D"/>
    <w:rsid w:val="00E87CD4"/>
    <w:rsid w:val="00E87E61"/>
    <w:rsid w:val="00E87F3B"/>
    <w:rsid w:val="00E90039"/>
    <w:rsid w:val="00E9137B"/>
    <w:rsid w:val="00E914B0"/>
    <w:rsid w:val="00E918D3"/>
    <w:rsid w:val="00E92656"/>
    <w:rsid w:val="00E9299B"/>
    <w:rsid w:val="00E92DDE"/>
    <w:rsid w:val="00E939BB"/>
    <w:rsid w:val="00E93BCB"/>
    <w:rsid w:val="00E94514"/>
    <w:rsid w:val="00E9459E"/>
    <w:rsid w:val="00E94FC9"/>
    <w:rsid w:val="00E97294"/>
    <w:rsid w:val="00E9780F"/>
    <w:rsid w:val="00EA0446"/>
    <w:rsid w:val="00EA04A8"/>
    <w:rsid w:val="00EA1E67"/>
    <w:rsid w:val="00EA23A7"/>
    <w:rsid w:val="00EA242D"/>
    <w:rsid w:val="00EA29D7"/>
    <w:rsid w:val="00EA2AB6"/>
    <w:rsid w:val="00EA2B47"/>
    <w:rsid w:val="00EA3FCB"/>
    <w:rsid w:val="00EA4432"/>
    <w:rsid w:val="00EA472B"/>
    <w:rsid w:val="00EA51A5"/>
    <w:rsid w:val="00EA53ED"/>
    <w:rsid w:val="00EA6938"/>
    <w:rsid w:val="00EA7BBA"/>
    <w:rsid w:val="00EA7C39"/>
    <w:rsid w:val="00EA7F2C"/>
    <w:rsid w:val="00EB0747"/>
    <w:rsid w:val="00EB0B8B"/>
    <w:rsid w:val="00EB0BAB"/>
    <w:rsid w:val="00EB19AF"/>
    <w:rsid w:val="00EB2AAD"/>
    <w:rsid w:val="00EB3AC9"/>
    <w:rsid w:val="00EB4156"/>
    <w:rsid w:val="00EB4365"/>
    <w:rsid w:val="00EB5224"/>
    <w:rsid w:val="00EB5DD2"/>
    <w:rsid w:val="00EB67A7"/>
    <w:rsid w:val="00EB6C52"/>
    <w:rsid w:val="00EB6D2F"/>
    <w:rsid w:val="00EB7921"/>
    <w:rsid w:val="00EB7DF2"/>
    <w:rsid w:val="00EB7FEE"/>
    <w:rsid w:val="00EC054E"/>
    <w:rsid w:val="00EC0969"/>
    <w:rsid w:val="00EC0D0F"/>
    <w:rsid w:val="00EC12F7"/>
    <w:rsid w:val="00EC1571"/>
    <w:rsid w:val="00EC1627"/>
    <w:rsid w:val="00EC165E"/>
    <w:rsid w:val="00EC16E1"/>
    <w:rsid w:val="00EC1819"/>
    <w:rsid w:val="00EC21DC"/>
    <w:rsid w:val="00EC22DC"/>
    <w:rsid w:val="00EC3689"/>
    <w:rsid w:val="00EC3887"/>
    <w:rsid w:val="00EC4A51"/>
    <w:rsid w:val="00EC6148"/>
    <w:rsid w:val="00EC651B"/>
    <w:rsid w:val="00EC67DA"/>
    <w:rsid w:val="00EC6BF4"/>
    <w:rsid w:val="00EC6CCF"/>
    <w:rsid w:val="00EC7273"/>
    <w:rsid w:val="00EC732B"/>
    <w:rsid w:val="00EC7FA9"/>
    <w:rsid w:val="00ED04D6"/>
    <w:rsid w:val="00ED08DF"/>
    <w:rsid w:val="00ED0BE8"/>
    <w:rsid w:val="00ED108A"/>
    <w:rsid w:val="00ED1777"/>
    <w:rsid w:val="00ED2222"/>
    <w:rsid w:val="00ED22C9"/>
    <w:rsid w:val="00ED27A2"/>
    <w:rsid w:val="00ED2F33"/>
    <w:rsid w:val="00ED494C"/>
    <w:rsid w:val="00ED5F8D"/>
    <w:rsid w:val="00ED6A8A"/>
    <w:rsid w:val="00ED75E7"/>
    <w:rsid w:val="00ED7888"/>
    <w:rsid w:val="00ED7AE0"/>
    <w:rsid w:val="00EE0235"/>
    <w:rsid w:val="00EE1B05"/>
    <w:rsid w:val="00EE2A2C"/>
    <w:rsid w:val="00EE2CB0"/>
    <w:rsid w:val="00EE349D"/>
    <w:rsid w:val="00EE385A"/>
    <w:rsid w:val="00EE3ED8"/>
    <w:rsid w:val="00EE47CF"/>
    <w:rsid w:val="00EE480A"/>
    <w:rsid w:val="00EE55F0"/>
    <w:rsid w:val="00EE637E"/>
    <w:rsid w:val="00EE640A"/>
    <w:rsid w:val="00EE6C94"/>
    <w:rsid w:val="00EE77FD"/>
    <w:rsid w:val="00EF02CA"/>
    <w:rsid w:val="00EF15FA"/>
    <w:rsid w:val="00EF18FC"/>
    <w:rsid w:val="00EF1A4E"/>
    <w:rsid w:val="00EF1C57"/>
    <w:rsid w:val="00EF242E"/>
    <w:rsid w:val="00EF2D1B"/>
    <w:rsid w:val="00EF2E0D"/>
    <w:rsid w:val="00EF3003"/>
    <w:rsid w:val="00EF348D"/>
    <w:rsid w:val="00EF36C9"/>
    <w:rsid w:val="00EF3C75"/>
    <w:rsid w:val="00EF4211"/>
    <w:rsid w:val="00EF4794"/>
    <w:rsid w:val="00EF4D9E"/>
    <w:rsid w:val="00EF4E7A"/>
    <w:rsid w:val="00EF5EE7"/>
    <w:rsid w:val="00EF609D"/>
    <w:rsid w:val="00EF64A5"/>
    <w:rsid w:val="00EF6B8F"/>
    <w:rsid w:val="00EF7067"/>
    <w:rsid w:val="00EF785E"/>
    <w:rsid w:val="00EF78B6"/>
    <w:rsid w:val="00EF7B05"/>
    <w:rsid w:val="00F00144"/>
    <w:rsid w:val="00F018D9"/>
    <w:rsid w:val="00F01AE2"/>
    <w:rsid w:val="00F02276"/>
    <w:rsid w:val="00F025DE"/>
    <w:rsid w:val="00F03C18"/>
    <w:rsid w:val="00F04A8D"/>
    <w:rsid w:val="00F0558D"/>
    <w:rsid w:val="00F068DC"/>
    <w:rsid w:val="00F06D83"/>
    <w:rsid w:val="00F11030"/>
    <w:rsid w:val="00F1125D"/>
    <w:rsid w:val="00F12629"/>
    <w:rsid w:val="00F13664"/>
    <w:rsid w:val="00F14338"/>
    <w:rsid w:val="00F144A7"/>
    <w:rsid w:val="00F16444"/>
    <w:rsid w:val="00F16D18"/>
    <w:rsid w:val="00F1788E"/>
    <w:rsid w:val="00F20540"/>
    <w:rsid w:val="00F2152C"/>
    <w:rsid w:val="00F21638"/>
    <w:rsid w:val="00F219BE"/>
    <w:rsid w:val="00F21A3A"/>
    <w:rsid w:val="00F2202C"/>
    <w:rsid w:val="00F22723"/>
    <w:rsid w:val="00F23529"/>
    <w:rsid w:val="00F23EF2"/>
    <w:rsid w:val="00F252C9"/>
    <w:rsid w:val="00F25C90"/>
    <w:rsid w:val="00F25DD8"/>
    <w:rsid w:val="00F25E85"/>
    <w:rsid w:val="00F26047"/>
    <w:rsid w:val="00F2713A"/>
    <w:rsid w:val="00F2770E"/>
    <w:rsid w:val="00F27BD8"/>
    <w:rsid w:val="00F30D73"/>
    <w:rsid w:val="00F31FA5"/>
    <w:rsid w:val="00F32BF3"/>
    <w:rsid w:val="00F32CC1"/>
    <w:rsid w:val="00F33056"/>
    <w:rsid w:val="00F346D2"/>
    <w:rsid w:val="00F35215"/>
    <w:rsid w:val="00F35763"/>
    <w:rsid w:val="00F35C0F"/>
    <w:rsid w:val="00F370BC"/>
    <w:rsid w:val="00F37174"/>
    <w:rsid w:val="00F371C2"/>
    <w:rsid w:val="00F37682"/>
    <w:rsid w:val="00F37CB8"/>
    <w:rsid w:val="00F40514"/>
    <w:rsid w:val="00F40740"/>
    <w:rsid w:val="00F40A7E"/>
    <w:rsid w:val="00F41292"/>
    <w:rsid w:val="00F41957"/>
    <w:rsid w:val="00F43297"/>
    <w:rsid w:val="00F45158"/>
    <w:rsid w:val="00F45809"/>
    <w:rsid w:val="00F45B17"/>
    <w:rsid w:val="00F4698A"/>
    <w:rsid w:val="00F46AF1"/>
    <w:rsid w:val="00F47777"/>
    <w:rsid w:val="00F479D8"/>
    <w:rsid w:val="00F50194"/>
    <w:rsid w:val="00F5058A"/>
    <w:rsid w:val="00F518BD"/>
    <w:rsid w:val="00F52017"/>
    <w:rsid w:val="00F52465"/>
    <w:rsid w:val="00F53551"/>
    <w:rsid w:val="00F549AE"/>
    <w:rsid w:val="00F5545E"/>
    <w:rsid w:val="00F556CA"/>
    <w:rsid w:val="00F56254"/>
    <w:rsid w:val="00F60740"/>
    <w:rsid w:val="00F6117D"/>
    <w:rsid w:val="00F611A3"/>
    <w:rsid w:val="00F61365"/>
    <w:rsid w:val="00F61BA1"/>
    <w:rsid w:val="00F623B9"/>
    <w:rsid w:val="00F63A24"/>
    <w:rsid w:val="00F63CF2"/>
    <w:rsid w:val="00F63E1B"/>
    <w:rsid w:val="00F642F8"/>
    <w:rsid w:val="00F64EF7"/>
    <w:rsid w:val="00F66C8B"/>
    <w:rsid w:val="00F66F58"/>
    <w:rsid w:val="00F66F9D"/>
    <w:rsid w:val="00F670EF"/>
    <w:rsid w:val="00F67499"/>
    <w:rsid w:val="00F676DF"/>
    <w:rsid w:val="00F703CD"/>
    <w:rsid w:val="00F70D35"/>
    <w:rsid w:val="00F7221F"/>
    <w:rsid w:val="00F7249E"/>
    <w:rsid w:val="00F72A02"/>
    <w:rsid w:val="00F72F85"/>
    <w:rsid w:val="00F734C8"/>
    <w:rsid w:val="00F7377F"/>
    <w:rsid w:val="00F73A14"/>
    <w:rsid w:val="00F73E10"/>
    <w:rsid w:val="00F73F0B"/>
    <w:rsid w:val="00F756DB"/>
    <w:rsid w:val="00F7593C"/>
    <w:rsid w:val="00F75975"/>
    <w:rsid w:val="00F7685E"/>
    <w:rsid w:val="00F76A02"/>
    <w:rsid w:val="00F77044"/>
    <w:rsid w:val="00F77754"/>
    <w:rsid w:val="00F7788A"/>
    <w:rsid w:val="00F778E7"/>
    <w:rsid w:val="00F77909"/>
    <w:rsid w:val="00F77BFB"/>
    <w:rsid w:val="00F8214D"/>
    <w:rsid w:val="00F821F1"/>
    <w:rsid w:val="00F82764"/>
    <w:rsid w:val="00F828C0"/>
    <w:rsid w:val="00F830CE"/>
    <w:rsid w:val="00F8549E"/>
    <w:rsid w:val="00F85642"/>
    <w:rsid w:val="00F87165"/>
    <w:rsid w:val="00F871AC"/>
    <w:rsid w:val="00F873CC"/>
    <w:rsid w:val="00F87E99"/>
    <w:rsid w:val="00F9160A"/>
    <w:rsid w:val="00F9290F"/>
    <w:rsid w:val="00F92ACF"/>
    <w:rsid w:val="00F93AC1"/>
    <w:rsid w:val="00F94DE7"/>
    <w:rsid w:val="00F94EE0"/>
    <w:rsid w:val="00F95CC1"/>
    <w:rsid w:val="00F95FA2"/>
    <w:rsid w:val="00F96C88"/>
    <w:rsid w:val="00F96C8C"/>
    <w:rsid w:val="00F970BF"/>
    <w:rsid w:val="00F9799C"/>
    <w:rsid w:val="00FA0C6E"/>
    <w:rsid w:val="00FA1541"/>
    <w:rsid w:val="00FA2A3C"/>
    <w:rsid w:val="00FA2ACD"/>
    <w:rsid w:val="00FA3B6B"/>
    <w:rsid w:val="00FA443F"/>
    <w:rsid w:val="00FA4BAA"/>
    <w:rsid w:val="00FA5E6C"/>
    <w:rsid w:val="00FA62AE"/>
    <w:rsid w:val="00FA6884"/>
    <w:rsid w:val="00FA7D23"/>
    <w:rsid w:val="00FB123F"/>
    <w:rsid w:val="00FB17D6"/>
    <w:rsid w:val="00FB2784"/>
    <w:rsid w:val="00FB27B3"/>
    <w:rsid w:val="00FB2CCD"/>
    <w:rsid w:val="00FB33A7"/>
    <w:rsid w:val="00FB4661"/>
    <w:rsid w:val="00FB4CDE"/>
    <w:rsid w:val="00FB553B"/>
    <w:rsid w:val="00FB63C5"/>
    <w:rsid w:val="00FB6CDA"/>
    <w:rsid w:val="00FB6D3A"/>
    <w:rsid w:val="00FB7814"/>
    <w:rsid w:val="00FC050F"/>
    <w:rsid w:val="00FC086D"/>
    <w:rsid w:val="00FC0DB7"/>
    <w:rsid w:val="00FC1188"/>
    <w:rsid w:val="00FC2259"/>
    <w:rsid w:val="00FC2FE3"/>
    <w:rsid w:val="00FC411A"/>
    <w:rsid w:val="00FC4EAE"/>
    <w:rsid w:val="00FC5358"/>
    <w:rsid w:val="00FC552E"/>
    <w:rsid w:val="00FC6894"/>
    <w:rsid w:val="00FD04A8"/>
    <w:rsid w:val="00FD0959"/>
    <w:rsid w:val="00FD199F"/>
    <w:rsid w:val="00FD2024"/>
    <w:rsid w:val="00FD2326"/>
    <w:rsid w:val="00FD30AF"/>
    <w:rsid w:val="00FD3199"/>
    <w:rsid w:val="00FD46AD"/>
    <w:rsid w:val="00FD46F1"/>
    <w:rsid w:val="00FD4BCA"/>
    <w:rsid w:val="00FD4C86"/>
    <w:rsid w:val="00FD4E9D"/>
    <w:rsid w:val="00FD555D"/>
    <w:rsid w:val="00FD698F"/>
    <w:rsid w:val="00FD758D"/>
    <w:rsid w:val="00FD7E2C"/>
    <w:rsid w:val="00FE18F5"/>
    <w:rsid w:val="00FE1DEF"/>
    <w:rsid w:val="00FE1FC2"/>
    <w:rsid w:val="00FE26C3"/>
    <w:rsid w:val="00FE2782"/>
    <w:rsid w:val="00FE2BFB"/>
    <w:rsid w:val="00FE38FB"/>
    <w:rsid w:val="00FE3CC8"/>
    <w:rsid w:val="00FE4682"/>
    <w:rsid w:val="00FE4BFA"/>
    <w:rsid w:val="00FE5066"/>
    <w:rsid w:val="00FE5516"/>
    <w:rsid w:val="00FE586E"/>
    <w:rsid w:val="00FE5DEA"/>
    <w:rsid w:val="00FE7EED"/>
    <w:rsid w:val="00FE7FBF"/>
    <w:rsid w:val="00FF0E88"/>
    <w:rsid w:val="00FF18EB"/>
    <w:rsid w:val="00FF2136"/>
    <w:rsid w:val="00FF21B0"/>
    <w:rsid w:val="00FF31A4"/>
    <w:rsid w:val="00FF32C2"/>
    <w:rsid w:val="00FF428B"/>
    <w:rsid w:val="00FF5463"/>
    <w:rsid w:val="00FF56A3"/>
    <w:rsid w:val="00FF634D"/>
    <w:rsid w:val="00FF6598"/>
    <w:rsid w:val="00FF6B83"/>
    <w:rsid w:val="00FF7040"/>
    <w:rsid w:val="00FF7812"/>
    <w:rsid w:val="00FF7F58"/>
    <w:rsid w:val="0338F7CC"/>
    <w:rsid w:val="03B5578C"/>
    <w:rsid w:val="04534B67"/>
    <w:rsid w:val="050B72D0"/>
    <w:rsid w:val="0BC62DB9"/>
    <w:rsid w:val="114F4FC5"/>
    <w:rsid w:val="12973528"/>
    <w:rsid w:val="14298E33"/>
    <w:rsid w:val="1577D2EE"/>
    <w:rsid w:val="15B73EBA"/>
    <w:rsid w:val="15EE2E76"/>
    <w:rsid w:val="1608BF2C"/>
    <w:rsid w:val="17766E4F"/>
    <w:rsid w:val="19662602"/>
    <w:rsid w:val="1A4266D8"/>
    <w:rsid w:val="1A7D3791"/>
    <w:rsid w:val="1AC7CAC8"/>
    <w:rsid w:val="1C08E47D"/>
    <w:rsid w:val="1C63D0BC"/>
    <w:rsid w:val="1CD790B0"/>
    <w:rsid w:val="1D9D0C6E"/>
    <w:rsid w:val="1E1558E9"/>
    <w:rsid w:val="1F65D303"/>
    <w:rsid w:val="1FBA15CE"/>
    <w:rsid w:val="2154416D"/>
    <w:rsid w:val="2178123B"/>
    <w:rsid w:val="21A24D37"/>
    <w:rsid w:val="21F72CF9"/>
    <w:rsid w:val="2208ADFE"/>
    <w:rsid w:val="22C19E05"/>
    <w:rsid w:val="2595D963"/>
    <w:rsid w:val="291DF380"/>
    <w:rsid w:val="2E519EE0"/>
    <w:rsid w:val="2F1C43E0"/>
    <w:rsid w:val="2F97E065"/>
    <w:rsid w:val="32A0E190"/>
    <w:rsid w:val="35146E25"/>
    <w:rsid w:val="35481244"/>
    <w:rsid w:val="36053AB0"/>
    <w:rsid w:val="372FF191"/>
    <w:rsid w:val="37A8A02A"/>
    <w:rsid w:val="37BB5F99"/>
    <w:rsid w:val="3A12C444"/>
    <w:rsid w:val="3DDF55CD"/>
    <w:rsid w:val="44D968F4"/>
    <w:rsid w:val="4ADEF12D"/>
    <w:rsid w:val="4B9D049F"/>
    <w:rsid w:val="4BC68C3B"/>
    <w:rsid w:val="4C744A1A"/>
    <w:rsid w:val="4E942A42"/>
    <w:rsid w:val="50435797"/>
    <w:rsid w:val="52089943"/>
    <w:rsid w:val="520DDCC0"/>
    <w:rsid w:val="54ED5F11"/>
    <w:rsid w:val="561CBE10"/>
    <w:rsid w:val="58892CAC"/>
    <w:rsid w:val="58C02F8B"/>
    <w:rsid w:val="5A65F201"/>
    <w:rsid w:val="5C741735"/>
    <w:rsid w:val="6069ABF2"/>
    <w:rsid w:val="608D7842"/>
    <w:rsid w:val="63C23F63"/>
    <w:rsid w:val="6637E963"/>
    <w:rsid w:val="679651E0"/>
    <w:rsid w:val="686F3FE8"/>
    <w:rsid w:val="68C9DC1B"/>
    <w:rsid w:val="694F914A"/>
    <w:rsid w:val="6C4B30BB"/>
    <w:rsid w:val="6D9608E1"/>
    <w:rsid w:val="6DA0EEE5"/>
    <w:rsid w:val="70BBB5CB"/>
    <w:rsid w:val="719804AC"/>
    <w:rsid w:val="7226945B"/>
    <w:rsid w:val="74BEF13E"/>
    <w:rsid w:val="7819CD07"/>
    <w:rsid w:val="78E4A3B8"/>
    <w:rsid w:val="7E7BCD1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345F"/>
  <w15:docId w15:val="{D8A8F4F5-D869-4EC8-A08F-4167377E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rPr>
  </w:style>
  <w:style w:type="paragraph" w:customStyle="1" w:styleId="H1G">
    <w:name w:val="_ H_1_G"/>
    <w:basedOn w:val="Normal"/>
    <w:next w:val="Normal"/>
    <w:link w:val="H1GChar"/>
    <w:qFormat/>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Normal"/>
    <w:next w:val="Normal"/>
    <w:link w:val="H23GChar"/>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rPr>
  </w:style>
  <w:style w:type="paragraph" w:customStyle="1" w:styleId="SingleTxtG">
    <w:name w:val="_ Single Txt_G"/>
    <w:basedOn w:val="Normal"/>
    <w:link w:val="SingleTxtGChar"/>
    <w:qFormat/>
    <w:pPr>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5"/>
      </w:numPr>
      <w:tabs>
        <w:tab w:val="clear" w:pos="1701"/>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Texto de nota al pie,Appel note de bas de page,Fn Ref,Odwołanie przypisu,Footnote symbol,Footnote Reference Number,Footnote Reference Superscript,Footnote Reference/,richiamo note eggsi,Rimando nota a piè di pagina1,BVI fnr,10 pt"/>
    <w:basedOn w:val="DefaultParagraphFont"/>
    <w:link w:val="FootnoteReferneceCharChar1Char"/>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Footnote Text Char Char Char Char Char,Footnote Text Char Char Char Char,Footnote reference,FA Fu,Footnote Text Char Char Char,Tekst przypisu,Schriftart: 9 pt,Schriftart: 10 pt,Schriftart: 8 pt,WB-Fußnotentext,Footnote,Fußnote,o,f,ft"/>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ootnote Text Char Char Char Char Char Char,Footnote Text Char Char Char Char Char1,Footnote reference Char,FA Fu Char,Footnote Text Char Char Char Char1,Tekst przypisu Char,Schriftart: 9 pt Char,Schriftart: 10 pt Char,o Char"/>
    <w:basedOn w:val="DefaultParagraphFont"/>
    <w:link w:val="FootnoteText"/>
    <w:qForma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23GChar">
    <w:name w:val="_ H_2/3_G Char"/>
    <w:link w:val="H23G"/>
    <w:locked/>
    <w:rsid w:val="00CA0B79"/>
    <w:rPr>
      <w:rFonts w:ascii="Times New Roman" w:hAnsi="Times New Roman" w:cs="Times New Roman"/>
      <w:b/>
      <w:sz w:val="20"/>
      <w:szCs w:val="20"/>
      <w:lang w:val="en-GB"/>
    </w:rPr>
  </w:style>
  <w:style w:type="character" w:customStyle="1" w:styleId="H1GChar">
    <w:name w:val="_ H_1_G Char"/>
    <w:link w:val="H1G"/>
    <w:locked/>
    <w:rsid w:val="00CA0B79"/>
    <w:rPr>
      <w:rFonts w:ascii="Times New Roman" w:hAnsi="Times New Roman" w:cs="Times New Roman"/>
      <w:b/>
      <w:sz w:val="24"/>
      <w:szCs w:val="20"/>
      <w:lang w:val="en-GB"/>
    </w:rPr>
  </w:style>
  <w:style w:type="character" w:styleId="CommentReference">
    <w:name w:val="annotation reference"/>
    <w:uiPriority w:val="99"/>
    <w:semiHidden/>
    <w:rsid w:val="00CA0B79"/>
    <w:rPr>
      <w:sz w:val="16"/>
      <w:szCs w:val="16"/>
    </w:rPr>
  </w:style>
  <w:style w:type="paragraph" w:styleId="CommentText">
    <w:name w:val="annotation text"/>
    <w:basedOn w:val="Normal"/>
    <w:link w:val="CommentTextChar"/>
    <w:uiPriority w:val="99"/>
    <w:rsid w:val="00CA0B79"/>
  </w:style>
  <w:style w:type="character" w:customStyle="1" w:styleId="CommentTextChar">
    <w:name w:val="Comment Text Char"/>
    <w:basedOn w:val="DefaultParagraphFont"/>
    <w:link w:val="CommentText"/>
    <w:uiPriority w:val="99"/>
    <w:rsid w:val="00CA0B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CA0B79"/>
    <w:rPr>
      <w:b/>
      <w:bCs/>
    </w:rPr>
  </w:style>
  <w:style w:type="character" w:customStyle="1" w:styleId="CommentSubjectChar">
    <w:name w:val="Comment Subject Char"/>
    <w:basedOn w:val="CommentTextChar"/>
    <w:link w:val="CommentSubject"/>
    <w:uiPriority w:val="99"/>
    <w:semiHidden/>
    <w:rsid w:val="00CA0B79"/>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A0B79"/>
    <w:pPr>
      <w:suppressAutoHyphens w:val="0"/>
      <w:spacing w:line="276" w:lineRule="auto"/>
      <w:ind w:left="720"/>
      <w:contextualSpacing/>
    </w:pPr>
    <w:rPr>
      <w:rFonts w:ascii="Arial" w:eastAsia="Arial" w:hAnsi="Arial" w:cs="Arial"/>
      <w:sz w:val="22"/>
      <w:szCs w:val="22"/>
      <w:lang w:val="es" w:eastAsia="es-ES"/>
    </w:rPr>
  </w:style>
  <w:style w:type="paragraph" w:customStyle="1" w:styleId="FootnoteReferneceCharChar1Char">
    <w:name w:val="Footnote Refernece Char Char1 Char"/>
    <w:aliases w:val="Footnote Reference Superscript Char Char1 Char,Footnote Refernece Char Char Char Char Char,Footnote Reference Superscript Char Char Char Char Char,Footnote Reference Number Char Char Char Char Char"/>
    <w:basedOn w:val="Normal"/>
    <w:link w:val="FootnoteReference"/>
    <w:rsid w:val="00CA0B79"/>
    <w:pPr>
      <w:suppressAutoHyphens w:val="0"/>
      <w:spacing w:line="240" w:lineRule="auto"/>
      <w:jc w:val="both"/>
    </w:pPr>
    <w:rPr>
      <w:rFonts w:eastAsiaTheme="minorHAnsi" w:cstheme="minorBidi"/>
      <w:sz w:val="18"/>
      <w:szCs w:val="22"/>
      <w:vertAlign w:val="superscript"/>
    </w:rPr>
  </w:style>
  <w:style w:type="paragraph" w:customStyle="1" w:styleId="Default">
    <w:name w:val="Default"/>
    <w:rsid w:val="00CA0B7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Normal1">
    <w:name w:val="Normal1"/>
    <w:rsid w:val="00CA0B79"/>
    <w:pPr>
      <w:spacing w:after="0"/>
    </w:pPr>
    <w:rPr>
      <w:rFonts w:ascii="Arial" w:eastAsia="Arial" w:hAnsi="Arial" w:cs="Arial"/>
      <w:lang w:val="lt-LT" w:eastAsia="hu-HU"/>
    </w:rPr>
  </w:style>
  <w:style w:type="paragraph" w:customStyle="1" w:styleId="Norml1">
    <w:name w:val="Normál1"/>
    <w:rsid w:val="00CA0B79"/>
    <w:pPr>
      <w:widowControl w:val="0"/>
      <w:spacing w:after="0"/>
    </w:pPr>
    <w:rPr>
      <w:rFonts w:ascii="Arial" w:eastAsia="Arial" w:hAnsi="Arial" w:cs="Arial"/>
      <w:color w:val="000000"/>
      <w:lang w:val="hu-HU" w:eastAsia="hu-HU"/>
    </w:rPr>
  </w:style>
  <w:style w:type="paragraph" w:styleId="NormalWeb">
    <w:name w:val="Normal (Web)"/>
    <w:basedOn w:val="Normal"/>
    <w:uiPriority w:val="99"/>
    <w:unhideWhenUsed/>
    <w:rsid w:val="00CA0B79"/>
    <w:pPr>
      <w:suppressAutoHyphens w:val="0"/>
      <w:spacing w:before="100" w:beforeAutospacing="1" w:after="100" w:afterAutospacing="1" w:line="240" w:lineRule="auto"/>
    </w:pPr>
    <w:rPr>
      <w:sz w:val="24"/>
      <w:szCs w:val="24"/>
      <w:lang w:val="et-EE" w:eastAsia="et-EE"/>
    </w:rPr>
  </w:style>
  <w:style w:type="character" w:customStyle="1" w:styleId="fontstyle01">
    <w:name w:val="fontstyle01"/>
    <w:basedOn w:val="DefaultParagraphFont"/>
    <w:rsid w:val="00CA0B79"/>
    <w:rPr>
      <w:rFonts w:ascii="TimesNewRomanPSMT" w:hAnsi="TimesNewRomanPSMT" w:hint="default"/>
      <w:b w:val="0"/>
      <w:bCs w:val="0"/>
      <w:i w:val="0"/>
      <w:iCs w:val="0"/>
      <w:color w:val="000000"/>
      <w:sz w:val="24"/>
      <w:szCs w:val="24"/>
    </w:rPr>
  </w:style>
  <w:style w:type="paragraph" w:customStyle="1" w:styleId="FootnoteReferneceCarcter">
    <w:name w:val="Footnote Refernece Carácter"/>
    <w:aliases w:val="ftref Carácter,4_G Carácter"/>
    <w:basedOn w:val="Normal"/>
    <w:uiPriority w:val="99"/>
    <w:rsid w:val="00CA0B79"/>
    <w:pPr>
      <w:suppressAutoHyphens w:val="0"/>
      <w:spacing w:before="120" w:after="160" w:line="240" w:lineRule="exact"/>
      <w:jc w:val="both"/>
    </w:pPr>
    <w:rPr>
      <w:rFonts w:eastAsiaTheme="minorHAnsi" w:cstheme="minorBidi"/>
      <w:sz w:val="18"/>
      <w:szCs w:val="22"/>
      <w:vertAlign w:val="superscript"/>
      <w:lang w:val="et-EE"/>
    </w:rPr>
  </w:style>
  <w:style w:type="character" w:styleId="Emphasis">
    <w:name w:val="Emphasis"/>
    <w:basedOn w:val="DefaultParagraphFont"/>
    <w:uiPriority w:val="20"/>
    <w:qFormat/>
    <w:rsid w:val="009D6A3B"/>
    <w:rPr>
      <w:i/>
      <w:iCs/>
    </w:rPr>
  </w:style>
  <w:style w:type="paragraph" w:styleId="Revision">
    <w:name w:val="Revision"/>
    <w:hidden/>
    <w:uiPriority w:val="99"/>
    <w:semiHidden/>
    <w:rsid w:val="00001F66"/>
    <w:pPr>
      <w:spacing w:after="0" w:line="240" w:lineRule="auto"/>
    </w:pPr>
    <w:rPr>
      <w:rFonts w:ascii="Times New Roman" w:eastAsia="Times New Roman" w:hAnsi="Times New Roman" w:cs="Times New Roman"/>
      <w:sz w:val="20"/>
      <w:szCs w:val="20"/>
      <w:lang w:val="en-GB"/>
    </w:rPr>
  </w:style>
  <w:style w:type="paragraph" w:styleId="BodyText">
    <w:name w:val="Body Text"/>
    <w:basedOn w:val="Normal"/>
    <w:link w:val="BodyTextChar"/>
    <w:uiPriority w:val="1"/>
    <w:semiHidden/>
    <w:unhideWhenUsed/>
    <w:qFormat/>
    <w:rsid w:val="009F4CD1"/>
    <w:pPr>
      <w:widowControl w:val="0"/>
      <w:suppressAutoHyphens w:val="0"/>
      <w:autoSpaceDE w:val="0"/>
      <w:autoSpaceDN w:val="0"/>
      <w:adjustRightInd w:val="0"/>
      <w:spacing w:line="240" w:lineRule="auto"/>
    </w:pPr>
    <w:rPr>
      <w:rFonts w:ascii="Arial" w:hAnsi="Arial" w:cs="Arial"/>
      <w:color w:val="000000"/>
      <w:sz w:val="22"/>
      <w:szCs w:val="22"/>
      <w:lang w:eastAsia="en-GB"/>
    </w:rPr>
  </w:style>
  <w:style w:type="character" w:customStyle="1" w:styleId="BodyTextChar">
    <w:name w:val="Body Text Char"/>
    <w:basedOn w:val="DefaultParagraphFont"/>
    <w:link w:val="BodyText"/>
    <w:uiPriority w:val="1"/>
    <w:semiHidden/>
    <w:rsid w:val="009F4CD1"/>
    <w:rPr>
      <w:rFonts w:ascii="Arial" w:eastAsia="Times New Roman" w:hAnsi="Arial" w:cs="Arial"/>
      <w:color w:val="000000"/>
      <w:lang w:val="en-GB" w:eastAsia="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
    <w:uiPriority w:val="99"/>
    <w:rsid w:val="00960F0F"/>
    <w:pPr>
      <w:suppressAutoHyphens w:val="0"/>
      <w:spacing w:after="160" w:line="240" w:lineRule="exact"/>
    </w:pPr>
    <w:rPr>
      <w:rFonts w:eastAsiaTheme="minorHAnsi" w:cstheme="minorBidi"/>
      <w:sz w:val="18"/>
      <w:szCs w:val="22"/>
      <w:vertAlign w:val="superscript"/>
    </w:rPr>
  </w:style>
  <w:style w:type="numbering" w:customStyle="1" w:styleId="NoList1">
    <w:name w:val="No List1"/>
    <w:next w:val="NoList"/>
    <w:uiPriority w:val="99"/>
    <w:semiHidden/>
    <w:unhideWhenUsed/>
    <w:rsid w:val="00240836"/>
  </w:style>
  <w:style w:type="paragraph" w:customStyle="1" w:styleId="ParaNoG">
    <w:name w:val="_ParaNo._G"/>
    <w:basedOn w:val="SingleTxtG"/>
    <w:rsid w:val="00240836"/>
    <w:pPr>
      <w:numPr>
        <w:numId w:val="6"/>
      </w:numPr>
      <w:tabs>
        <w:tab w:val="left" w:pos="1701"/>
        <w:tab w:val="left" w:pos="2268"/>
      </w:tabs>
      <w:kinsoku/>
      <w:overflowPunct/>
      <w:autoSpaceDE/>
      <w:autoSpaceDN/>
      <w:adjustRightInd/>
      <w:snapToGrid/>
    </w:pPr>
    <w:rPr>
      <w:rFonts w:eastAsia="SimSun"/>
      <w:lang w:eastAsia="zh-CN"/>
    </w:rPr>
  </w:style>
  <w:style w:type="numbering" w:customStyle="1" w:styleId="1111111">
    <w:name w:val="1 / 1.1 / 1.1.11"/>
    <w:basedOn w:val="NoList"/>
    <w:next w:val="111111"/>
    <w:semiHidden/>
    <w:rsid w:val="00240836"/>
    <w:pPr>
      <w:numPr>
        <w:numId w:val="7"/>
      </w:numPr>
    </w:pPr>
  </w:style>
  <w:style w:type="numbering" w:customStyle="1" w:styleId="1ai1">
    <w:name w:val="1 / a / i1"/>
    <w:basedOn w:val="NoList"/>
    <w:next w:val="1ai"/>
    <w:semiHidden/>
    <w:rsid w:val="00240836"/>
  </w:style>
  <w:style w:type="character" w:styleId="BookTitle">
    <w:name w:val="Book Title"/>
    <w:basedOn w:val="DefaultParagraphFont"/>
    <w:uiPriority w:val="33"/>
    <w:semiHidden/>
    <w:rsid w:val="00240836"/>
    <w:rPr>
      <w:b/>
      <w:bCs/>
      <w:smallCaps/>
      <w:spacing w:val="5"/>
    </w:rPr>
  </w:style>
  <w:style w:type="table" w:customStyle="1" w:styleId="TableGrid2">
    <w:name w:val="Table Grid2"/>
    <w:basedOn w:val="TableNormal"/>
    <w:next w:val="TableGrid"/>
    <w:rsid w:val="00240836"/>
    <w:pPr>
      <w:suppressAutoHyphens/>
      <w:spacing w:after="0" w:line="240" w:lineRule="atLeast"/>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
    <w:name w:val="__Single Txt"/>
    <w:basedOn w:val="Normal"/>
    <w:rsid w:val="00B859B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character" w:customStyle="1" w:styleId="Hyperlink0">
    <w:name w:val="Hyperlink.0"/>
    <w:basedOn w:val="Hyperlink"/>
    <w:rsid w:val="00B314BD"/>
    <w:rPr>
      <w:outline w:val="0"/>
      <w:color w:val="0000FF"/>
      <w:u w:val="single" w:color="0000FF"/>
    </w:rPr>
  </w:style>
  <w:style w:type="paragraph" w:customStyle="1" w:styleId="Standard">
    <w:name w:val="Standard"/>
    <w:rsid w:val="00CB766A"/>
    <w:pPr>
      <w:suppressAutoHyphens/>
      <w:autoSpaceDN w:val="0"/>
      <w:textAlignment w:val="baseline"/>
    </w:pPr>
    <w:rPr>
      <w:rFonts w:ascii="Calibri" w:eastAsia="Calibri" w:hAnsi="Calibri" w:cs="Times New Roman"/>
      <w:kern w:val="3"/>
      <w:lang w:val="en-GB"/>
    </w:rPr>
  </w:style>
  <w:style w:type="paragraph" w:customStyle="1" w:styleId="BodyA">
    <w:name w:val="Body A"/>
    <w:rsid w:val="003F51B0"/>
    <w:pPr>
      <w:pBdr>
        <w:top w:val="nil"/>
        <w:left w:val="nil"/>
        <w:bottom w:val="nil"/>
        <w:right w:val="nil"/>
        <w:between w:val="nil"/>
        <w:bar w:val="nil"/>
      </w:pBdr>
      <w:spacing w:line="240" w:lineRule="auto"/>
    </w:pPr>
    <w:rPr>
      <w:rFonts w:ascii="Arial" w:eastAsia="Arial Unicode MS" w:hAnsi="Arial Unicode MS" w:cs="Arial Unicode MS"/>
      <w:color w:val="000000"/>
      <w:sz w:val="24"/>
      <w:szCs w:val="24"/>
      <w:u w:color="000000"/>
      <w:bdr w:val="nil"/>
      <w:lang w:val="en-US"/>
    </w:rPr>
  </w:style>
  <w:style w:type="paragraph" w:customStyle="1" w:styleId="merged-reco">
    <w:name w:val="merged-reco"/>
    <w:basedOn w:val="Normal"/>
    <w:rsid w:val="005C20D5"/>
    <w:pPr>
      <w:suppressAutoHyphens w:val="0"/>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E625EE"/>
    <w:rPr>
      <w:b/>
      <w:bCs/>
    </w:rPr>
  </w:style>
  <w:style w:type="paragraph" w:customStyle="1" w:styleId="lmttranslationsastextitem">
    <w:name w:val="lmt__translations_as_text__item"/>
    <w:basedOn w:val="Normal"/>
    <w:rsid w:val="00A060AE"/>
    <w:pPr>
      <w:suppressAutoHyphens w:val="0"/>
      <w:spacing w:before="100" w:beforeAutospacing="1" w:after="100" w:afterAutospacing="1" w:line="240" w:lineRule="auto"/>
    </w:pPr>
    <w:rPr>
      <w:sz w:val="24"/>
      <w:szCs w:val="24"/>
      <w:lang w:eastAsia="en-GB"/>
    </w:rPr>
  </w:style>
  <w:style w:type="paragraph" w:customStyle="1" w:styleId="CosA">
    <w:name w:val="Cos A"/>
    <w:rsid w:val="0038421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it-IT" w:eastAsia="es-ES"/>
      <w14:textOutline w14:w="12700" w14:cap="flat" w14:cmpd="sng" w14:algn="ctr">
        <w14:noFill/>
        <w14:prstDash w14:val="solid"/>
        <w14:miter w14:lim="400000"/>
      </w14:textOutline>
    </w:rPr>
  </w:style>
  <w:style w:type="character" w:customStyle="1" w:styleId="rynqvb">
    <w:name w:val="rynqvb"/>
    <w:basedOn w:val="DefaultParagraphFont"/>
    <w:rsid w:val="00FA4BAA"/>
  </w:style>
  <w:style w:type="paragraph" w:customStyle="1" w:styleId="body-text">
    <w:name w:val="body-text"/>
    <w:basedOn w:val="Normal"/>
    <w:rsid w:val="00F60740"/>
    <w:pPr>
      <w:suppressAutoHyphens w:val="0"/>
      <w:spacing w:before="100" w:beforeAutospacing="1" w:after="100" w:afterAutospacing="1" w:line="240" w:lineRule="auto"/>
    </w:pPr>
    <w:rPr>
      <w:sz w:val="24"/>
      <w:szCs w:val="24"/>
      <w:lang w:val="ca-ES" w:eastAsia="ca-ES"/>
    </w:rPr>
  </w:style>
  <w:style w:type="character" w:customStyle="1" w:styleId="UnresolvedMention1">
    <w:name w:val="Unresolved Mention1"/>
    <w:basedOn w:val="DefaultParagraphFont"/>
    <w:uiPriority w:val="99"/>
    <w:semiHidden/>
    <w:unhideWhenUsed/>
    <w:rsid w:val="0064071A"/>
    <w:rPr>
      <w:color w:val="605E5C"/>
      <w:shd w:val="clear" w:color="auto" w:fill="E1DFDD"/>
    </w:rPr>
  </w:style>
  <w:style w:type="character" w:styleId="UnresolvedMention">
    <w:name w:val="Unresolved Mention"/>
    <w:basedOn w:val="DefaultParagraphFont"/>
    <w:uiPriority w:val="99"/>
    <w:rsid w:val="009C4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7171">
      <w:bodyDiv w:val="1"/>
      <w:marLeft w:val="0"/>
      <w:marRight w:val="0"/>
      <w:marTop w:val="0"/>
      <w:marBottom w:val="0"/>
      <w:divBdr>
        <w:top w:val="none" w:sz="0" w:space="0" w:color="auto"/>
        <w:left w:val="none" w:sz="0" w:space="0" w:color="auto"/>
        <w:bottom w:val="none" w:sz="0" w:space="0" w:color="auto"/>
        <w:right w:val="none" w:sz="0" w:space="0" w:color="auto"/>
      </w:divBdr>
    </w:div>
    <w:div w:id="261685370">
      <w:bodyDiv w:val="1"/>
      <w:marLeft w:val="0"/>
      <w:marRight w:val="0"/>
      <w:marTop w:val="0"/>
      <w:marBottom w:val="0"/>
      <w:divBdr>
        <w:top w:val="none" w:sz="0" w:space="0" w:color="auto"/>
        <w:left w:val="none" w:sz="0" w:space="0" w:color="auto"/>
        <w:bottom w:val="none" w:sz="0" w:space="0" w:color="auto"/>
        <w:right w:val="none" w:sz="0" w:space="0" w:color="auto"/>
      </w:divBdr>
    </w:div>
    <w:div w:id="278535909">
      <w:bodyDiv w:val="1"/>
      <w:marLeft w:val="0"/>
      <w:marRight w:val="0"/>
      <w:marTop w:val="0"/>
      <w:marBottom w:val="0"/>
      <w:divBdr>
        <w:top w:val="none" w:sz="0" w:space="0" w:color="auto"/>
        <w:left w:val="none" w:sz="0" w:space="0" w:color="auto"/>
        <w:bottom w:val="none" w:sz="0" w:space="0" w:color="auto"/>
        <w:right w:val="none" w:sz="0" w:space="0" w:color="auto"/>
      </w:divBdr>
    </w:div>
    <w:div w:id="329871321">
      <w:bodyDiv w:val="1"/>
      <w:marLeft w:val="0"/>
      <w:marRight w:val="0"/>
      <w:marTop w:val="0"/>
      <w:marBottom w:val="0"/>
      <w:divBdr>
        <w:top w:val="none" w:sz="0" w:space="0" w:color="auto"/>
        <w:left w:val="none" w:sz="0" w:space="0" w:color="auto"/>
        <w:bottom w:val="none" w:sz="0" w:space="0" w:color="auto"/>
        <w:right w:val="none" w:sz="0" w:space="0" w:color="auto"/>
      </w:divBdr>
    </w:div>
    <w:div w:id="410279195">
      <w:bodyDiv w:val="1"/>
      <w:marLeft w:val="0"/>
      <w:marRight w:val="0"/>
      <w:marTop w:val="0"/>
      <w:marBottom w:val="0"/>
      <w:divBdr>
        <w:top w:val="none" w:sz="0" w:space="0" w:color="auto"/>
        <w:left w:val="none" w:sz="0" w:space="0" w:color="auto"/>
        <w:bottom w:val="none" w:sz="0" w:space="0" w:color="auto"/>
        <w:right w:val="none" w:sz="0" w:space="0" w:color="auto"/>
      </w:divBdr>
    </w:div>
    <w:div w:id="497578107">
      <w:bodyDiv w:val="1"/>
      <w:marLeft w:val="0"/>
      <w:marRight w:val="0"/>
      <w:marTop w:val="0"/>
      <w:marBottom w:val="0"/>
      <w:divBdr>
        <w:top w:val="none" w:sz="0" w:space="0" w:color="auto"/>
        <w:left w:val="none" w:sz="0" w:space="0" w:color="auto"/>
        <w:bottom w:val="none" w:sz="0" w:space="0" w:color="auto"/>
        <w:right w:val="none" w:sz="0" w:space="0" w:color="auto"/>
      </w:divBdr>
    </w:div>
    <w:div w:id="530187843">
      <w:bodyDiv w:val="1"/>
      <w:marLeft w:val="0"/>
      <w:marRight w:val="0"/>
      <w:marTop w:val="0"/>
      <w:marBottom w:val="0"/>
      <w:divBdr>
        <w:top w:val="none" w:sz="0" w:space="0" w:color="auto"/>
        <w:left w:val="none" w:sz="0" w:space="0" w:color="auto"/>
        <w:bottom w:val="none" w:sz="0" w:space="0" w:color="auto"/>
        <w:right w:val="none" w:sz="0" w:space="0" w:color="auto"/>
      </w:divBdr>
    </w:div>
    <w:div w:id="533226994">
      <w:bodyDiv w:val="1"/>
      <w:marLeft w:val="0"/>
      <w:marRight w:val="0"/>
      <w:marTop w:val="0"/>
      <w:marBottom w:val="0"/>
      <w:divBdr>
        <w:top w:val="none" w:sz="0" w:space="0" w:color="auto"/>
        <w:left w:val="none" w:sz="0" w:space="0" w:color="auto"/>
        <w:bottom w:val="none" w:sz="0" w:space="0" w:color="auto"/>
        <w:right w:val="none" w:sz="0" w:space="0" w:color="auto"/>
      </w:divBdr>
    </w:div>
    <w:div w:id="535779099">
      <w:bodyDiv w:val="1"/>
      <w:marLeft w:val="0"/>
      <w:marRight w:val="0"/>
      <w:marTop w:val="0"/>
      <w:marBottom w:val="0"/>
      <w:divBdr>
        <w:top w:val="none" w:sz="0" w:space="0" w:color="auto"/>
        <w:left w:val="none" w:sz="0" w:space="0" w:color="auto"/>
        <w:bottom w:val="none" w:sz="0" w:space="0" w:color="auto"/>
        <w:right w:val="none" w:sz="0" w:space="0" w:color="auto"/>
      </w:divBdr>
    </w:div>
    <w:div w:id="547183939">
      <w:bodyDiv w:val="1"/>
      <w:marLeft w:val="0"/>
      <w:marRight w:val="0"/>
      <w:marTop w:val="0"/>
      <w:marBottom w:val="0"/>
      <w:divBdr>
        <w:top w:val="none" w:sz="0" w:space="0" w:color="auto"/>
        <w:left w:val="none" w:sz="0" w:space="0" w:color="auto"/>
        <w:bottom w:val="none" w:sz="0" w:space="0" w:color="auto"/>
        <w:right w:val="none" w:sz="0" w:space="0" w:color="auto"/>
      </w:divBdr>
    </w:div>
    <w:div w:id="551162175">
      <w:bodyDiv w:val="1"/>
      <w:marLeft w:val="0"/>
      <w:marRight w:val="0"/>
      <w:marTop w:val="0"/>
      <w:marBottom w:val="0"/>
      <w:divBdr>
        <w:top w:val="none" w:sz="0" w:space="0" w:color="auto"/>
        <w:left w:val="none" w:sz="0" w:space="0" w:color="auto"/>
        <w:bottom w:val="none" w:sz="0" w:space="0" w:color="auto"/>
        <w:right w:val="none" w:sz="0" w:space="0" w:color="auto"/>
      </w:divBdr>
    </w:div>
    <w:div w:id="579020779">
      <w:bodyDiv w:val="1"/>
      <w:marLeft w:val="0"/>
      <w:marRight w:val="0"/>
      <w:marTop w:val="0"/>
      <w:marBottom w:val="0"/>
      <w:divBdr>
        <w:top w:val="none" w:sz="0" w:space="0" w:color="auto"/>
        <w:left w:val="none" w:sz="0" w:space="0" w:color="auto"/>
        <w:bottom w:val="none" w:sz="0" w:space="0" w:color="auto"/>
        <w:right w:val="none" w:sz="0" w:space="0" w:color="auto"/>
      </w:divBdr>
    </w:div>
    <w:div w:id="634994028">
      <w:bodyDiv w:val="1"/>
      <w:marLeft w:val="0"/>
      <w:marRight w:val="0"/>
      <w:marTop w:val="0"/>
      <w:marBottom w:val="0"/>
      <w:divBdr>
        <w:top w:val="none" w:sz="0" w:space="0" w:color="auto"/>
        <w:left w:val="none" w:sz="0" w:space="0" w:color="auto"/>
        <w:bottom w:val="none" w:sz="0" w:space="0" w:color="auto"/>
        <w:right w:val="none" w:sz="0" w:space="0" w:color="auto"/>
      </w:divBdr>
    </w:div>
    <w:div w:id="648366121">
      <w:bodyDiv w:val="1"/>
      <w:marLeft w:val="0"/>
      <w:marRight w:val="0"/>
      <w:marTop w:val="0"/>
      <w:marBottom w:val="0"/>
      <w:divBdr>
        <w:top w:val="none" w:sz="0" w:space="0" w:color="auto"/>
        <w:left w:val="none" w:sz="0" w:space="0" w:color="auto"/>
        <w:bottom w:val="none" w:sz="0" w:space="0" w:color="auto"/>
        <w:right w:val="none" w:sz="0" w:space="0" w:color="auto"/>
      </w:divBdr>
    </w:div>
    <w:div w:id="663968645">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889726775">
      <w:bodyDiv w:val="1"/>
      <w:marLeft w:val="0"/>
      <w:marRight w:val="0"/>
      <w:marTop w:val="0"/>
      <w:marBottom w:val="0"/>
      <w:divBdr>
        <w:top w:val="none" w:sz="0" w:space="0" w:color="auto"/>
        <w:left w:val="none" w:sz="0" w:space="0" w:color="auto"/>
        <w:bottom w:val="none" w:sz="0" w:space="0" w:color="auto"/>
        <w:right w:val="none" w:sz="0" w:space="0" w:color="auto"/>
      </w:divBdr>
    </w:div>
    <w:div w:id="1038622745">
      <w:bodyDiv w:val="1"/>
      <w:marLeft w:val="0"/>
      <w:marRight w:val="0"/>
      <w:marTop w:val="0"/>
      <w:marBottom w:val="0"/>
      <w:divBdr>
        <w:top w:val="none" w:sz="0" w:space="0" w:color="auto"/>
        <w:left w:val="none" w:sz="0" w:space="0" w:color="auto"/>
        <w:bottom w:val="none" w:sz="0" w:space="0" w:color="auto"/>
        <w:right w:val="none" w:sz="0" w:space="0" w:color="auto"/>
      </w:divBdr>
    </w:div>
    <w:div w:id="1079406161">
      <w:bodyDiv w:val="1"/>
      <w:marLeft w:val="0"/>
      <w:marRight w:val="0"/>
      <w:marTop w:val="0"/>
      <w:marBottom w:val="0"/>
      <w:divBdr>
        <w:top w:val="none" w:sz="0" w:space="0" w:color="auto"/>
        <w:left w:val="none" w:sz="0" w:space="0" w:color="auto"/>
        <w:bottom w:val="none" w:sz="0" w:space="0" w:color="auto"/>
        <w:right w:val="none" w:sz="0" w:space="0" w:color="auto"/>
      </w:divBdr>
    </w:div>
    <w:div w:id="1253128277">
      <w:bodyDiv w:val="1"/>
      <w:marLeft w:val="0"/>
      <w:marRight w:val="0"/>
      <w:marTop w:val="0"/>
      <w:marBottom w:val="0"/>
      <w:divBdr>
        <w:top w:val="none" w:sz="0" w:space="0" w:color="auto"/>
        <w:left w:val="none" w:sz="0" w:space="0" w:color="auto"/>
        <w:bottom w:val="none" w:sz="0" w:space="0" w:color="auto"/>
        <w:right w:val="none" w:sz="0" w:space="0" w:color="auto"/>
      </w:divBdr>
    </w:div>
    <w:div w:id="1330519127">
      <w:bodyDiv w:val="1"/>
      <w:marLeft w:val="0"/>
      <w:marRight w:val="0"/>
      <w:marTop w:val="0"/>
      <w:marBottom w:val="0"/>
      <w:divBdr>
        <w:top w:val="none" w:sz="0" w:space="0" w:color="auto"/>
        <w:left w:val="none" w:sz="0" w:space="0" w:color="auto"/>
        <w:bottom w:val="none" w:sz="0" w:space="0" w:color="auto"/>
        <w:right w:val="none" w:sz="0" w:space="0" w:color="auto"/>
      </w:divBdr>
    </w:div>
    <w:div w:id="1469085095">
      <w:bodyDiv w:val="1"/>
      <w:marLeft w:val="0"/>
      <w:marRight w:val="0"/>
      <w:marTop w:val="0"/>
      <w:marBottom w:val="0"/>
      <w:divBdr>
        <w:top w:val="none" w:sz="0" w:space="0" w:color="auto"/>
        <w:left w:val="none" w:sz="0" w:space="0" w:color="auto"/>
        <w:bottom w:val="none" w:sz="0" w:space="0" w:color="auto"/>
        <w:right w:val="none" w:sz="0" w:space="0" w:color="auto"/>
      </w:divBdr>
    </w:div>
    <w:div w:id="1596400905">
      <w:bodyDiv w:val="1"/>
      <w:marLeft w:val="0"/>
      <w:marRight w:val="0"/>
      <w:marTop w:val="0"/>
      <w:marBottom w:val="0"/>
      <w:divBdr>
        <w:top w:val="none" w:sz="0" w:space="0" w:color="auto"/>
        <w:left w:val="none" w:sz="0" w:space="0" w:color="auto"/>
        <w:bottom w:val="none" w:sz="0" w:space="0" w:color="auto"/>
        <w:right w:val="none" w:sz="0" w:space="0" w:color="auto"/>
      </w:divBdr>
    </w:div>
    <w:div w:id="1621915714">
      <w:bodyDiv w:val="1"/>
      <w:marLeft w:val="0"/>
      <w:marRight w:val="0"/>
      <w:marTop w:val="0"/>
      <w:marBottom w:val="0"/>
      <w:divBdr>
        <w:top w:val="none" w:sz="0" w:space="0" w:color="auto"/>
        <w:left w:val="none" w:sz="0" w:space="0" w:color="auto"/>
        <w:bottom w:val="none" w:sz="0" w:space="0" w:color="auto"/>
        <w:right w:val="none" w:sz="0" w:space="0" w:color="auto"/>
      </w:divBdr>
    </w:div>
    <w:div w:id="1784417432">
      <w:bodyDiv w:val="1"/>
      <w:marLeft w:val="0"/>
      <w:marRight w:val="0"/>
      <w:marTop w:val="0"/>
      <w:marBottom w:val="0"/>
      <w:divBdr>
        <w:top w:val="none" w:sz="0" w:space="0" w:color="auto"/>
        <w:left w:val="none" w:sz="0" w:space="0" w:color="auto"/>
        <w:bottom w:val="none" w:sz="0" w:space="0" w:color="auto"/>
        <w:right w:val="none" w:sz="0" w:space="0" w:color="auto"/>
      </w:divBdr>
    </w:div>
    <w:div w:id="1825273969">
      <w:bodyDiv w:val="1"/>
      <w:marLeft w:val="0"/>
      <w:marRight w:val="0"/>
      <w:marTop w:val="0"/>
      <w:marBottom w:val="0"/>
      <w:divBdr>
        <w:top w:val="none" w:sz="0" w:space="0" w:color="auto"/>
        <w:left w:val="none" w:sz="0" w:space="0" w:color="auto"/>
        <w:bottom w:val="none" w:sz="0" w:space="0" w:color="auto"/>
        <w:right w:val="none" w:sz="0" w:space="0" w:color="auto"/>
      </w:divBdr>
    </w:div>
    <w:div w:id="1842770047">
      <w:bodyDiv w:val="1"/>
      <w:marLeft w:val="0"/>
      <w:marRight w:val="0"/>
      <w:marTop w:val="0"/>
      <w:marBottom w:val="0"/>
      <w:divBdr>
        <w:top w:val="none" w:sz="0" w:space="0" w:color="auto"/>
        <w:left w:val="none" w:sz="0" w:space="0" w:color="auto"/>
        <w:bottom w:val="none" w:sz="0" w:space="0" w:color="auto"/>
        <w:right w:val="none" w:sz="0" w:space="0" w:color="auto"/>
      </w:divBdr>
    </w:div>
    <w:div w:id="1866865158">
      <w:bodyDiv w:val="1"/>
      <w:marLeft w:val="0"/>
      <w:marRight w:val="0"/>
      <w:marTop w:val="0"/>
      <w:marBottom w:val="0"/>
      <w:divBdr>
        <w:top w:val="none" w:sz="0" w:space="0" w:color="auto"/>
        <w:left w:val="none" w:sz="0" w:space="0" w:color="auto"/>
        <w:bottom w:val="none" w:sz="0" w:space="0" w:color="auto"/>
        <w:right w:val="none" w:sz="0" w:space="0" w:color="auto"/>
      </w:divBdr>
    </w:div>
    <w:div w:id="1898280915">
      <w:bodyDiv w:val="1"/>
      <w:marLeft w:val="0"/>
      <w:marRight w:val="0"/>
      <w:marTop w:val="0"/>
      <w:marBottom w:val="0"/>
      <w:divBdr>
        <w:top w:val="none" w:sz="0" w:space="0" w:color="auto"/>
        <w:left w:val="none" w:sz="0" w:space="0" w:color="auto"/>
        <w:bottom w:val="none" w:sz="0" w:space="0" w:color="auto"/>
        <w:right w:val="none" w:sz="0" w:space="0" w:color="auto"/>
      </w:divBdr>
    </w:div>
    <w:div w:id="2003044747">
      <w:bodyDiv w:val="1"/>
      <w:marLeft w:val="0"/>
      <w:marRight w:val="0"/>
      <w:marTop w:val="0"/>
      <w:marBottom w:val="0"/>
      <w:divBdr>
        <w:top w:val="none" w:sz="0" w:space="0" w:color="auto"/>
        <w:left w:val="none" w:sz="0" w:space="0" w:color="auto"/>
        <w:bottom w:val="none" w:sz="0" w:space="0" w:color="auto"/>
        <w:right w:val="none" w:sz="0" w:space="0" w:color="auto"/>
      </w:divBdr>
    </w:div>
    <w:div w:id="2039158116">
      <w:bodyDiv w:val="1"/>
      <w:marLeft w:val="0"/>
      <w:marRight w:val="0"/>
      <w:marTop w:val="0"/>
      <w:marBottom w:val="0"/>
      <w:divBdr>
        <w:top w:val="none" w:sz="0" w:space="0" w:color="auto"/>
        <w:left w:val="none" w:sz="0" w:space="0" w:color="auto"/>
        <w:bottom w:val="none" w:sz="0" w:space="0" w:color="auto"/>
        <w:right w:val="none" w:sz="0" w:space="0" w:color="auto"/>
      </w:divBdr>
    </w:div>
    <w:div w:id="2105346245">
      <w:bodyDiv w:val="1"/>
      <w:marLeft w:val="0"/>
      <w:marRight w:val="0"/>
      <w:marTop w:val="0"/>
      <w:marBottom w:val="0"/>
      <w:divBdr>
        <w:top w:val="none" w:sz="0" w:space="0" w:color="auto"/>
        <w:left w:val="none" w:sz="0" w:space="0" w:color="auto"/>
        <w:bottom w:val="none" w:sz="0" w:space="0" w:color="auto"/>
        <w:right w:val="none" w:sz="0" w:space="0" w:color="auto"/>
      </w:divBdr>
    </w:div>
    <w:div w:id="21289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binternet.ohchr.org/_layouts/15/treatybodyexternal/Download.aspx?symbolno=CRPD/C/GC/1&amp;La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25" Type="http://schemas.openxmlformats.org/officeDocument/2006/relationships/footer" Target="footer3.xml"/><Relationship Id="rId12" Type="http://schemas.openxmlformats.org/officeDocument/2006/relationships/footnotes" Target="footnotes.xml"/><Relationship Id="rId17" Type="http://schemas.openxmlformats.org/officeDocument/2006/relationships/hyperlink" Target="https://tbinternet.ohchr.org/_layouts/15/treatybodyexternal/Download.aspx?symbolno=CRPD/C/GC/2&amp;Lang=en" TargetMode="External"/><Relationship Id="rId2" Type="http://schemas.openxmlformats.org/officeDocument/2006/relationships/customXml" Target="../customXml/item2.xml"/><Relationship Id="rId16" Type="http://schemas.openxmlformats.org/officeDocument/2006/relationships/hyperlink" Target="https://oeil.secure.europarl.europa.eu/oeil/popups/ficheprocedure.do?lang=en&amp;reference=2023/2728(R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silium.europa.eu/en/press/press-releases/2024/05/07/strengthening-the-role-of-equality-bodies-across-the-eu-council-adopts-two-directives/"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ohchr.org/sites/default/files/documents/hrbodies/crpd/statements/update-description-open_letter_add_prot_ovi_conv-15_01-2025.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2024-04-09T19:25:49+00:00</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C694C-0592-49C7-916E-AFBAA724DE9D}"/>
</file>

<file path=customXml/itemProps2.xml><?xml version="1.0" encoding="utf-8"?>
<ds:datastoreItem xmlns:ds="http://schemas.openxmlformats.org/officeDocument/2006/customXml" ds:itemID="{C2E2E06B-8B4E-48F0-83E1-F73F7832A659}">
  <ds:schemaRefs>
    <ds:schemaRef ds:uri="http://schemas.microsoft.com/sharepoint/v3/contenttype/forms"/>
  </ds:schemaRefs>
</ds:datastoreItem>
</file>

<file path=customXml/itemProps3.xml><?xml version="1.0" encoding="utf-8"?>
<ds:datastoreItem xmlns:ds="http://schemas.openxmlformats.org/officeDocument/2006/customXml" ds:itemID="{A84CB258-CDFA-44A9-8254-B4F3750C9281}">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4.xml><?xml version="1.0" encoding="utf-8"?>
<ds:datastoreItem xmlns:ds="http://schemas.openxmlformats.org/officeDocument/2006/customXml" ds:itemID="{F7BB0E95-0121-496C-B4E0-B191B50E02EA}">
  <ds:schemaRefs>
    <ds:schemaRef ds:uri="http://schemas.microsoft.com/sharepoint/v3/contenttype/forms"/>
  </ds:schemaRefs>
</ds:datastoreItem>
</file>

<file path=customXml/itemProps5.xml><?xml version="1.0" encoding="utf-8"?>
<ds:datastoreItem xmlns:ds="http://schemas.openxmlformats.org/officeDocument/2006/customXml" ds:itemID="{100EDB9F-505E-46EC-9735-DE8F774D990D}">
  <ds:schemaRefs>
    <ds:schemaRef ds:uri="http://schemas.microsoft.com/office/2006/metadata/properties"/>
    <ds:schemaRef ds:uri="http://schemas.microsoft.com/office/infopath/2007/PartnerControls"/>
    <ds:schemaRef ds:uri="985ec44e-1bab-4c0b-9df0-6ba128686fc9"/>
    <ds:schemaRef ds:uri="11a6fe0c-d8de-4390-afb3-d9c7c54181f0"/>
    <ds:schemaRef ds:uri="c43d6523-f909-4250-bbe1-6bcdc0c7194c"/>
  </ds:schemaRefs>
</ds:datastoreItem>
</file>

<file path=customXml/itemProps6.xml><?xml version="1.0" encoding="utf-8"?>
<ds:datastoreItem xmlns:ds="http://schemas.openxmlformats.org/officeDocument/2006/customXml" ds:itemID="{48FF064F-824B-7142-BF73-3448A995E304}">
  <ds:schemaRefs>
    <ds:schemaRef ds:uri="http://schemas.openxmlformats.org/officeDocument/2006/bibliography"/>
  </ds:schemaRefs>
</ds:datastoreItem>
</file>

<file path=customXml/itemProps7.xml><?xml version="1.0" encoding="utf-8"?>
<ds:datastoreItem xmlns:ds="http://schemas.openxmlformats.org/officeDocument/2006/customXml" ds:itemID="{A6C7F80E-F2E2-4F8A-BE44-C1675757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23</Pages>
  <Words>11252</Words>
  <Characters>64138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75240</CharactersWithSpaces>
  <SharedDoc>false</SharedDoc>
  <HLinks>
    <vt:vector size="36" baseType="variant">
      <vt:variant>
        <vt:i4>983055</vt:i4>
      </vt:variant>
      <vt:variant>
        <vt:i4>12</vt:i4>
      </vt:variant>
      <vt:variant>
        <vt:i4>0</vt:i4>
      </vt:variant>
      <vt:variant>
        <vt:i4>5</vt:i4>
      </vt:variant>
      <vt:variant>
        <vt:lpwstr>https://www.ohchr.org/sites/default/files/documents/hrbodies/crpd/statements/update-description-open_letter_add_prot_ovi_conv-15_01-2025.docx</vt:lpwstr>
      </vt:variant>
      <vt:variant>
        <vt:lpwstr/>
      </vt:variant>
      <vt:variant>
        <vt:i4>4784236</vt:i4>
      </vt:variant>
      <vt:variant>
        <vt:i4>9</vt:i4>
      </vt:variant>
      <vt:variant>
        <vt:i4>0</vt:i4>
      </vt:variant>
      <vt:variant>
        <vt:i4>5</vt:i4>
      </vt:variant>
      <vt:variant>
        <vt:lpwstr>https://tbinternet.ohchr.org/_layouts/15/treatybodyexternal/Download.aspx?symbolno=CRPD/C/GC/1&amp;Lang=en</vt:lpwstr>
      </vt:variant>
      <vt:variant>
        <vt:lpwstr/>
      </vt:variant>
      <vt:variant>
        <vt:i4>4849772</vt:i4>
      </vt:variant>
      <vt:variant>
        <vt:i4>6</vt:i4>
      </vt:variant>
      <vt:variant>
        <vt:i4>0</vt:i4>
      </vt:variant>
      <vt:variant>
        <vt:i4>5</vt:i4>
      </vt:variant>
      <vt:variant>
        <vt:lpwstr>https://tbinternet.ohchr.org/_layouts/15/treatybodyexternal/Download.aspx?symbolno=CRPD/C/GC/2&amp;Lang=en</vt:lpwstr>
      </vt:variant>
      <vt:variant>
        <vt:lpwstr/>
      </vt:variant>
      <vt:variant>
        <vt:i4>458839</vt:i4>
      </vt:variant>
      <vt:variant>
        <vt:i4>3</vt:i4>
      </vt:variant>
      <vt:variant>
        <vt:i4>0</vt:i4>
      </vt:variant>
      <vt:variant>
        <vt:i4>5</vt:i4>
      </vt:variant>
      <vt:variant>
        <vt:lpwstr>https://oeil.secure.europarl.europa.eu/oeil/popups/ficheprocedure.do?lang=en&amp;reference=2023/2728(RSP)</vt:lpwstr>
      </vt:variant>
      <vt:variant>
        <vt:lpwstr/>
      </vt:variant>
      <vt:variant>
        <vt:i4>5570631</vt:i4>
      </vt:variant>
      <vt:variant>
        <vt:i4>0</vt:i4>
      </vt:variant>
      <vt:variant>
        <vt:i4>0</vt:i4>
      </vt:variant>
      <vt:variant>
        <vt:i4>5</vt:i4>
      </vt:variant>
      <vt:variant>
        <vt:lpwstr>https://www.consilium.europa.eu/en/press/press-releases/2024/05/07/strengthening-the-role-of-equality-bodies-across-the-eu-council-adopts-two-directives/</vt:lpwstr>
      </vt:variant>
      <vt:variant>
        <vt:lpwstr/>
      </vt:variant>
      <vt:variant>
        <vt:i4>6160406</vt:i4>
      </vt:variant>
      <vt:variant>
        <vt:i4>0</vt:i4>
      </vt:variant>
      <vt:variant>
        <vt:i4>0</vt:i4>
      </vt:variant>
      <vt:variant>
        <vt:i4>5</vt:i4>
      </vt:variant>
      <vt:variant>
        <vt:lpwstr>https://ec.europa.eu/eurostat/web/disability/database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CRPD/C/EST/CO/R.1</dc:title>
  <dc:subject/>
  <dc:creator>Catherinne Pedreros</dc:creator>
  <cp:keywords>, docId:640A340DC7E7BF81A9833B9C66BCBE6D</cp:keywords>
  <dc:description/>
  <cp:lastModifiedBy>Robert OUKO</cp:lastModifiedBy>
  <cp:revision>5</cp:revision>
  <dcterms:created xsi:type="dcterms:W3CDTF">2025-03-31T12:27:00Z</dcterms:created>
  <dcterms:modified xsi:type="dcterms:W3CDTF">2025-04-01T13:35:00Z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2025-03-26T17:33:21Z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fdbde73b-0975-4879-9dac-60419e205de0</vt:lpwstr>
  </property>
  <property fmtid="{D5CDD505-2E9C-101B-9397-08002B2CF9AE}" pid="8" name="MSIP_Label_6bd9ddd1-4d20-43f6-abfa-fc3c07406f94_ContentBits">
    <vt:lpwstr>0</vt:lpwstr>
  </property>
  <property fmtid="{D5CDD505-2E9C-101B-9397-08002B2CF9AE}" pid="9" name="ContentTypeId">
    <vt:lpwstr>0x010100BA90EF7695DDD6468D86AFF65ECDCF5F</vt:lpwstr>
  </property>
  <property fmtid="{D5CDD505-2E9C-101B-9397-08002B2CF9AE}" pid="10" name="anum">
    <vt:lpwstr>[NUMBER]</vt:lpwstr>
  </property>
  <property fmtid="{D5CDD505-2E9C-101B-9397-08002B2CF9AE}" pid="11" name="atitle">
    <vt:lpwstr>[Title]</vt:lpwstr>
  </property>
  <property fmtid="{D5CDD505-2E9C-101B-9397-08002B2CF9AE}" pid="12" name="Author">
    <vt:lpwstr/>
  </property>
  <property fmtid="{D5CDD505-2E9C-101B-9397-08002B2CF9AE}" pid="13" name="bar">
    <vt:lpwstr/>
  </property>
  <property fmtid="{D5CDD505-2E9C-101B-9397-08002B2CF9AE}" pid="14" name="category">
    <vt:lpwstr>CRPD</vt:lpwstr>
  </property>
  <property fmtid="{D5CDD505-2E9C-101B-9397-08002B2CF9AE}" pid="15" name="count">
    <vt:lpwstr>Estonia</vt:lpwstr>
  </property>
  <property fmtid="{D5CDD505-2E9C-101B-9397-08002B2CF9AE}" pid="16" name="countw">
    <vt:lpwstr>Estonia</vt:lpwstr>
  </property>
  <property fmtid="{D5CDD505-2E9C-101B-9397-08002B2CF9AE}" pid="17" name="countwd">
    <vt:lpwstr>Estonia</vt:lpwstr>
  </property>
  <property fmtid="{D5CDD505-2E9C-101B-9397-08002B2CF9AE}" pid="18" name="date">
    <vt:lpwstr>4 February 2020</vt:lpwstr>
  </property>
  <property fmtid="{D5CDD505-2E9C-101B-9397-08002B2CF9AE}" pid="19" name="Date-Generated">
    <vt:filetime>2020-02-04T15:47:41Z</vt:filetime>
  </property>
  <property fmtid="{D5CDD505-2E9C-101B-9397-08002B2CF9AE}" pid="20" name="dist">
    <vt:lpwstr>Restricted</vt:lpwstr>
  </property>
  <property fmtid="{D5CDD505-2E9C-101B-9397-08002B2CF9AE}" pid="21" name="doctype">
    <vt:lpwstr>Draft</vt:lpwstr>
  </property>
  <property fmtid="{D5CDD505-2E9C-101B-9397-08002B2CF9AE}" pid="22" name="Entity">
    <vt:lpwstr>Concluding Observations</vt:lpwstr>
  </property>
  <property fmtid="{D5CDD505-2E9C-101B-9397-08002B2CF9AE}" pid="23" name="gdoc">
    <vt:lpwstr/>
  </property>
  <property fmtid="{D5CDD505-2E9C-101B-9397-08002B2CF9AE}" pid="24" name="gdocf">
    <vt:lpwstr/>
  </property>
  <property fmtid="{D5CDD505-2E9C-101B-9397-08002B2CF9AE}" pid="25" name="olang">
    <vt:lpwstr>English</vt:lpwstr>
  </property>
  <property fmtid="{D5CDD505-2E9C-101B-9397-08002B2CF9AE}" pid="26" name="Org">
    <vt:lpwstr>OHCHR</vt:lpwstr>
  </property>
  <property fmtid="{D5CDD505-2E9C-101B-9397-08002B2CF9AE}" pid="27" name="prep">
    <vt:lpwstr>initial report of Estonia</vt:lpwstr>
  </property>
  <property fmtid="{D5CDD505-2E9C-101B-9397-08002B2CF9AE}" pid="28" name="preps">
    <vt:lpwstr>initial report of Estonia</vt:lpwstr>
  </property>
  <property fmtid="{D5CDD505-2E9C-101B-9397-08002B2CF9AE}" pid="29" name="prepw">
    <vt:lpwstr>initial report</vt:lpwstr>
  </property>
  <property fmtid="{D5CDD505-2E9C-101B-9397-08002B2CF9AE}" pid="30" name="prepwc">
    <vt:lpwstr>Initial report</vt:lpwstr>
  </property>
  <property fmtid="{D5CDD505-2E9C-101B-9397-08002B2CF9AE}" pid="31" name="prepws">
    <vt:lpwstr>initial report</vt:lpwstr>
  </property>
  <property fmtid="{D5CDD505-2E9C-101B-9397-08002B2CF9AE}" pid="32" name="sdate">
    <vt:lpwstr>[Start-End Dates]</vt:lpwstr>
  </property>
  <property fmtid="{D5CDD505-2E9C-101B-9397-08002B2CF9AE}" pid="33" name="snum">
    <vt:lpwstr>[NUMBER]</vt:lpwstr>
  </property>
  <property fmtid="{D5CDD505-2E9C-101B-9397-08002B2CF9AE}" pid="34" name="stitle">
    <vt:lpwstr>[Title]</vt:lpwstr>
  </property>
  <property fmtid="{D5CDD505-2E9C-101B-9397-08002B2CF9AE}" pid="35" name="sym1">
    <vt:lpwstr>C/EST/CO/R.1</vt:lpwstr>
  </property>
  <property fmtid="{D5CDD505-2E9C-101B-9397-08002B2CF9AE}" pid="36" name="symh">
    <vt:lpwstr>CRPD/C/EST/CO/R.1</vt:lpwstr>
  </property>
  <property fmtid="{D5CDD505-2E9C-101B-9397-08002B2CF9AE}" pid="37" name="Title">
    <vt:lpwstr>CRPD/C/EST/CO/R.1</vt:lpwstr>
  </property>
  <property fmtid="{D5CDD505-2E9C-101B-9397-08002B2CF9AE}" pid="38" name="tlang">
    <vt:lpwstr/>
  </property>
  <property fmtid="{D5CDD505-2E9C-101B-9397-08002B2CF9AE}" pid="39" name="virs">
    <vt:lpwstr>English, Russian and Spanish only</vt:lpwstr>
  </property>
  <property fmtid="{D5CDD505-2E9C-101B-9397-08002B2CF9AE}" pid="40" name="Order">
    <vt:r8>100</vt:r8>
  </property>
  <property fmtid="{D5CDD505-2E9C-101B-9397-08002B2CF9AE}" pid="41" name="MediaServiceImageTags">
    <vt:lpwstr/>
  </property>
  <property fmtid="{D5CDD505-2E9C-101B-9397-08002B2CF9AE}" pid="43" name="Document Date">
    <vt:filetime>2025-03-27T07:11:36Z</vt:filetime>
  </property>
</Properties>
</file>