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7B5E7" w14:textId="77777777" w:rsidR="00FF3AC6" w:rsidRDefault="00FF3AC6" w:rsidP="00023AC7">
      <w:pPr>
        <w:spacing w:before="240" w:after="240"/>
        <w:rPr>
          <w:rStyle w:val="BookTitle"/>
          <w:rFonts w:cs="Arial"/>
          <w:sz w:val="24"/>
          <w:szCs w:val="24"/>
          <w:lang w:val="en-US"/>
        </w:rPr>
      </w:pPr>
    </w:p>
    <w:p w14:paraId="21DA4DF7" w14:textId="5D9002A0" w:rsidR="006D6A16" w:rsidRPr="00711662" w:rsidRDefault="00D25D09" w:rsidP="006D6A16">
      <w:pPr>
        <w:spacing w:before="240" w:after="240"/>
        <w:jc w:val="right"/>
        <w:rPr>
          <w:rStyle w:val="BookTitle"/>
          <w:rFonts w:cs="Arial"/>
          <w:sz w:val="24"/>
          <w:szCs w:val="24"/>
          <w:lang w:val="fr-BE"/>
        </w:rPr>
      </w:pPr>
      <w:r w:rsidRPr="00711662">
        <w:rPr>
          <w:rStyle w:val="BookTitle"/>
          <w:rFonts w:cs="Arial"/>
          <w:sz w:val="24"/>
          <w:szCs w:val="24"/>
          <w:lang w:val="fr-BE"/>
        </w:rPr>
        <w:t xml:space="preserve">   </w:t>
      </w:r>
      <w:r w:rsidRPr="00711662">
        <w:rPr>
          <w:rStyle w:val="BookTitle"/>
          <w:rFonts w:cs="Arial"/>
          <w:sz w:val="24"/>
          <w:szCs w:val="24"/>
          <w:lang w:val="fr-BE"/>
        </w:rPr>
        <w:tab/>
      </w:r>
      <w:r w:rsidR="00265F0A" w:rsidRPr="00711662">
        <w:rPr>
          <w:rStyle w:val="BookTitle"/>
          <w:rFonts w:cs="Arial"/>
          <w:sz w:val="24"/>
          <w:szCs w:val="24"/>
          <w:lang w:val="fr-BE"/>
        </w:rPr>
        <w:t>DOC-AGA-25-06-04</w:t>
      </w:r>
    </w:p>
    <w:p w14:paraId="4EEDB7B3" w14:textId="77777777" w:rsidR="00617C22" w:rsidRPr="00711662" w:rsidRDefault="00617C22" w:rsidP="00617C22">
      <w:pPr>
        <w:pStyle w:val="IntenseQuote"/>
        <w:pBdr>
          <w:top w:val="none" w:sz="0" w:space="0" w:color="auto"/>
          <w:bottom w:val="none" w:sz="0" w:space="0" w:color="auto"/>
        </w:pBdr>
        <w:tabs>
          <w:tab w:val="left" w:pos="7230"/>
          <w:tab w:val="left" w:pos="7371"/>
        </w:tabs>
        <w:ind w:left="0" w:right="0" w:firstLine="1010"/>
        <w:rPr>
          <w:b/>
          <w:bCs/>
          <w:i w:val="0"/>
          <w:iCs w:val="0"/>
          <w:color w:val="0A77B3"/>
          <w:sz w:val="28"/>
          <w:szCs w:val="28"/>
          <w:lang w:val="fr-BE"/>
        </w:rPr>
      </w:pPr>
      <w:r w:rsidRPr="00711662">
        <w:rPr>
          <w:b/>
          <w:bCs/>
          <w:i w:val="0"/>
          <w:iCs w:val="0"/>
          <w:color w:val="0A77B3"/>
          <w:sz w:val="28"/>
          <w:szCs w:val="28"/>
          <w:lang w:val="fr-BE"/>
        </w:rPr>
        <w:t xml:space="preserve">             </w:t>
      </w:r>
    </w:p>
    <w:p w14:paraId="10AD25FF" w14:textId="6EADD06C" w:rsidR="006D6A16" w:rsidRPr="00711662" w:rsidRDefault="00265F0A" w:rsidP="00023AC7">
      <w:pPr>
        <w:pStyle w:val="Title"/>
        <w:rPr>
          <w:lang w:val="fr-BE"/>
        </w:rPr>
      </w:pPr>
      <w:r w:rsidRPr="00711662">
        <w:rPr>
          <w:lang w:val="fr-BE"/>
        </w:rPr>
        <w:t>Mises à jour de la politique</w:t>
      </w:r>
    </w:p>
    <w:p w14:paraId="5D97648D" w14:textId="4392F9CF" w:rsidR="00E0253A" w:rsidRPr="00711662" w:rsidRDefault="0002460E" w:rsidP="0002460E">
      <w:pPr>
        <w:pStyle w:val="IntenseQuote"/>
        <w:pBdr>
          <w:bottom w:val="single" w:sz="4" w:space="0" w:color="auto"/>
        </w:pBdr>
        <w:tabs>
          <w:tab w:val="left" w:pos="7230"/>
          <w:tab w:val="left" w:pos="7371"/>
        </w:tabs>
        <w:ind w:left="0" w:right="0" w:firstLine="1010"/>
        <w:rPr>
          <w:rFonts w:cs="Arial"/>
          <w:b/>
          <w:bCs/>
          <w:i w:val="0"/>
          <w:sz w:val="24"/>
          <w:szCs w:val="24"/>
          <w:lang w:val="fr-BE"/>
        </w:rPr>
      </w:pPr>
      <w:r w:rsidRPr="00711662">
        <w:rPr>
          <w:rStyle w:val="Strong"/>
          <w:rFonts w:cs="Arial"/>
          <w:i w:val="0"/>
          <w:szCs w:val="24"/>
          <w:lang w:val="fr-BE"/>
        </w:rPr>
        <w:t xml:space="preserve">                  </w:t>
      </w:r>
      <w:r w:rsidRPr="00711662">
        <w:rPr>
          <w:rStyle w:val="Strong"/>
          <w:rFonts w:cs="Arial"/>
          <w:i w:val="0"/>
          <w:sz w:val="24"/>
          <w:szCs w:val="24"/>
          <w:lang w:val="fr-BE"/>
        </w:rPr>
        <w:t xml:space="preserve">Document d'information </w:t>
      </w:r>
      <w:r w:rsidR="00265F0A" w:rsidRPr="00711662">
        <w:rPr>
          <w:rStyle w:val="Strong"/>
          <w:rFonts w:cs="Arial"/>
          <w:i w:val="0"/>
          <w:sz w:val="24"/>
          <w:szCs w:val="24"/>
          <w:lang w:val="fr-BE"/>
        </w:rPr>
        <w:t xml:space="preserve">et de </w:t>
      </w:r>
      <w:r w:rsidRPr="00711662">
        <w:rPr>
          <w:rStyle w:val="Strong"/>
          <w:rFonts w:cs="Arial"/>
          <w:i w:val="0"/>
          <w:sz w:val="24"/>
          <w:szCs w:val="24"/>
          <w:lang w:val="fr-BE"/>
        </w:rPr>
        <w:t xml:space="preserve">discussion </w:t>
      </w:r>
    </w:p>
    <w:p w14:paraId="01221A08" w14:textId="77777777" w:rsidR="00265F0A" w:rsidRPr="00711662" w:rsidRDefault="00265F0A" w:rsidP="00D90CB9">
      <w:pPr>
        <w:pStyle w:val="ListParagraph"/>
        <w:spacing w:line="256" w:lineRule="auto"/>
        <w:ind w:left="0"/>
        <w:rPr>
          <w:lang w:val="fr-BE"/>
        </w:rPr>
      </w:pPr>
    </w:p>
    <w:p w14:paraId="485372EE" w14:textId="77777777" w:rsidR="00265F0A" w:rsidRPr="00711662" w:rsidRDefault="00265F0A" w:rsidP="00265F0A">
      <w:pPr>
        <w:keepNext/>
        <w:keepLines/>
        <w:spacing w:before="200" w:after="240"/>
        <w:outlineLvl w:val="1"/>
        <w:rPr>
          <w:b/>
          <w:bCs/>
          <w:color w:val="0A77B3"/>
          <w:sz w:val="24"/>
          <w:szCs w:val="26"/>
          <w:lang w:val="fr-BE"/>
        </w:rPr>
      </w:pPr>
      <w:bookmarkStart w:id="0" w:name="_Toc179464859"/>
      <w:bookmarkStart w:id="1" w:name="_Toc180341179"/>
      <w:bookmarkStart w:id="2" w:name="_Toc180402111"/>
      <w:bookmarkStart w:id="3" w:name="_Toc199267771"/>
      <w:bookmarkStart w:id="4" w:name="_Toc199267917"/>
      <w:bookmarkStart w:id="5" w:name="_Toc199268262"/>
      <w:r w:rsidRPr="00711662">
        <w:rPr>
          <w:b/>
          <w:bCs/>
          <w:color w:val="0A77B3"/>
          <w:sz w:val="24"/>
          <w:szCs w:val="26"/>
          <w:lang w:val="fr-BE"/>
        </w:rPr>
        <w:t>Objectif de ce point</w:t>
      </w:r>
      <w:bookmarkEnd w:id="0"/>
      <w:bookmarkEnd w:id="1"/>
      <w:bookmarkEnd w:id="2"/>
      <w:bookmarkEnd w:id="3"/>
      <w:bookmarkEnd w:id="4"/>
      <w:bookmarkEnd w:id="5"/>
    </w:p>
    <w:p w14:paraId="446CECE0" w14:textId="77777777" w:rsidR="00265F0A" w:rsidRPr="00711662" w:rsidRDefault="00265F0A" w:rsidP="00265F0A">
      <w:pPr>
        <w:spacing w:line="360" w:lineRule="auto"/>
        <w:rPr>
          <w:sz w:val="24"/>
          <w:szCs w:val="24"/>
          <w:lang w:val="fr-BE"/>
        </w:rPr>
      </w:pPr>
      <w:r w:rsidRPr="00711662">
        <w:rPr>
          <w:sz w:val="24"/>
          <w:szCs w:val="24"/>
          <w:lang w:val="fr-BE"/>
        </w:rPr>
        <w:t>L'objectif de ce document est de donner une vue d'ensemble des campagnes politiques et de plaidoyer actuelles, à venir et les plus importantes du FEPH. Il s'agit notamment des procédures législatives en cours au niveau de l'UE et des principales campagnes du mouvement européen des personnes handicapées.</w:t>
      </w:r>
    </w:p>
    <w:p w14:paraId="1883A469" w14:textId="7EC88F79" w:rsidR="00265F0A" w:rsidRPr="00711662" w:rsidRDefault="1B476461" w:rsidP="3D2840AC">
      <w:pPr>
        <w:spacing w:line="360" w:lineRule="auto"/>
        <w:rPr>
          <w:sz w:val="24"/>
          <w:szCs w:val="24"/>
          <w:lang w:val="fr-BE"/>
        </w:rPr>
      </w:pPr>
      <w:r w:rsidRPr="00711662">
        <w:rPr>
          <w:sz w:val="24"/>
          <w:szCs w:val="24"/>
          <w:lang w:val="fr-BE"/>
        </w:rPr>
        <w:t>Ce document de mise à jour des politiques comprend une nouvelle section qui met en évidence la législation récemment adoptée, le délai dont vous disposez pour suivre la transposition et la mise en œuvre, ainsi que les documents d'appui du FE</w:t>
      </w:r>
      <w:r w:rsidR="00711662" w:rsidRPr="00711662">
        <w:rPr>
          <w:sz w:val="24"/>
          <w:szCs w:val="24"/>
          <w:lang w:val="fr-BE"/>
        </w:rPr>
        <w:t>PH</w:t>
      </w:r>
      <w:r w:rsidRPr="00711662">
        <w:rPr>
          <w:sz w:val="24"/>
          <w:szCs w:val="24"/>
          <w:lang w:val="fr-BE"/>
        </w:rPr>
        <w:t xml:space="preserve"> lorsqu'ils sont disponibles.</w:t>
      </w:r>
    </w:p>
    <w:p w14:paraId="0D471741" w14:textId="05E16016" w:rsidR="00265F0A" w:rsidRPr="00711662" w:rsidRDefault="00265F0A" w:rsidP="00265F0A">
      <w:pPr>
        <w:keepNext/>
        <w:keepLines/>
        <w:spacing w:before="200" w:after="240"/>
        <w:outlineLvl w:val="1"/>
        <w:rPr>
          <w:b/>
          <w:bCs/>
          <w:color w:val="0A77B3"/>
          <w:sz w:val="24"/>
          <w:szCs w:val="26"/>
          <w:lang w:val="fr-BE"/>
        </w:rPr>
      </w:pPr>
      <w:bookmarkStart w:id="6" w:name="_Toc179464860"/>
      <w:bookmarkStart w:id="7" w:name="_Toc180341180"/>
      <w:bookmarkStart w:id="8" w:name="_Toc180402112"/>
      <w:bookmarkStart w:id="9" w:name="_Toc199267772"/>
      <w:bookmarkStart w:id="10" w:name="_Toc199267918"/>
      <w:bookmarkStart w:id="11" w:name="_Toc199268263"/>
      <w:r w:rsidRPr="00711662">
        <w:rPr>
          <w:b/>
          <w:bCs/>
          <w:color w:val="0A77B3"/>
          <w:sz w:val="24"/>
          <w:szCs w:val="26"/>
          <w:lang w:val="fr-BE"/>
        </w:rPr>
        <w:t xml:space="preserve">Questions aux </w:t>
      </w:r>
      <w:r w:rsidR="00B05CB5" w:rsidRPr="00711662">
        <w:rPr>
          <w:b/>
          <w:bCs/>
          <w:color w:val="0A77B3"/>
          <w:sz w:val="24"/>
          <w:szCs w:val="26"/>
          <w:lang w:val="fr-BE"/>
        </w:rPr>
        <w:t>membres du FE</w:t>
      </w:r>
      <w:bookmarkEnd w:id="6"/>
      <w:bookmarkEnd w:id="7"/>
      <w:bookmarkEnd w:id="8"/>
      <w:r w:rsidR="00711662">
        <w:rPr>
          <w:b/>
          <w:bCs/>
          <w:color w:val="0A77B3"/>
          <w:sz w:val="24"/>
          <w:szCs w:val="26"/>
          <w:lang w:val="fr-BE"/>
        </w:rPr>
        <w:t>PH</w:t>
      </w:r>
      <w:r w:rsidR="00B05CB5" w:rsidRPr="00711662">
        <w:rPr>
          <w:b/>
          <w:bCs/>
          <w:color w:val="0A77B3"/>
          <w:sz w:val="24"/>
          <w:szCs w:val="26"/>
          <w:lang w:val="fr-BE"/>
        </w:rPr>
        <w:t xml:space="preserve"> :</w:t>
      </w:r>
      <w:bookmarkEnd w:id="9"/>
      <w:bookmarkEnd w:id="10"/>
      <w:bookmarkEnd w:id="11"/>
    </w:p>
    <w:p w14:paraId="7B53DA8C" w14:textId="77777777" w:rsidR="00265F0A" w:rsidRPr="00711662" w:rsidRDefault="00265F0A" w:rsidP="00265F0A">
      <w:pPr>
        <w:numPr>
          <w:ilvl w:val="0"/>
          <w:numId w:val="29"/>
        </w:numPr>
        <w:spacing w:line="360" w:lineRule="auto"/>
        <w:rPr>
          <w:sz w:val="24"/>
          <w:szCs w:val="24"/>
          <w:lang w:val="fr-BE"/>
        </w:rPr>
      </w:pPr>
      <w:r w:rsidRPr="00711662">
        <w:rPr>
          <w:sz w:val="24"/>
          <w:szCs w:val="24"/>
          <w:lang w:val="fr-BE"/>
        </w:rPr>
        <w:t>Êtes-vous d'accord avec la liste des campagnes ci-dessous ainsi qu'avec l'approche d'EDF à leur égard ?</w:t>
      </w:r>
    </w:p>
    <w:p w14:paraId="5AF42711" w14:textId="4A30D4E8" w:rsidR="00265F0A" w:rsidRPr="00711662" w:rsidRDefault="00265F0A" w:rsidP="00265F0A">
      <w:pPr>
        <w:numPr>
          <w:ilvl w:val="0"/>
          <w:numId w:val="29"/>
        </w:numPr>
        <w:spacing w:line="360" w:lineRule="auto"/>
        <w:rPr>
          <w:sz w:val="24"/>
          <w:szCs w:val="24"/>
          <w:lang w:val="fr-BE"/>
        </w:rPr>
      </w:pPr>
      <w:r w:rsidRPr="00711662">
        <w:rPr>
          <w:sz w:val="24"/>
          <w:szCs w:val="24"/>
          <w:lang w:val="fr-BE"/>
        </w:rPr>
        <w:t>Y a-t-il d'autres développements politiques importants que le FE</w:t>
      </w:r>
      <w:r w:rsidR="00711662">
        <w:rPr>
          <w:sz w:val="24"/>
          <w:szCs w:val="24"/>
          <w:lang w:val="fr-BE"/>
        </w:rPr>
        <w:t>PH</w:t>
      </w:r>
      <w:r w:rsidRPr="00711662">
        <w:rPr>
          <w:sz w:val="24"/>
          <w:szCs w:val="24"/>
          <w:lang w:val="fr-BE"/>
        </w:rPr>
        <w:t>devrait suivre ?</w:t>
      </w:r>
    </w:p>
    <w:p w14:paraId="638B9AE7" w14:textId="77777777" w:rsidR="00265F0A" w:rsidRPr="00711662" w:rsidRDefault="00265F0A" w:rsidP="00265F0A">
      <w:pPr>
        <w:numPr>
          <w:ilvl w:val="0"/>
          <w:numId w:val="29"/>
        </w:numPr>
        <w:spacing w:line="360" w:lineRule="auto"/>
        <w:rPr>
          <w:sz w:val="24"/>
          <w:szCs w:val="24"/>
          <w:lang w:val="fr-BE"/>
        </w:rPr>
      </w:pPr>
      <w:r w:rsidRPr="00711662">
        <w:rPr>
          <w:sz w:val="24"/>
          <w:szCs w:val="24"/>
          <w:lang w:val="fr-BE"/>
        </w:rPr>
        <w:t>Comment le FEPH peut-il vous aider à participer à la liste d'activités politiques ci-dessous ?</w:t>
      </w:r>
    </w:p>
    <w:p w14:paraId="4FAD3B4E" w14:textId="77777777" w:rsidR="00F45FF2" w:rsidRPr="00F45FF2" w:rsidRDefault="00E124E7" w:rsidP="002C076E">
      <w:pPr>
        <w:pStyle w:val="TOCHeading"/>
        <w:rPr>
          <w:b w:val="0"/>
          <w:bCs w:val="0"/>
          <w:noProof/>
        </w:rPr>
      </w:pPr>
      <w:r w:rsidRPr="00E124E7">
        <w:rPr>
          <w:rFonts w:ascii="Arial" w:hAnsi="Arial" w:cs="Arial"/>
          <w:b w:val="0"/>
          <w:bCs w:val="0"/>
        </w:rPr>
        <w:t xml:space="preserve">Table des </w:t>
      </w:r>
      <w:r w:rsidR="002C076E" w:rsidRPr="00E124E7">
        <w:rPr>
          <w:rFonts w:ascii="Arial" w:hAnsi="Arial" w:cs="Arial"/>
          <w:b w:val="0"/>
          <w:bCs w:val="0"/>
        </w:rPr>
        <w:t>matières</w:t>
      </w:r>
      <w:r w:rsidR="002C076E" w:rsidRPr="00E124E7">
        <w:rPr>
          <w:rFonts w:ascii="Arial" w:hAnsi="Arial" w:cs="Arial"/>
          <w:b w:val="0"/>
          <w:bCs w:val="0"/>
        </w:rPr>
        <w:fldChar w:fldCharType="begin"/>
      </w:r>
      <w:r w:rsidR="002C076E" w:rsidRPr="00E124E7">
        <w:rPr>
          <w:rFonts w:ascii="Arial" w:hAnsi="Arial" w:cs="Arial"/>
          <w:b w:val="0"/>
          <w:bCs w:val="0"/>
        </w:rPr>
        <w:instrText xml:space="preserve"> TOC \o "1-3" \h \z \u </w:instrText>
      </w:r>
      <w:r w:rsidR="002C076E" w:rsidRPr="00E124E7">
        <w:rPr>
          <w:rFonts w:ascii="Arial" w:hAnsi="Arial" w:cs="Arial"/>
          <w:b w:val="0"/>
          <w:bCs w:val="0"/>
        </w:rPr>
        <w:fldChar w:fldCharType="separate"/>
      </w:r>
    </w:p>
    <w:p w14:paraId="205DD096" w14:textId="7E8CA9F9" w:rsidR="00F45FF2" w:rsidRPr="00F45FF2" w:rsidRDefault="00F45FF2">
      <w:pPr>
        <w:pStyle w:val="TOC1"/>
        <w:tabs>
          <w:tab w:val="right" w:leader="dot" w:pos="9980"/>
        </w:tabs>
        <w:rPr>
          <w:rFonts w:ascii="Aptos" w:eastAsia="Yu Mincho" w:hAnsi="Aptos" w:cs="Arial"/>
          <w:noProof/>
          <w:kern w:val="2"/>
          <w:szCs w:val="24"/>
          <w:lang w:bidi="ar-SA"/>
        </w:rPr>
      </w:pPr>
      <w:hyperlink w:anchor="_Toc199268264" w:history="1">
        <w:r w:rsidRPr="00F45FF2">
          <w:rPr>
            <w:rStyle w:val="Hyperlink"/>
            <w:noProof/>
          </w:rPr>
          <w:t>Législation et politiques en préparation au niveau de l'UE</w:t>
        </w:r>
        <w:r w:rsidRPr="00F45FF2">
          <w:rPr>
            <w:noProof/>
            <w:webHidden/>
          </w:rPr>
          <w:tab/>
        </w:r>
        <w:r w:rsidRPr="00F45FF2">
          <w:rPr>
            <w:noProof/>
            <w:webHidden/>
          </w:rPr>
          <w:fldChar w:fldCharType="begin"/>
        </w:r>
        <w:r w:rsidRPr="00F45FF2">
          <w:rPr>
            <w:noProof/>
            <w:webHidden/>
          </w:rPr>
          <w:instrText xml:space="preserve"> PAGEREF _Toc199268264 \h </w:instrText>
        </w:r>
        <w:r w:rsidRPr="00F45FF2">
          <w:rPr>
            <w:noProof/>
            <w:webHidden/>
          </w:rPr>
        </w:r>
        <w:r w:rsidRPr="00F45FF2">
          <w:rPr>
            <w:noProof/>
            <w:webHidden/>
          </w:rPr>
          <w:fldChar w:fldCharType="separate"/>
        </w:r>
        <w:r w:rsidRPr="00F45FF2">
          <w:rPr>
            <w:noProof/>
            <w:webHidden/>
          </w:rPr>
          <w:t>3</w:t>
        </w:r>
        <w:r w:rsidRPr="00F45FF2">
          <w:rPr>
            <w:noProof/>
            <w:webHidden/>
          </w:rPr>
          <w:fldChar w:fldCharType="end"/>
        </w:r>
      </w:hyperlink>
    </w:p>
    <w:p w14:paraId="4A17D352" w14:textId="57B3FFC8" w:rsidR="00F45FF2" w:rsidRPr="00F45FF2" w:rsidRDefault="00F45FF2">
      <w:pPr>
        <w:pStyle w:val="TOC1"/>
        <w:tabs>
          <w:tab w:val="right" w:leader="dot" w:pos="9980"/>
        </w:tabs>
        <w:rPr>
          <w:rFonts w:ascii="Aptos" w:eastAsia="Yu Mincho" w:hAnsi="Aptos" w:cs="Arial"/>
          <w:noProof/>
          <w:kern w:val="2"/>
          <w:szCs w:val="24"/>
          <w:lang w:bidi="ar-SA"/>
        </w:rPr>
      </w:pPr>
      <w:hyperlink w:anchor="_Toc199268265" w:history="1">
        <w:r w:rsidRPr="00F45FF2">
          <w:rPr>
            <w:rStyle w:val="Hyperlink"/>
            <w:noProof/>
          </w:rPr>
          <w:t>Stratégie européenne en matière de droits des personnes handicapées 2021-2030</w:t>
        </w:r>
        <w:r w:rsidRPr="00F45FF2">
          <w:rPr>
            <w:noProof/>
            <w:webHidden/>
          </w:rPr>
          <w:tab/>
        </w:r>
        <w:r w:rsidRPr="00F45FF2">
          <w:rPr>
            <w:noProof/>
            <w:webHidden/>
          </w:rPr>
          <w:fldChar w:fldCharType="begin"/>
        </w:r>
        <w:r w:rsidRPr="00F45FF2">
          <w:rPr>
            <w:noProof/>
            <w:webHidden/>
          </w:rPr>
          <w:instrText xml:space="preserve"> PAGEREF _Toc199268265 \h </w:instrText>
        </w:r>
        <w:r w:rsidRPr="00F45FF2">
          <w:rPr>
            <w:noProof/>
            <w:webHidden/>
          </w:rPr>
        </w:r>
        <w:r w:rsidRPr="00F45FF2">
          <w:rPr>
            <w:noProof/>
            <w:webHidden/>
          </w:rPr>
          <w:fldChar w:fldCharType="separate"/>
        </w:r>
        <w:r w:rsidRPr="00F45FF2">
          <w:rPr>
            <w:noProof/>
            <w:webHidden/>
          </w:rPr>
          <w:t>3</w:t>
        </w:r>
        <w:r w:rsidRPr="00F45FF2">
          <w:rPr>
            <w:noProof/>
            <w:webHidden/>
          </w:rPr>
          <w:fldChar w:fldCharType="end"/>
        </w:r>
      </w:hyperlink>
    </w:p>
    <w:p w14:paraId="0F12DFE9" w14:textId="6D5660CD" w:rsidR="00F45FF2" w:rsidRPr="00F45FF2" w:rsidRDefault="00F45FF2">
      <w:pPr>
        <w:pStyle w:val="TOC2"/>
        <w:rPr>
          <w:rFonts w:ascii="Aptos" w:eastAsia="Yu Mincho" w:hAnsi="Aptos" w:cs="Arial"/>
          <w:kern w:val="2"/>
          <w:szCs w:val="24"/>
          <w:lang w:bidi="ar-SA"/>
        </w:rPr>
      </w:pPr>
      <w:hyperlink w:anchor="_Toc199268266" w:history="1">
        <w:r w:rsidRPr="00F45FF2">
          <w:rPr>
            <w:rStyle w:val="Hyperlink"/>
          </w:rPr>
          <w:t>Carte d'invalidité</w:t>
        </w:r>
        <w:r w:rsidRPr="00F45FF2">
          <w:rPr>
            <w:webHidden/>
          </w:rPr>
          <w:tab/>
        </w:r>
        <w:r w:rsidRPr="00F45FF2">
          <w:rPr>
            <w:webHidden/>
          </w:rPr>
          <w:fldChar w:fldCharType="begin"/>
        </w:r>
        <w:r w:rsidRPr="00F45FF2">
          <w:rPr>
            <w:webHidden/>
          </w:rPr>
          <w:instrText xml:space="preserve"> PAGEREF _Toc199268266 \h </w:instrText>
        </w:r>
        <w:r w:rsidRPr="00F45FF2">
          <w:rPr>
            <w:webHidden/>
          </w:rPr>
        </w:r>
        <w:r w:rsidRPr="00F45FF2">
          <w:rPr>
            <w:webHidden/>
          </w:rPr>
          <w:fldChar w:fldCharType="separate"/>
        </w:r>
        <w:r w:rsidRPr="00F45FF2">
          <w:rPr>
            <w:webHidden/>
          </w:rPr>
          <w:t>4</w:t>
        </w:r>
        <w:r w:rsidRPr="00F45FF2">
          <w:rPr>
            <w:webHidden/>
          </w:rPr>
          <w:fldChar w:fldCharType="end"/>
        </w:r>
      </w:hyperlink>
    </w:p>
    <w:p w14:paraId="6224AF6E" w14:textId="761DA189" w:rsidR="00F45FF2" w:rsidRPr="00F45FF2" w:rsidRDefault="00F45FF2">
      <w:pPr>
        <w:pStyle w:val="TOC2"/>
        <w:rPr>
          <w:rFonts w:ascii="Aptos" w:eastAsia="Yu Mincho" w:hAnsi="Aptos" w:cs="Arial"/>
          <w:kern w:val="2"/>
          <w:szCs w:val="24"/>
          <w:lang w:bidi="ar-SA"/>
        </w:rPr>
      </w:pPr>
      <w:hyperlink w:anchor="_Toc199268267" w:history="1">
        <w:r w:rsidRPr="00F45FF2">
          <w:rPr>
            <w:rStyle w:val="Hyperlink"/>
          </w:rPr>
          <w:t>Centre accessible de l'UE</w:t>
        </w:r>
        <w:r w:rsidRPr="00F45FF2">
          <w:rPr>
            <w:webHidden/>
          </w:rPr>
          <w:tab/>
        </w:r>
        <w:r w:rsidRPr="00F45FF2">
          <w:rPr>
            <w:webHidden/>
          </w:rPr>
          <w:fldChar w:fldCharType="begin"/>
        </w:r>
        <w:r w:rsidRPr="00F45FF2">
          <w:rPr>
            <w:webHidden/>
          </w:rPr>
          <w:instrText xml:space="preserve"> PAGEREF _Toc199268267 \h </w:instrText>
        </w:r>
        <w:r w:rsidRPr="00F45FF2">
          <w:rPr>
            <w:webHidden/>
          </w:rPr>
        </w:r>
        <w:r w:rsidRPr="00F45FF2">
          <w:rPr>
            <w:webHidden/>
          </w:rPr>
          <w:fldChar w:fldCharType="separate"/>
        </w:r>
        <w:r w:rsidRPr="00F45FF2">
          <w:rPr>
            <w:webHidden/>
          </w:rPr>
          <w:t>4</w:t>
        </w:r>
        <w:r w:rsidRPr="00F45FF2">
          <w:rPr>
            <w:webHidden/>
          </w:rPr>
          <w:fldChar w:fldCharType="end"/>
        </w:r>
      </w:hyperlink>
    </w:p>
    <w:p w14:paraId="346AFB3C" w14:textId="0ACBE811" w:rsidR="00F45FF2" w:rsidRPr="00F45FF2" w:rsidRDefault="00F45FF2">
      <w:pPr>
        <w:pStyle w:val="TOC2"/>
        <w:rPr>
          <w:rFonts w:ascii="Aptos" w:eastAsia="Yu Mincho" w:hAnsi="Aptos" w:cs="Arial"/>
          <w:kern w:val="2"/>
          <w:szCs w:val="24"/>
          <w:lang w:bidi="ar-SA"/>
        </w:rPr>
      </w:pPr>
      <w:hyperlink w:anchor="_Toc199268268" w:history="1">
        <w:r w:rsidRPr="00F45FF2">
          <w:rPr>
            <w:rStyle w:val="Hyperlink"/>
          </w:rPr>
          <w:t>Paquet emploi</w:t>
        </w:r>
        <w:r w:rsidRPr="00F45FF2">
          <w:rPr>
            <w:webHidden/>
          </w:rPr>
          <w:tab/>
        </w:r>
        <w:r w:rsidRPr="00F45FF2">
          <w:rPr>
            <w:webHidden/>
          </w:rPr>
          <w:fldChar w:fldCharType="begin"/>
        </w:r>
        <w:r w:rsidRPr="00F45FF2">
          <w:rPr>
            <w:webHidden/>
          </w:rPr>
          <w:instrText xml:space="preserve"> PAGEREF _Toc199268268 \h </w:instrText>
        </w:r>
        <w:r w:rsidRPr="00F45FF2">
          <w:rPr>
            <w:webHidden/>
          </w:rPr>
        </w:r>
        <w:r w:rsidRPr="00F45FF2">
          <w:rPr>
            <w:webHidden/>
          </w:rPr>
          <w:fldChar w:fldCharType="separate"/>
        </w:r>
        <w:r w:rsidRPr="00F45FF2">
          <w:rPr>
            <w:webHidden/>
          </w:rPr>
          <w:t>5</w:t>
        </w:r>
        <w:r w:rsidRPr="00F45FF2">
          <w:rPr>
            <w:webHidden/>
          </w:rPr>
          <w:fldChar w:fldCharType="end"/>
        </w:r>
      </w:hyperlink>
    </w:p>
    <w:p w14:paraId="0734F256" w14:textId="48633709" w:rsidR="00F45FF2" w:rsidRPr="00F45FF2" w:rsidRDefault="00F45FF2">
      <w:pPr>
        <w:pStyle w:val="TOC2"/>
        <w:rPr>
          <w:rFonts w:ascii="Aptos" w:eastAsia="Yu Mincho" w:hAnsi="Aptos" w:cs="Arial"/>
          <w:kern w:val="2"/>
          <w:szCs w:val="24"/>
          <w:lang w:bidi="ar-SA"/>
        </w:rPr>
      </w:pPr>
      <w:hyperlink w:anchor="_Toc199268269" w:history="1">
        <w:r w:rsidRPr="00F45FF2">
          <w:rPr>
            <w:rStyle w:val="Hyperlink"/>
          </w:rPr>
          <w:t>Conseils sur la vie autonome et l'inclusion dans la communauté</w:t>
        </w:r>
        <w:r w:rsidRPr="00F45FF2">
          <w:rPr>
            <w:webHidden/>
          </w:rPr>
          <w:tab/>
        </w:r>
        <w:r w:rsidRPr="00F45FF2">
          <w:rPr>
            <w:webHidden/>
          </w:rPr>
          <w:fldChar w:fldCharType="begin"/>
        </w:r>
        <w:r w:rsidRPr="00F45FF2">
          <w:rPr>
            <w:webHidden/>
          </w:rPr>
          <w:instrText xml:space="preserve"> PAGEREF _Toc199268269 \h </w:instrText>
        </w:r>
        <w:r w:rsidRPr="00F45FF2">
          <w:rPr>
            <w:webHidden/>
          </w:rPr>
        </w:r>
        <w:r w:rsidRPr="00F45FF2">
          <w:rPr>
            <w:webHidden/>
          </w:rPr>
          <w:fldChar w:fldCharType="separate"/>
        </w:r>
        <w:r w:rsidRPr="00F45FF2">
          <w:rPr>
            <w:webHidden/>
          </w:rPr>
          <w:t>6</w:t>
        </w:r>
        <w:r w:rsidRPr="00F45FF2">
          <w:rPr>
            <w:webHidden/>
          </w:rPr>
          <w:fldChar w:fldCharType="end"/>
        </w:r>
      </w:hyperlink>
    </w:p>
    <w:p w14:paraId="15416FF0" w14:textId="6E0710F6" w:rsidR="00F45FF2" w:rsidRPr="00F45FF2" w:rsidRDefault="00F45FF2">
      <w:pPr>
        <w:pStyle w:val="TOC2"/>
        <w:rPr>
          <w:rFonts w:ascii="Aptos" w:eastAsia="Yu Mincho" w:hAnsi="Aptos" w:cs="Arial"/>
          <w:kern w:val="2"/>
          <w:szCs w:val="24"/>
          <w:lang w:bidi="ar-SA"/>
        </w:rPr>
      </w:pPr>
      <w:hyperlink w:anchor="_Toc199268270" w:history="1">
        <w:r w:rsidRPr="00F45FF2">
          <w:rPr>
            <w:rStyle w:val="Hyperlink"/>
          </w:rPr>
          <w:t>Cadre européen des services sociaux d'excellence pour les personnes handicapées</w:t>
        </w:r>
        <w:r w:rsidRPr="00F45FF2">
          <w:rPr>
            <w:webHidden/>
          </w:rPr>
          <w:tab/>
        </w:r>
        <w:r w:rsidRPr="00F45FF2">
          <w:rPr>
            <w:webHidden/>
          </w:rPr>
          <w:fldChar w:fldCharType="begin"/>
        </w:r>
        <w:r w:rsidRPr="00F45FF2">
          <w:rPr>
            <w:webHidden/>
          </w:rPr>
          <w:instrText xml:space="preserve"> PAGEREF _Toc199268270 \h </w:instrText>
        </w:r>
        <w:r w:rsidRPr="00F45FF2">
          <w:rPr>
            <w:webHidden/>
          </w:rPr>
        </w:r>
        <w:r w:rsidRPr="00F45FF2">
          <w:rPr>
            <w:webHidden/>
          </w:rPr>
          <w:fldChar w:fldCharType="separate"/>
        </w:r>
        <w:r w:rsidRPr="00F45FF2">
          <w:rPr>
            <w:webHidden/>
          </w:rPr>
          <w:t>7</w:t>
        </w:r>
        <w:r w:rsidRPr="00F45FF2">
          <w:rPr>
            <w:webHidden/>
          </w:rPr>
          <w:fldChar w:fldCharType="end"/>
        </w:r>
      </w:hyperlink>
    </w:p>
    <w:p w14:paraId="0A70017D" w14:textId="75ED5DDD" w:rsidR="00F45FF2" w:rsidRPr="00F45FF2" w:rsidRDefault="00F45FF2">
      <w:pPr>
        <w:pStyle w:val="TOC1"/>
        <w:tabs>
          <w:tab w:val="right" w:leader="dot" w:pos="9980"/>
        </w:tabs>
        <w:rPr>
          <w:rFonts w:ascii="Aptos" w:eastAsia="Yu Mincho" w:hAnsi="Aptos" w:cs="Arial"/>
          <w:noProof/>
          <w:kern w:val="2"/>
          <w:szCs w:val="24"/>
          <w:lang w:bidi="ar-SA"/>
        </w:rPr>
      </w:pPr>
      <w:hyperlink w:anchor="_Toc199268271" w:history="1">
        <w:r w:rsidRPr="00F45FF2">
          <w:rPr>
            <w:rStyle w:val="Hyperlink"/>
            <w:noProof/>
          </w:rPr>
          <w:t>Budget de l'UE</w:t>
        </w:r>
        <w:r w:rsidRPr="00F45FF2">
          <w:rPr>
            <w:noProof/>
            <w:webHidden/>
          </w:rPr>
          <w:tab/>
        </w:r>
        <w:r w:rsidRPr="00F45FF2">
          <w:rPr>
            <w:noProof/>
            <w:webHidden/>
          </w:rPr>
          <w:fldChar w:fldCharType="begin"/>
        </w:r>
        <w:r w:rsidRPr="00F45FF2">
          <w:rPr>
            <w:noProof/>
            <w:webHidden/>
          </w:rPr>
          <w:instrText xml:space="preserve"> PAGEREF _Toc199268271 \h </w:instrText>
        </w:r>
        <w:r w:rsidRPr="00F45FF2">
          <w:rPr>
            <w:noProof/>
            <w:webHidden/>
          </w:rPr>
        </w:r>
        <w:r w:rsidRPr="00F45FF2">
          <w:rPr>
            <w:noProof/>
            <w:webHidden/>
          </w:rPr>
          <w:fldChar w:fldCharType="separate"/>
        </w:r>
        <w:r w:rsidRPr="00F45FF2">
          <w:rPr>
            <w:noProof/>
            <w:webHidden/>
          </w:rPr>
          <w:t>7</w:t>
        </w:r>
        <w:r w:rsidRPr="00F45FF2">
          <w:rPr>
            <w:noProof/>
            <w:webHidden/>
          </w:rPr>
          <w:fldChar w:fldCharType="end"/>
        </w:r>
      </w:hyperlink>
    </w:p>
    <w:p w14:paraId="05F5CDD7" w14:textId="33C24F5B" w:rsidR="00F45FF2" w:rsidRPr="00F45FF2" w:rsidRDefault="00F45FF2">
      <w:pPr>
        <w:pStyle w:val="TOC1"/>
        <w:tabs>
          <w:tab w:val="right" w:leader="dot" w:pos="9980"/>
        </w:tabs>
        <w:rPr>
          <w:rFonts w:ascii="Aptos" w:eastAsia="Yu Mincho" w:hAnsi="Aptos" w:cs="Arial"/>
          <w:noProof/>
          <w:kern w:val="2"/>
          <w:szCs w:val="24"/>
          <w:lang w:bidi="ar-SA"/>
        </w:rPr>
      </w:pPr>
      <w:hyperlink w:anchor="_Toc199268272" w:history="1">
        <w:r w:rsidRPr="00F45FF2">
          <w:rPr>
            <w:rStyle w:val="Hyperlink"/>
            <w:noProof/>
          </w:rPr>
          <w:t>Égalité et non-discrimination</w:t>
        </w:r>
        <w:r w:rsidRPr="00F45FF2">
          <w:rPr>
            <w:noProof/>
            <w:webHidden/>
          </w:rPr>
          <w:tab/>
        </w:r>
        <w:r w:rsidRPr="00F45FF2">
          <w:rPr>
            <w:noProof/>
            <w:webHidden/>
          </w:rPr>
          <w:fldChar w:fldCharType="begin"/>
        </w:r>
        <w:r w:rsidRPr="00F45FF2">
          <w:rPr>
            <w:noProof/>
            <w:webHidden/>
          </w:rPr>
          <w:instrText xml:space="preserve"> PAGEREF _Toc199268272 \h </w:instrText>
        </w:r>
        <w:r w:rsidRPr="00F45FF2">
          <w:rPr>
            <w:noProof/>
            <w:webHidden/>
          </w:rPr>
        </w:r>
        <w:r w:rsidRPr="00F45FF2">
          <w:rPr>
            <w:noProof/>
            <w:webHidden/>
          </w:rPr>
          <w:fldChar w:fldCharType="separate"/>
        </w:r>
        <w:r w:rsidRPr="00F45FF2">
          <w:rPr>
            <w:noProof/>
            <w:webHidden/>
          </w:rPr>
          <w:t>7</w:t>
        </w:r>
        <w:r w:rsidRPr="00F45FF2">
          <w:rPr>
            <w:noProof/>
            <w:webHidden/>
          </w:rPr>
          <w:fldChar w:fldCharType="end"/>
        </w:r>
      </w:hyperlink>
    </w:p>
    <w:p w14:paraId="41E651C6" w14:textId="553D1BC3" w:rsidR="00F45FF2" w:rsidRPr="00F45FF2" w:rsidRDefault="00F45FF2">
      <w:pPr>
        <w:pStyle w:val="TOC2"/>
        <w:rPr>
          <w:rFonts w:ascii="Aptos" w:eastAsia="Yu Mincho" w:hAnsi="Aptos" w:cs="Arial"/>
          <w:kern w:val="2"/>
          <w:szCs w:val="24"/>
          <w:lang w:bidi="ar-SA"/>
        </w:rPr>
      </w:pPr>
      <w:hyperlink w:anchor="_Toc199268273" w:history="1">
        <w:r w:rsidRPr="00F45FF2">
          <w:rPr>
            <w:rStyle w:val="Hyperlink"/>
          </w:rPr>
          <w:t>Directive horizontale sur l'égalité de traitement</w:t>
        </w:r>
        <w:r w:rsidRPr="00F45FF2">
          <w:rPr>
            <w:webHidden/>
          </w:rPr>
          <w:tab/>
        </w:r>
        <w:r w:rsidRPr="00F45FF2">
          <w:rPr>
            <w:webHidden/>
          </w:rPr>
          <w:fldChar w:fldCharType="begin"/>
        </w:r>
        <w:r w:rsidRPr="00F45FF2">
          <w:rPr>
            <w:webHidden/>
          </w:rPr>
          <w:instrText xml:space="preserve"> PAGEREF _Toc199268273 \h </w:instrText>
        </w:r>
        <w:r w:rsidRPr="00F45FF2">
          <w:rPr>
            <w:webHidden/>
          </w:rPr>
        </w:r>
        <w:r w:rsidRPr="00F45FF2">
          <w:rPr>
            <w:webHidden/>
          </w:rPr>
          <w:fldChar w:fldCharType="separate"/>
        </w:r>
        <w:r w:rsidRPr="00F45FF2">
          <w:rPr>
            <w:webHidden/>
          </w:rPr>
          <w:t>7</w:t>
        </w:r>
        <w:r w:rsidRPr="00F45FF2">
          <w:rPr>
            <w:webHidden/>
          </w:rPr>
          <w:fldChar w:fldCharType="end"/>
        </w:r>
      </w:hyperlink>
    </w:p>
    <w:p w14:paraId="3BDBFA43" w14:textId="610A2A02" w:rsidR="00F45FF2" w:rsidRPr="00F45FF2" w:rsidRDefault="00F45FF2">
      <w:pPr>
        <w:pStyle w:val="TOC2"/>
        <w:rPr>
          <w:rFonts w:ascii="Aptos" w:eastAsia="Yu Mincho" w:hAnsi="Aptos" w:cs="Arial"/>
          <w:kern w:val="2"/>
          <w:szCs w:val="24"/>
          <w:lang w:bidi="ar-SA"/>
        </w:rPr>
      </w:pPr>
      <w:hyperlink w:anchor="_Toc199268274" w:history="1">
        <w:r w:rsidRPr="00F45FF2">
          <w:rPr>
            <w:rStyle w:val="Hyperlink"/>
          </w:rPr>
          <w:t>Règlement sur la protection des adultes</w:t>
        </w:r>
        <w:r w:rsidRPr="00F45FF2">
          <w:rPr>
            <w:webHidden/>
          </w:rPr>
          <w:tab/>
        </w:r>
        <w:r w:rsidRPr="00F45FF2">
          <w:rPr>
            <w:webHidden/>
          </w:rPr>
          <w:fldChar w:fldCharType="begin"/>
        </w:r>
        <w:r w:rsidRPr="00F45FF2">
          <w:rPr>
            <w:webHidden/>
          </w:rPr>
          <w:instrText xml:space="preserve"> PAGEREF _Toc199268274 \h </w:instrText>
        </w:r>
        <w:r w:rsidRPr="00F45FF2">
          <w:rPr>
            <w:webHidden/>
          </w:rPr>
        </w:r>
        <w:r w:rsidRPr="00F45FF2">
          <w:rPr>
            <w:webHidden/>
          </w:rPr>
          <w:fldChar w:fldCharType="separate"/>
        </w:r>
        <w:r w:rsidRPr="00F45FF2">
          <w:rPr>
            <w:webHidden/>
          </w:rPr>
          <w:t>8</w:t>
        </w:r>
        <w:r w:rsidRPr="00F45FF2">
          <w:rPr>
            <w:webHidden/>
          </w:rPr>
          <w:fldChar w:fldCharType="end"/>
        </w:r>
      </w:hyperlink>
    </w:p>
    <w:p w14:paraId="011CB44F" w14:textId="61936241" w:rsidR="00F45FF2" w:rsidRPr="00F45FF2" w:rsidRDefault="00F45FF2">
      <w:pPr>
        <w:pStyle w:val="TOC2"/>
        <w:rPr>
          <w:rFonts w:ascii="Aptos" w:eastAsia="Yu Mincho" w:hAnsi="Aptos" w:cs="Arial"/>
          <w:kern w:val="2"/>
          <w:szCs w:val="24"/>
          <w:lang w:bidi="ar-SA"/>
        </w:rPr>
      </w:pPr>
      <w:hyperlink w:anchor="_Toc199268275" w:history="1">
        <w:r w:rsidRPr="00F45FF2">
          <w:rPr>
            <w:rStyle w:val="Hyperlink"/>
          </w:rPr>
          <w:t>Directive sur les droits des victimes</w:t>
        </w:r>
        <w:r w:rsidRPr="00F45FF2">
          <w:rPr>
            <w:webHidden/>
          </w:rPr>
          <w:tab/>
        </w:r>
        <w:r w:rsidRPr="00F45FF2">
          <w:rPr>
            <w:webHidden/>
          </w:rPr>
          <w:fldChar w:fldCharType="begin"/>
        </w:r>
        <w:r w:rsidRPr="00F45FF2">
          <w:rPr>
            <w:webHidden/>
          </w:rPr>
          <w:instrText xml:space="preserve"> PAGEREF _Toc199268275 \h </w:instrText>
        </w:r>
        <w:r w:rsidRPr="00F45FF2">
          <w:rPr>
            <w:webHidden/>
          </w:rPr>
        </w:r>
        <w:r w:rsidRPr="00F45FF2">
          <w:rPr>
            <w:webHidden/>
          </w:rPr>
          <w:fldChar w:fldCharType="separate"/>
        </w:r>
        <w:r w:rsidRPr="00F45FF2">
          <w:rPr>
            <w:webHidden/>
          </w:rPr>
          <w:t>8</w:t>
        </w:r>
        <w:r w:rsidRPr="00F45FF2">
          <w:rPr>
            <w:webHidden/>
          </w:rPr>
          <w:fldChar w:fldCharType="end"/>
        </w:r>
      </w:hyperlink>
    </w:p>
    <w:p w14:paraId="453DF79E" w14:textId="38C6BA9B" w:rsidR="00F45FF2" w:rsidRPr="00F45FF2" w:rsidRDefault="00F45FF2">
      <w:pPr>
        <w:pStyle w:val="TOC2"/>
        <w:rPr>
          <w:rFonts w:ascii="Aptos" w:eastAsia="Yu Mincho" w:hAnsi="Aptos" w:cs="Arial"/>
          <w:kern w:val="2"/>
          <w:szCs w:val="24"/>
          <w:lang w:bidi="ar-SA"/>
        </w:rPr>
      </w:pPr>
      <w:hyperlink w:anchor="_Toc199268276" w:history="1">
        <w:r w:rsidRPr="00F45FF2">
          <w:rPr>
            <w:rStyle w:val="Hyperlink"/>
          </w:rPr>
          <w:t>Stratégies d'égalité</w:t>
        </w:r>
        <w:r w:rsidRPr="00F45FF2">
          <w:rPr>
            <w:webHidden/>
          </w:rPr>
          <w:tab/>
        </w:r>
        <w:r w:rsidRPr="00F45FF2">
          <w:rPr>
            <w:webHidden/>
          </w:rPr>
          <w:fldChar w:fldCharType="begin"/>
        </w:r>
        <w:r w:rsidRPr="00F45FF2">
          <w:rPr>
            <w:webHidden/>
          </w:rPr>
          <w:instrText xml:space="preserve"> PAGEREF _Toc199268276 \h </w:instrText>
        </w:r>
        <w:r w:rsidRPr="00F45FF2">
          <w:rPr>
            <w:webHidden/>
          </w:rPr>
        </w:r>
        <w:r w:rsidRPr="00F45FF2">
          <w:rPr>
            <w:webHidden/>
          </w:rPr>
          <w:fldChar w:fldCharType="separate"/>
        </w:r>
        <w:r w:rsidRPr="00F45FF2">
          <w:rPr>
            <w:webHidden/>
          </w:rPr>
          <w:t>8</w:t>
        </w:r>
        <w:r w:rsidRPr="00F45FF2">
          <w:rPr>
            <w:webHidden/>
          </w:rPr>
          <w:fldChar w:fldCharType="end"/>
        </w:r>
      </w:hyperlink>
    </w:p>
    <w:p w14:paraId="755135B9" w14:textId="4B4DA4D2" w:rsidR="00F45FF2" w:rsidRPr="00F45FF2" w:rsidRDefault="00F45FF2">
      <w:pPr>
        <w:pStyle w:val="TOC2"/>
        <w:rPr>
          <w:rFonts w:ascii="Aptos" w:eastAsia="Yu Mincho" w:hAnsi="Aptos" w:cs="Arial"/>
          <w:kern w:val="2"/>
          <w:szCs w:val="24"/>
          <w:lang w:bidi="ar-SA"/>
        </w:rPr>
      </w:pPr>
      <w:hyperlink w:anchor="_Toc199268277" w:history="1">
        <w:r w:rsidRPr="00F45FF2">
          <w:rPr>
            <w:rStyle w:val="Hyperlink"/>
          </w:rPr>
          <w:t>Recommandation sur la prévention des pratiques préjudiciables aux femmes</w:t>
        </w:r>
        <w:r w:rsidRPr="00F45FF2">
          <w:rPr>
            <w:webHidden/>
          </w:rPr>
          <w:tab/>
        </w:r>
        <w:r w:rsidRPr="00F45FF2">
          <w:rPr>
            <w:webHidden/>
          </w:rPr>
          <w:fldChar w:fldCharType="begin"/>
        </w:r>
        <w:r w:rsidRPr="00F45FF2">
          <w:rPr>
            <w:webHidden/>
          </w:rPr>
          <w:instrText xml:space="preserve"> PAGEREF _Toc199268277 \h </w:instrText>
        </w:r>
        <w:r w:rsidRPr="00F45FF2">
          <w:rPr>
            <w:webHidden/>
          </w:rPr>
        </w:r>
        <w:r w:rsidRPr="00F45FF2">
          <w:rPr>
            <w:webHidden/>
          </w:rPr>
          <w:fldChar w:fldCharType="separate"/>
        </w:r>
        <w:r w:rsidRPr="00F45FF2">
          <w:rPr>
            <w:webHidden/>
          </w:rPr>
          <w:t>9</w:t>
        </w:r>
        <w:r w:rsidRPr="00F45FF2">
          <w:rPr>
            <w:webHidden/>
          </w:rPr>
          <w:fldChar w:fldCharType="end"/>
        </w:r>
      </w:hyperlink>
    </w:p>
    <w:p w14:paraId="4786F0E5" w14:textId="30846B6E" w:rsidR="00F45FF2" w:rsidRPr="00F45FF2" w:rsidRDefault="00F45FF2">
      <w:pPr>
        <w:pStyle w:val="TOC1"/>
        <w:tabs>
          <w:tab w:val="right" w:leader="dot" w:pos="9980"/>
        </w:tabs>
        <w:rPr>
          <w:rFonts w:ascii="Aptos" w:eastAsia="Yu Mincho" w:hAnsi="Aptos" w:cs="Arial"/>
          <w:noProof/>
          <w:kern w:val="2"/>
          <w:szCs w:val="24"/>
          <w:lang w:bidi="ar-SA"/>
        </w:rPr>
      </w:pPr>
      <w:hyperlink w:anchor="_Toc199268278" w:history="1">
        <w:r w:rsidRPr="00F45FF2">
          <w:rPr>
            <w:rStyle w:val="Hyperlink"/>
            <w:noProof/>
          </w:rPr>
          <w:t>Participation politique</w:t>
        </w:r>
        <w:r w:rsidRPr="00F45FF2">
          <w:rPr>
            <w:noProof/>
            <w:webHidden/>
          </w:rPr>
          <w:tab/>
        </w:r>
        <w:r w:rsidRPr="00F45FF2">
          <w:rPr>
            <w:noProof/>
            <w:webHidden/>
          </w:rPr>
          <w:fldChar w:fldCharType="begin"/>
        </w:r>
        <w:r w:rsidRPr="00F45FF2">
          <w:rPr>
            <w:noProof/>
            <w:webHidden/>
          </w:rPr>
          <w:instrText xml:space="preserve"> PAGEREF _Toc199268278 \h </w:instrText>
        </w:r>
        <w:r w:rsidRPr="00F45FF2">
          <w:rPr>
            <w:noProof/>
            <w:webHidden/>
          </w:rPr>
        </w:r>
        <w:r w:rsidRPr="00F45FF2">
          <w:rPr>
            <w:noProof/>
            <w:webHidden/>
          </w:rPr>
          <w:fldChar w:fldCharType="separate"/>
        </w:r>
        <w:r w:rsidRPr="00F45FF2">
          <w:rPr>
            <w:noProof/>
            <w:webHidden/>
          </w:rPr>
          <w:t>9</w:t>
        </w:r>
        <w:r w:rsidRPr="00F45FF2">
          <w:rPr>
            <w:noProof/>
            <w:webHidden/>
          </w:rPr>
          <w:fldChar w:fldCharType="end"/>
        </w:r>
      </w:hyperlink>
    </w:p>
    <w:p w14:paraId="1ED4503E" w14:textId="2FA60CEF" w:rsidR="00F45FF2" w:rsidRPr="00F45FF2" w:rsidRDefault="00F45FF2">
      <w:pPr>
        <w:pStyle w:val="TOC1"/>
        <w:tabs>
          <w:tab w:val="right" w:leader="dot" w:pos="9980"/>
        </w:tabs>
        <w:rPr>
          <w:rFonts w:ascii="Aptos" w:eastAsia="Yu Mincho" w:hAnsi="Aptos" w:cs="Arial"/>
          <w:noProof/>
          <w:kern w:val="2"/>
          <w:szCs w:val="24"/>
          <w:lang w:bidi="ar-SA"/>
        </w:rPr>
      </w:pPr>
      <w:hyperlink w:anchor="_Toc199268279" w:history="1">
        <w:r w:rsidRPr="00F45FF2">
          <w:rPr>
            <w:rStyle w:val="Hyperlink"/>
            <w:noProof/>
          </w:rPr>
          <w:t>Politiques sociales</w:t>
        </w:r>
        <w:r w:rsidRPr="00F45FF2">
          <w:rPr>
            <w:noProof/>
            <w:webHidden/>
          </w:rPr>
          <w:tab/>
        </w:r>
        <w:r w:rsidRPr="00F45FF2">
          <w:rPr>
            <w:noProof/>
            <w:webHidden/>
          </w:rPr>
          <w:fldChar w:fldCharType="begin"/>
        </w:r>
        <w:r w:rsidRPr="00F45FF2">
          <w:rPr>
            <w:noProof/>
            <w:webHidden/>
          </w:rPr>
          <w:instrText xml:space="preserve"> PAGEREF _Toc199268279 \h </w:instrText>
        </w:r>
        <w:r w:rsidRPr="00F45FF2">
          <w:rPr>
            <w:noProof/>
            <w:webHidden/>
          </w:rPr>
        </w:r>
        <w:r w:rsidRPr="00F45FF2">
          <w:rPr>
            <w:noProof/>
            <w:webHidden/>
          </w:rPr>
          <w:fldChar w:fldCharType="separate"/>
        </w:r>
        <w:r w:rsidRPr="00F45FF2">
          <w:rPr>
            <w:noProof/>
            <w:webHidden/>
          </w:rPr>
          <w:t>10</w:t>
        </w:r>
        <w:r w:rsidRPr="00F45FF2">
          <w:rPr>
            <w:noProof/>
            <w:webHidden/>
          </w:rPr>
          <w:fldChar w:fldCharType="end"/>
        </w:r>
      </w:hyperlink>
    </w:p>
    <w:p w14:paraId="52172633" w14:textId="1D1237D6" w:rsidR="00F45FF2" w:rsidRPr="00F45FF2" w:rsidRDefault="00F45FF2">
      <w:pPr>
        <w:pStyle w:val="TOC2"/>
        <w:rPr>
          <w:rFonts w:ascii="Aptos" w:eastAsia="Yu Mincho" w:hAnsi="Aptos" w:cs="Arial"/>
          <w:kern w:val="2"/>
          <w:szCs w:val="24"/>
          <w:lang w:bidi="ar-SA"/>
        </w:rPr>
      </w:pPr>
      <w:hyperlink w:anchor="_Toc199268280" w:history="1">
        <w:r w:rsidRPr="00F45FF2">
          <w:rPr>
            <w:rStyle w:val="Hyperlink"/>
          </w:rPr>
          <w:t>Directive européenne sur les stages</w:t>
        </w:r>
        <w:r w:rsidRPr="00F45FF2">
          <w:rPr>
            <w:webHidden/>
          </w:rPr>
          <w:tab/>
        </w:r>
        <w:r w:rsidRPr="00F45FF2">
          <w:rPr>
            <w:webHidden/>
          </w:rPr>
          <w:fldChar w:fldCharType="begin"/>
        </w:r>
        <w:r w:rsidRPr="00F45FF2">
          <w:rPr>
            <w:webHidden/>
          </w:rPr>
          <w:instrText xml:space="preserve"> PAGEREF _Toc199268280 \h </w:instrText>
        </w:r>
        <w:r w:rsidRPr="00F45FF2">
          <w:rPr>
            <w:webHidden/>
          </w:rPr>
        </w:r>
        <w:r w:rsidRPr="00F45FF2">
          <w:rPr>
            <w:webHidden/>
          </w:rPr>
          <w:fldChar w:fldCharType="separate"/>
        </w:r>
        <w:r w:rsidRPr="00F45FF2">
          <w:rPr>
            <w:webHidden/>
          </w:rPr>
          <w:t>10</w:t>
        </w:r>
        <w:r w:rsidRPr="00F45FF2">
          <w:rPr>
            <w:webHidden/>
          </w:rPr>
          <w:fldChar w:fldCharType="end"/>
        </w:r>
      </w:hyperlink>
    </w:p>
    <w:p w14:paraId="5D215DE6" w14:textId="17153F50" w:rsidR="00F45FF2" w:rsidRPr="00F45FF2" w:rsidRDefault="00F45FF2">
      <w:pPr>
        <w:pStyle w:val="TOC2"/>
        <w:rPr>
          <w:rFonts w:ascii="Aptos" w:eastAsia="Yu Mincho" w:hAnsi="Aptos" w:cs="Arial"/>
          <w:kern w:val="2"/>
          <w:szCs w:val="24"/>
          <w:lang w:bidi="ar-SA"/>
        </w:rPr>
      </w:pPr>
      <w:hyperlink w:anchor="_Toc199268281" w:history="1">
        <w:r w:rsidRPr="00F45FF2">
          <w:rPr>
            <w:rStyle w:val="Hyperlink"/>
          </w:rPr>
          <w:t>Processus du semestre européen</w:t>
        </w:r>
        <w:r w:rsidRPr="00F45FF2">
          <w:rPr>
            <w:webHidden/>
          </w:rPr>
          <w:tab/>
        </w:r>
        <w:r w:rsidRPr="00F45FF2">
          <w:rPr>
            <w:webHidden/>
          </w:rPr>
          <w:fldChar w:fldCharType="begin"/>
        </w:r>
        <w:r w:rsidRPr="00F45FF2">
          <w:rPr>
            <w:webHidden/>
          </w:rPr>
          <w:instrText xml:space="preserve"> PAGEREF _Toc199268281 \h </w:instrText>
        </w:r>
        <w:r w:rsidRPr="00F45FF2">
          <w:rPr>
            <w:webHidden/>
          </w:rPr>
        </w:r>
        <w:r w:rsidRPr="00F45FF2">
          <w:rPr>
            <w:webHidden/>
          </w:rPr>
          <w:fldChar w:fldCharType="separate"/>
        </w:r>
        <w:r w:rsidRPr="00F45FF2">
          <w:rPr>
            <w:webHidden/>
          </w:rPr>
          <w:t>10</w:t>
        </w:r>
        <w:r w:rsidRPr="00F45FF2">
          <w:rPr>
            <w:webHidden/>
          </w:rPr>
          <w:fldChar w:fldCharType="end"/>
        </w:r>
      </w:hyperlink>
    </w:p>
    <w:p w14:paraId="641C258E" w14:textId="278ACD3A" w:rsidR="00F45FF2" w:rsidRPr="00F45FF2" w:rsidRDefault="00F45FF2">
      <w:pPr>
        <w:pStyle w:val="TOC2"/>
        <w:rPr>
          <w:rFonts w:ascii="Aptos" w:eastAsia="Yu Mincho" w:hAnsi="Aptos" w:cs="Arial"/>
          <w:kern w:val="2"/>
          <w:szCs w:val="24"/>
          <w:lang w:bidi="ar-SA"/>
        </w:rPr>
      </w:pPr>
      <w:hyperlink w:anchor="_Toc199268282" w:history="1">
        <w:r w:rsidRPr="00F45FF2">
          <w:rPr>
            <w:rStyle w:val="Hyperlink"/>
          </w:rPr>
          <w:t>Directive sur les marchés publics</w:t>
        </w:r>
        <w:r w:rsidRPr="00F45FF2">
          <w:rPr>
            <w:webHidden/>
          </w:rPr>
          <w:tab/>
        </w:r>
        <w:r w:rsidRPr="00F45FF2">
          <w:rPr>
            <w:webHidden/>
          </w:rPr>
          <w:fldChar w:fldCharType="begin"/>
        </w:r>
        <w:r w:rsidRPr="00F45FF2">
          <w:rPr>
            <w:webHidden/>
          </w:rPr>
          <w:instrText xml:space="preserve"> PAGEREF _Toc199268282 \h </w:instrText>
        </w:r>
        <w:r w:rsidRPr="00F45FF2">
          <w:rPr>
            <w:webHidden/>
          </w:rPr>
        </w:r>
        <w:r w:rsidRPr="00F45FF2">
          <w:rPr>
            <w:webHidden/>
          </w:rPr>
          <w:fldChar w:fldCharType="separate"/>
        </w:r>
        <w:r w:rsidRPr="00F45FF2">
          <w:rPr>
            <w:webHidden/>
          </w:rPr>
          <w:t>11</w:t>
        </w:r>
        <w:r w:rsidRPr="00F45FF2">
          <w:rPr>
            <w:webHidden/>
          </w:rPr>
          <w:fldChar w:fldCharType="end"/>
        </w:r>
      </w:hyperlink>
    </w:p>
    <w:p w14:paraId="26D9B318" w14:textId="30A193A4" w:rsidR="00F45FF2" w:rsidRPr="00F45FF2" w:rsidRDefault="00F45FF2">
      <w:pPr>
        <w:pStyle w:val="TOC1"/>
        <w:tabs>
          <w:tab w:val="right" w:leader="dot" w:pos="9980"/>
        </w:tabs>
        <w:rPr>
          <w:rFonts w:ascii="Aptos" w:eastAsia="Yu Mincho" w:hAnsi="Aptos" w:cs="Arial"/>
          <w:noProof/>
          <w:kern w:val="2"/>
          <w:szCs w:val="24"/>
          <w:lang w:bidi="ar-SA"/>
        </w:rPr>
      </w:pPr>
      <w:hyperlink w:anchor="_Toc199268283" w:history="1">
        <w:r w:rsidRPr="00F45FF2">
          <w:rPr>
            <w:rStyle w:val="Hyperlink"/>
            <w:noProof/>
          </w:rPr>
          <w:t>Accessibilité</w:t>
        </w:r>
        <w:r w:rsidRPr="00F45FF2">
          <w:rPr>
            <w:noProof/>
            <w:webHidden/>
          </w:rPr>
          <w:tab/>
        </w:r>
        <w:r w:rsidRPr="00F45FF2">
          <w:rPr>
            <w:noProof/>
            <w:webHidden/>
          </w:rPr>
          <w:fldChar w:fldCharType="begin"/>
        </w:r>
        <w:r w:rsidRPr="00F45FF2">
          <w:rPr>
            <w:noProof/>
            <w:webHidden/>
          </w:rPr>
          <w:instrText xml:space="preserve"> PAGEREF _Toc199268283 \h </w:instrText>
        </w:r>
        <w:r w:rsidRPr="00F45FF2">
          <w:rPr>
            <w:noProof/>
            <w:webHidden/>
          </w:rPr>
        </w:r>
        <w:r w:rsidRPr="00F45FF2">
          <w:rPr>
            <w:noProof/>
            <w:webHidden/>
          </w:rPr>
          <w:fldChar w:fldCharType="separate"/>
        </w:r>
        <w:r w:rsidRPr="00F45FF2">
          <w:rPr>
            <w:noProof/>
            <w:webHidden/>
          </w:rPr>
          <w:t>11</w:t>
        </w:r>
        <w:r w:rsidRPr="00F45FF2">
          <w:rPr>
            <w:noProof/>
            <w:webHidden/>
          </w:rPr>
          <w:fldChar w:fldCharType="end"/>
        </w:r>
      </w:hyperlink>
    </w:p>
    <w:p w14:paraId="08B878E3" w14:textId="6C74CE0E" w:rsidR="00F45FF2" w:rsidRPr="00F45FF2" w:rsidRDefault="00F45FF2">
      <w:pPr>
        <w:pStyle w:val="TOC2"/>
        <w:rPr>
          <w:rFonts w:ascii="Aptos" w:eastAsia="Yu Mincho" w:hAnsi="Aptos" w:cs="Arial"/>
          <w:kern w:val="2"/>
          <w:szCs w:val="24"/>
          <w:lang w:bidi="ar-SA"/>
        </w:rPr>
      </w:pPr>
      <w:hyperlink w:anchor="_Toc199268284" w:history="1">
        <w:r w:rsidRPr="00F45FF2">
          <w:rPr>
            <w:rStyle w:val="Hyperlink"/>
          </w:rPr>
          <w:t>Acte européen sur l'accessibilité</w:t>
        </w:r>
        <w:r w:rsidRPr="00F45FF2">
          <w:rPr>
            <w:webHidden/>
          </w:rPr>
          <w:tab/>
        </w:r>
        <w:r w:rsidRPr="00F45FF2">
          <w:rPr>
            <w:webHidden/>
          </w:rPr>
          <w:fldChar w:fldCharType="begin"/>
        </w:r>
        <w:r w:rsidRPr="00F45FF2">
          <w:rPr>
            <w:webHidden/>
          </w:rPr>
          <w:instrText xml:space="preserve"> PAGEREF _Toc199268284 \h </w:instrText>
        </w:r>
        <w:r w:rsidRPr="00F45FF2">
          <w:rPr>
            <w:webHidden/>
          </w:rPr>
        </w:r>
        <w:r w:rsidRPr="00F45FF2">
          <w:rPr>
            <w:webHidden/>
          </w:rPr>
          <w:fldChar w:fldCharType="separate"/>
        </w:r>
        <w:r w:rsidRPr="00F45FF2">
          <w:rPr>
            <w:webHidden/>
          </w:rPr>
          <w:t>11</w:t>
        </w:r>
        <w:r w:rsidRPr="00F45FF2">
          <w:rPr>
            <w:webHidden/>
          </w:rPr>
          <w:fldChar w:fldCharType="end"/>
        </w:r>
      </w:hyperlink>
    </w:p>
    <w:p w14:paraId="280255C9" w14:textId="514C35A9" w:rsidR="00F45FF2" w:rsidRPr="00F45FF2" w:rsidRDefault="00F45FF2">
      <w:pPr>
        <w:pStyle w:val="TOC2"/>
        <w:rPr>
          <w:rFonts w:ascii="Aptos" w:eastAsia="Yu Mincho" w:hAnsi="Aptos" w:cs="Arial"/>
          <w:kern w:val="2"/>
          <w:szCs w:val="24"/>
          <w:lang w:bidi="ar-SA"/>
        </w:rPr>
      </w:pPr>
      <w:hyperlink w:anchor="_Toc199268285" w:history="1">
        <w:r w:rsidRPr="00F45FF2">
          <w:rPr>
            <w:rStyle w:val="Hyperlink"/>
          </w:rPr>
          <w:t>Règlement de normalisation</w:t>
        </w:r>
        <w:r w:rsidRPr="00F45FF2">
          <w:rPr>
            <w:webHidden/>
          </w:rPr>
          <w:tab/>
        </w:r>
        <w:r w:rsidRPr="00F45FF2">
          <w:rPr>
            <w:webHidden/>
          </w:rPr>
          <w:fldChar w:fldCharType="begin"/>
        </w:r>
        <w:r w:rsidRPr="00F45FF2">
          <w:rPr>
            <w:webHidden/>
          </w:rPr>
          <w:instrText xml:space="preserve"> PAGEREF _Toc199268285 \h </w:instrText>
        </w:r>
        <w:r w:rsidRPr="00F45FF2">
          <w:rPr>
            <w:webHidden/>
          </w:rPr>
        </w:r>
        <w:r w:rsidRPr="00F45FF2">
          <w:rPr>
            <w:webHidden/>
          </w:rPr>
          <w:fldChar w:fldCharType="separate"/>
        </w:r>
        <w:r w:rsidRPr="00F45FF2">
          <w:rPr>
            <w:webHidden/>
          </w:rPr>
          <w:t>12</w:t>
        </w:r>
        <w:r w:rsidRPr="00F45FF2">
          <w:rPr>
            <w:webHidden/>
          </w:rPr>
          <w:fldChar w:fldCharType="end"/>
        </w:r>
      </w:hyperlink>
    </w:p>
    <w:p w14:paraId="7CA1D822" w14:textId="2E9AE603" w:rsidR="00F45FF2" w:rsidRPr="00F45FF2" w:rsidRDefault="00F45FF2">
      <w:pPr>
        <w:pStyle w:val="TOC1"/>
        <w:tabs>
          <w:tab w:val="right" w:leader="dot" w:pos="9980"/>
        </w:tabs>
        <w:rPr>
          <w:rFonts w:ascii="Aptos" w:eastAsia="Yu Mincho" w:hAnsi="Aptos" w:cs="Arial"/>
          <w:noProof/>
          <w:kern w:val="2"/>
          <w:szCs w:val="24"/>
          <w:lang w:bidi="ar-SA"/>
        </w:rPr>
      </w:pPr>
      <w:hyperlink w:anchor="_Toc199268286" w:history="1">
        <w:r w:rsidRPr="00F45FF2">
          <w:rPr>
            <w:rStyle w:val="Hyperlink"/>
            <w:noProof/>
          </w:rPr>
          <w:t>Green Deal</w:t>
        </w:r>
        <w:r w:rsidRPr="00F45FF2">
          <w:rPr>
            <w:noProof/>
            <w:webHidden/>
          </w:rPr>
          <w:tab/>
        </w:r>
        <w:r w:rsidRPr="00F45FF2">
          <w:rPr>
            <w:noProof/>
            <w:webHidden/>
          </w:rPr>
          <w:fldChar w:fldCharType="begin"/>
        </w:r>
        <w:r w:rsidRPr="00F45FF2">
          <w:rPr>
            <w:noProof/>
            <w:webHidden/>
          </w:rPr>
          <w:instrText xml:space="preserve"> PAGEREF _Toc199268286 \h </w:instrText>
        </w:r>
        <w:r w:rsidRPr="00F45FF2">
          <w:rPr>
            <w:noProof/>
            <w:webHidden/>
          </w:rPr>
        </w:r>
        <w:r w:rsidRPr="00F45FF2">
          <w:rPr>
            <w:noProof/>
            <w:webHidden/>
          </w:rPr>
          <w:fldChar w:fldCharType="separate"/>
        </w:r>
        <w:r w:rsidRPr="00F45FF2">
          <w:rPr>
            <w:noProof/>
            <w:webHidden/>
          </w:rPr>
          <w:t>13</w:t>
        </w:r>
        <w:r w:rsidRPr="00F45FF2">
          <w:rPr>
            <w:noProof/>
            <w:webHidden/>
          </w:rPr>
          <w:fldChar w:fldCharType="end"/>
        </w:r>
      </w:hyperlink>
    </w:p>
    <w:p w14:paraId="67ED8191" w14:textId="4C4452D8" w:rsidR="00F45FF2" w:rsidRPr="00F45FF2" w:rsidRDefault="00F45FF2">
      <w:pPr>
        <w:pStyle w:val="TOC2"/>
        <w:rPr>
          <w:rFonts w:ascii="Aptos" w:eastAsia="Yu Mincho" w:hAnsi="Aptos" w:cs="Arial"/>
          <w:kern w:val="2"/>
          <w:szCs w:val="24"/>
          <w:lang w:bidi="ar-SA"/>
        </w:rPr>
      </w:pPr>
      <w:hyperlink w:anchor="_Toc199268287" w:history="1">
        <w:r w:rsidRPr="00F45FF2">
          <w:rPr>
            <w:rStyle w:val="Hyperlink"/>
          </w:rPr>
          <w:t>Directive sur la performance énergétique des bâtiments</w:t>
        </w:r>
        <w:r w:rsidRPr="00F45FF2">
          <w:rPr>
            <w:webHidden/>
          </w:rPr>
          <w:tab/>
        </w:r>
        <w:r w:rsidRPr="00F45FF2">
          <w:rPr>
            <w:webHidden/>
          </w:rPr>
          <w:fldChar w:fldCharType="begin"/>
        </w:r>
        <w:r w:rsidRPr="00F45FF2">
          <w:rPr>
            <w:webHidden/>
          </w:rPr>
          <w:instrText xml:space="preserve"> PAGEREF _Toc199268287 \h </w:instrText>
        </w:r>
        <w:r w:rsidRPr="00F45FF2">
          <w:rPr>
            <w:webHidden/>
          </w:rPr>
        </w:r>
        <w:r w:rsidRPr="00F45FF2">
          <w:rPr>
            <w:webHidden/>
          </w:rPr>
          <w:fldChar w:fldCharType="separate"/>
        </w:r>
        <w:r w:rsidRPr="00F45FF2">
          <w:rPr>
            <w:webHidden/>
          </w:rPr>
          <w:t>13</w:t>
        </w:r>
        <w:r w:rsidRPr="00F45FF2">
          <w:rPr>
            <w:webHidden/>
          </w:rPr>
          <w:fldChar w:fldCharType="end"/>
        </w:r>
      </w:hyperlink>
    </w:p>
    <w:p w14:paraId="1D908333" w14:textId="35D6FA8C" w:rsidR="00F45FF2" w:rsidRPr="00F45FF2" w:rsidRDefault="00F45FF2">
      <w:pPr>
        <w:pStyle w:val="TOC1"/>
        <w:tabs>
          <w:tab w:val="right" w:leader="dot" w:pos="9980"/>
        </w:tabs>
        <w:rPr>
          <w:rFonts w:ascii="Aptos" w:eastAsia="Yu Mincho" w:hAnsi="Aptos" w:cs="Arial"/>
          <w:noProof/>
          <w:kern w:val="2"/>
          <w:szCs w:val="24"/>
          <w:lang w:bidi="ar-SA"/>
        </w:rPr>
      </w:pPr>
      <w:hyperlink w:anchor="_Toc199268288" w:history="1">
        <w:r w:rsidRPr="00F45FF2">
          <w:rPr>
            <w:rStyle w:val="Hyperlink"/>
            <w:noProof/>
          </w:rPr>
          <w:t>Transition numérique</w:t>
        </w:r>
        <w:r w:rsidRPr="00F45FF2">
          <w:rPr>
            <w:noProof/>
            <w:webHidden/>
          </w:rPr>
          <w:tab/>
        </w:r>
        <w:r w:rsidRPr="00F45FF2">
          <w:rPr>
            <w:noProof/>
            <w:webHidden/>
          </w:rPr>
          <w:fldChar w:fldCharType="begin"/>
        </w:r>
        <w:r w:rsidRPr="00F45FF2">
          <w:rPr>
            <w:noProof/>
            <w:webHidden/>
          </w:rPr>
          <w:instrText xml:space="preserve"> PAGEREF _Toc199268288 \h </w:instrText>
        </w:r>
        <w:r w:rsidRPr="00F45FF2">
          <w:rPr>
            <w:noProof/>
            <w:webHidden/>
          </w:rPr>
        </w:r>
        <w:r w:rsidRPr="00F45FF2">
          <w:rPr>
            <w:noProof/>
            <w:webHidden/>
          </w:rPr>
          <w:fldChar w:fldCharType="separate"/>
        </w:r>
        <w:r w:rsidRPr="00F45FF2">
          <w:rPr>
            <w:noProof/>
            <w:webHidden/>
          </w:rPr>
          <w:t>13</w:t>
        </w:r>
        <w:r w:rsidRPr="00F45FF2">
          <w:rPr>
            <w:noProof/>
            <w:webHidden/>
          </w:rPr>
          <w:fldChar w:fldCharType="end"/>
        </w:r>
      </w:hyperlink>
    </w:p>
    <w:p w14:paraId="4C06081B" w14:textId="7FD0A586" w:rsidR="00F45FF2" w:rsidRPr="00F45FF2" w:rsidRDefault="00F45FF2">
      <w:pPr>
        <w:pStyle w:val="TOC2"/>
        <w:rPr>
          <w:rFonts w:ascii="Aptos" w:eastAsia="Yu Mincho" w:hAnsi="Aptos" w:cs="Arial"/>
          <w:kern w:val="2"/>
          <w:szCs w:val="24"/>
          <w:lang w:bidi="ar-SA"/>
        </w:rPr>
      </w:pPr>
      <w:hyperlink w:anchor="_Toc199268289" w:history="1">
        <w:r w:rsidRPr="00F45FF2">
          <w:rPr>
            <w:rStyle w:val="Hyperlink"/>
          </w:rPr>
          <w:t>Euro numérique</w:t>
        </w:r>
        <w:r w:rsidRPr="00F45FF2">
          <w:rPr>
            <w:webHidden/>
          </w:rPr>
          <w:tab/>
        </w:r>
        <w:r w:rsidRPr="00F45FF2">
          <w:rPr>
            <w:webHidden/>
          </w:rPr>
          <w:fldChar w:fldCharType="begin"/>
        </w:r>
        <w:r w:rsidRPr="00F45FF2">
          <w:rPr>
            <w:webHidden/>
          </w:rPr>
          <w:instrText xml:space="preserve"> PAGEREF _Toc199268289 \h </w:instrText>
        </w:r>
        <w:r w:rsidRPr="00F45FF2">
          <w:rPr>
            <w:webHidden/>
          </w:rPr>
        </w:r>
        <w:r w:rsidRPr="00F45FF2">
          <w:rPr>
            <w:webHidden/>
          </w:rPr>
          <w:fldChar w:fldCharType="separate"/>
        </w:r>
        <w:r w:rsidRPr="00F45FF2">
          <w:rPr>
            <w:webHidden/>
          </w:rPr>
          <w:t>13</w:t>
        </w:r>
        <w:r w:rsidRPr="00F45FF2">
          <w:rPr>
            <w:webHidden/>
          </w:rPr>
          <w:fldChar w:fldCharType="end"/>
        </w:r>
      </w:hyperlink>
    </w:p>
    <w:p w14:paraId="1E71BFB7" w14:textId="78D713B2" w:rsidR="00F45FF2" w:rsidRPr="00F45FF2" w:rsidRDefault="00F45FF2">
      <w:pPr>
        <w:pStyle w:val="TOC1"/>
        <w:tabs>
          <w:tab w:val="right" w:leader="dot" w:pos="9980"/>
        </w:tabs>
        <w:rPr>
          <w:rFonts w:ascii="Aptos" w:eastAsia="Yu Mincho" w:hAnsi="Aptos" w:cs="Arial"/>
          <w:noProof/>
          <w:kern w:val="2"/>
          <w:szCs w:val="24"/>
          <w:lang w:bidi="ar-SA"/>
        </w:rPr>
      </w:pPr>
      <w:hyperlink w:anchor="_Toc199268290" w:history="1">
        <w:r w:rsidRPr="00F45FF2">
          <w:rPr>
            <w:rStyle w:val="Hyperlink"/>
            <w:noProof/>
          </w:rPr>
          <w:t>Transport</w:t>
        </w:r>
        <w:r w:rsidRPr="00F45FF2">
          <w:rPr>
            <w:noProof/>
            <w:webHidden/>
          </w:rPr>
          <w:tab/>
        </w:r>
        <w:r w:rsidRPr="00F45FF2">
          <w:rPr>
            <w:noProof/>
            <w:webHidden/>
          </w:rPr>
          <w:fldChar w:fldCharType="begin"/>
        </w:r>
        <w:r w:rsidRPr="00F45FF2">
          <w:rPr>
            <w:noProof/>
            <w:webHidden/>
          </w:rPr>
          <w:instrText xml:space="preserve"> PAGEREF _Toc199268290 \h </w:instrText>
        </w:r>
        <w:r w:rsidRPr="00F45FF2">
          <w:rPr>
            <w:noProof/>
            <w:webHidden/>
          </w:rPr>
        </w:r>
        <w:r w:rsidRPr="00F45FF2">
          <w:rPr>
            <w:noProof/>
            <w:webHidden/>
          </w:rPr>
          <w:fldChar w:fldCharType="separate"/>
        </w:r>
        <w:r w:rsidRPr="00F45FF2">
          <w:rPr>
            <w:noProof/>
            <w:webHidden/>
          </w:rPr>
          <w:t>14</w:t>
        </w:r>
        <w:r w:rsidRPr="00F45FF2">
          <w:rPr>
            <w:noProof/>
            <w:webHidden/>
          </w:rPr>
          <w:fldChar w:fldCharType="end"/>
        </w:r>
      </w:hyperlink>
    </w:p>
    <w:p w14:paraId="0CD48309" w14:textId="195A0424" w:rsidR="00F45FF2" w:rsidRPr="00F45FF2" w:rsidRDefault="00F45FF2">
      <w:pPr>
        <w:pStyle w:val="TOC2"/>
        <w:rPr>
          <w:rFonts w:ascii="Aptos" w:eastAsia="Yu Mincho" w:hAnsi="Aptos" w:cs="Arial"/>
          <w:kern w:val="2"/>
          <w:szCs w:val="24"/>
          <w:lang w:bidi="ar-SA"/>
        </w:rPr>
      </w:pPr>
      <w:hyperlink w:anchor="_Toc199268291" w:history="1">
        <w:r w:rsidRPr="00F45FF2">
          <w:rPr>
            <w:rStyle w:val="Hyperlink"/>
          </w:rPr>
          <w:t>Droits des passagers</w:t>
        </w:r>
        <w:r w:rsidRPr="00F45FF2">
          <w:rPr>
            <w:webHidden/>
          </w:rPr>
          <w:tab/>
        </w:r>
        <w:r w:rsidRPr="00F45FF2">
          <w:rPr>
            <w:webHidden/>
          </w:rPr>
          <w:fldChar w:fldCharType="begin"/>
        </w:r>
        <w:r w:rsidRPr="00F45FF2">
          <w:rPr>
            <w:webHidden/>
          </w:rPr>
          <w:instrText xml:space="preserve"> PAGEREF _Toc199268291 \h </w:instrText>
        </w:r>
        <w:r w:rsidRPr="00F45FF2">
          <w:rPr>
            <w:webHidden/>
          </w:rPr>
        </w:r>
        <w:r w:rsidRPr="00F45FF2">
          <w:rPr>
            <w:webHidden/>
          </w:rPr>
          <w:fldChar w:fldCharType="separate"/>
        </w:r>
        <w:r w:rsidRPr="00F45FF2">
          <w:rPr>
            <w:webHidden/>
          </w:rPr>
          <w:t>14</w:t>
        </w:r>
        <w:r w:rsidRPr="00F45FF2">
          <w:rPr>
            <w:webHidden/>
          </w:rPr>
          <w:fldChar w:fldCharType="end"/>
        </w:r>
      </w:hyperlink>
    </w:p>
    <w:p w14:paraId="4FB3A28C" w14:textId="04F0009E" w:rsidR="00F45FF2" w:rsidRPr="00F45FF2" w:rsidRDefault="00F45FF2">
      <w:pPr>
        <w:pStyle w:val="TOC2"/>
        <w:rPr>
          <w:rFonts w:ascii="Aptos" w:eastAsia="Yu Mincho" w:hAnsi="Aptos" w:cs="Arial"/>
          <w:kern w:val="2"/>
          <w:szCs w:val="24"/>
          <w:lang w:bidi="ar-SA"/>
        </w:rPr>
      </w:pPr>
      <w:hyperlink w:anchor="_Toc199268292" w:history="1">
        <w:r w:rsidRPr="00F45FF2">
          <w:rPr>
            <w:rStyle w:val="Hyperlink"/>
          </w:rPr>
          <w:t>Accessibilité des chemins de fer (STI-PRM)</w:t>
        </w:r>
        <w:r w:rsidRPr="00F45FF2">
          <w:rPr>
            <w:webHidden/>
          </w:rPr>
          <w:tab/>
        </w:r>
        <w:r w:rsidRPr="00F45FF2">
          <w:rPr>
            <w:webHidden/>
          </w:rPr>
          <w:fldChar w:fldCharType="begin"/>
        </w:r>
        <w:r w:rsidRPr="00F45FF2">
          <w:rPr>
            <w:webHidden/>
          </w:rPr>
          <w:instrText xml:space="preserve"> PAGEREF _Toc199268292 \h </w:instrText>
        </w:r>
        <w:r w:rsidRPr="00F45FF2">
          <w:rPr>
            <w:webHidden/>
          </w:rPr>
        </w:r>
        <w:r w:rsidRPr="00F45FF2">
          <w:rPr>
            <w:webHidden/>
          </w:rPr>
          <w:fldChar w:fldCharType="separate"/>
        </w:r>
        <w:r w:rsidRPr="00F45FF2">
          <w:rPr>
            <w:webHidden/>
          </w:rPr>
          <w:t>15</w:t>
        </w:r>
        <w:r w:rsidRPr="00F45FF2">
          <w:rPr>
            <w:webHidden/>
          </w:rPr>
          <w:fldChar w:fldCharType="end"/>
        </w:r>
      </w:hyperlink>
    </w:p>
    <w:p w14:paraId="396FAA21" w14:textId="2152D2E0" w:rsidR="00F45FF2" w:rsidRPr="00F45FF2" w:rsidRDefault="00F45FF2">
      <w:pPr>
        <w:pStyle w:val="TOC1"/>
        <w:tabs>
          <w:tab w:val="right" w:leader="dot" w:pos="9980"/>
        </w:tabs>
        <w:rPr>
          <w:rFonts w:ascii="Aptos" w:eastAsia="Yu Mincho" w:hAnsi="Aptos" w:cs="Arial"/>
          <w:noProof/>
          <w:kern w:val="2"/>
          <w:szCs w:val="24"/>
          <w:lang w:bidi="ar-SA"/>
        </w:rPr>
      </w:pPr>
      <w:hyperlink w:anchor="_Toc199268293" w:history="1">
        <w:r w:rsidRPr="00F45FF2">
          <w:rPr>
            <w:rStyle w:val="Hyperlink"/>
            <w:noProof/>
          </w:rPr>
          <w:t>Santé</w:t>
        </w:r>
        <w:r w:rsidRPr="00F45FF2">
          <w:rPr>
            <w:noProof/>
            <w:webHidden/>
          </w:rPr>
          <w:tab/>
        </w:r>
        <w:r w:rsidRPr="00F45FF2">
          <w:rPr>
            <w:noProof/>
            <w:webHidden/>
          </w:rPr>
          <w:fldChar w:fldCharType="begin"/>
        </w:r>
        <w:r w:rsidRPr="00F45FF2">
          <w:rPr>
            <w:noProof/>
            <w:webHidden/>
          </w:rPr>
          <w:instrText xml:space="preserve"> PAGEREF _Toc199268293 \h </w:instrText>
        </w:r>
        <w:r w:rsidRPr="00F45FF2">
          <w:rPr>
            <w:noProof/>
            <w:webHidden/>
          </w:rPr>
        </w:r>
        <w:r w:rsidRPr="00F45FF2">
          <w:rPr>
            <w:noProof/>
            <w:webHidden/>
          </w:rPr>
          <w:fldChar w:fldCharType="separate"/>
        </w:r>
        <w:r w:rsidRPr="00F45FF2">
          <w:rPr>
            <w:noProof/>
            <w:webHidden/>
          </w:rPr>
          <w:t>15</w:t>
        </w:r>
        <w:r w:rsidRPr="00F45FF2">
          <w:rPr>
            <w:noProof/>
            <w:webHidden/>
          </w:rPr>
          <w:fldChar w:fldCharType="end"/>
        </w:r>
      </w:hyperlink>
    </w:p>
    <w:p w14:paraId="0BDE8297" w14:textId="00C5EB84" w:rsidR="00F45FF2" w:rsidRPr="00F45FF2" w:rsidRDefault="00F45FF2">
      <w:pPr>
        <w:pStyle w:val="TOC2"/>
        <w:rPr>
          <w:rFonts w:ascii="Aptos" w:eastAsia="Yu Mincho" w:hAnsi="Aptos" w:cs="Arial"/>
          <w:kern w:val="2"/>
          <w:szCs w:val="24"/>
          <w:lang w:bidi="ar-SA"/>
        </w:rPr>
      </w:pPr>
      <w:hyperlink w:anchor="_Toc199268294" w:history="1">
        <w:r w:rsidRPr="00F45FF2">
          <w:rPr>
            <w:rStyle w:val="Hyperlink"/>
          </w:rPr>
          <w:t>Conseil de l'Europe - retrait du projet de protocole additionnel à la Convention d'Oviedo (sur le traitement involontaire et le placement en psychiatrie)</w:t>
        </w:r>
        <w:r w:rsidRPr="00F45FF2">
          <w:rPr>
            <w:webHidden/>
          </w:rPr>
          <w:tab/>
        </w:r>
        <w:r w:rsidRPr="00F45FF2">
          <w:rPr>
            <w:webHidden/>
          </w:rPr>
          <w:fldChar w:fldCharType="begin"/>
        </w:r>
        <w:r w:rsidRPr="00F45FF2">
          <w:rPr>
            <w:webHidden/>
          </w:rPr>
          <w:instrText xml:space="preserve"> PAGEREF _Toc199268294 \h </w:instrText>
        </w:r>
        <w:r w:rsidRPr="00F45FF2">
          <w:rPr>
            <w:webHidden/>
          </w:rPr>
        </w:r>
        <w:r w:rsidRPr="00F45FF2">
          <w:rPr>
            <w:webHidden/>
          </w:rPr>
          <w:fldChar w:fldCharType="separate"/>
        </w:r>
        <w:r w:rsidRPr="00F45FF2">
          <w:rPr>
            <w:webHidden/>
          </w:rPr>
          <w:t>15</w:t>
        </w:r>
        <w:r w:rsidRPr="00F45FF2">
          <w:rPr>
            <w:webHidden/>
          </w:rPr>
          <w:fldChar w:fldCharType="end"/>
        </w:r>
      </w:hyperlink>
    </w:p>
    <w:p w14:paraId="7244A315" w14:textId="44E20443" w:rsidR="00F45FF2" w:rsidRPr="00F45FF2" w:rsidRDefault="00F45FF2">
      <w:pPr>
        <w:pStyle w:val="TOC2"/>
        <w:rPr>
          <w:rFonts w:ascii="Aptos" w:eastAsia="Yu Mincho" w:hAnsi="Aptos" w:cs="Arial"/>
          <w:kern w:val="2"/>
          <w:szCs w:val="24"/>
          <w:lang w:bidi="ar-SA"/>
        </w:rPr>
      </w:pPr>
      <w:hyperlink w:anchor="_Toc199268295" w:history="1">
        <w:r w:rsidRPr="00F45FF2">
          <w:rPr>
            <w:rStyle w:val="Hyperlink"/>
          </w:rPr>
          <w:t>Évaluation des règlements de l'UE sur les dispositifs médicaux</w:t>
        </w:r>
        <w:r w:rsidRPr="00F45FF2">
          <w:rPr>
            <w:webHidden/>
          </w:rPr>
          <w:tab/>
        </w:r>
        <w:r w:rsidRPr="00F45FF2">
          <w:rPr>
            <w:webHidden/>
          </w:rPr>
          <w:fldChar w:fldCharType="begin"/>
        </w:r>
        <w:r w:rsidRPr="00F45FF2">
          <w:rPr>
            <w:webHidden/>
          </w:rPr>
          <w:instrText xml:space="preserve"> PAGEREF _Toc199268295 \h </w:instrText>
        </w:r>
        <w:r w:rsidRPr="00F45FF2">
          <w:rPr>
            <w:webHidden/>
          </w:rPr>
        </w:r>
        <w:r w:rsidRPr="00F45FF2">
          <w:rPr>
            <w:webHidden/>
          </w:rPr>
          <w:fldChar w:fldCharType="separate"/>
        </w:r>
        <w:r w:rsidRPr="00F45FF2">
          <w:rPr>
            <w:webHidden/>
          </w:rPr>
          <w:t>16</w:t>
        </w:r>
        <w:r w:rsidRPr="00F45FF2">
          <w:rPr>
            <w:webHidden/>
          </w:rPr>
          <w:fldChar w:fldCharType="end"/>
        </w:r>
      </w:hyperlink>
    </w:p>
    <w:p w14:paraId="4E3160BA" w14:textId="082E7B78" w:rsidR="00F45FF2" w:rsidRPr="00F45FF2" w:rsidRDefault="00F45FF2">
      <w:pPr>
        <w:pStyle w:val="TOC1"/>
        <w:tabs>
          <w:tab w:val="right" w:leader="dot" w:pos="9980"/>
        </w:tabs>
        <w:rPr>
          <w:rFonts w:ascii="Aptos" w:eastAsia="Yu Mincho" w:hAnsi="Aptos" w:cs="Arial"/>
          <w:noProof/>
          <w:kern w:val="2"/>
          <w:szCs w:val="24"/>
          <w:lang w:bidi="ar-SA"/>
        </w:rPr>
      </w:pPr>
      <w:hyperlink w:anchor="_Toc199268296" w:history="1">
        <w:r w:rsidRPr="00F45FF2">
          <w:rPr>
            <w:rStyle w:val="Hyperlink"/>
            <w:noProof/>
          </w:rPr>
          <w:t>Coopération internationale et action humanitaire</w:t>
        </w:r>
        <w:r w:rsidRPr="00F45FF2">
          <w:rPr>
            <w:noProof/>
            <w:webHidden/>
          </w:rPr>
          <w:tab/>
        </w:r>
        <w:r w:rsidRPr="00F45FF2">
          <w:rPr>
            <w:noProof/>
            <w:webHidden/>
          </w:rPr>
          <w:fldChar w:fldCharType="begin"/>
        </w:r>
        <w:r w:rsidRPr="00F45FF2">
          <w:rPr>
            <w:noProof/>
            <w:webHidden/>
          </w:rPr>
          <w:instrText xml:space="preserve"> PAGEREF _Toc199268296 \h </w:instrText>
        </w:r>
        <w:r w:rsidRPr="00F45FF2">
          <w:rPr>
            <w:noProof/>
            <w:webHidden/>
          </w:rPr>
        </w:r>
        <w:r w:rsidRPr="00F45FF2">
          <w:rPr>
            <w:noProof/>
            <w:webHidden/>
          </w:rPr>
          <w:fldChar w:fldCharType="separate"/>
        </w:r>
        <w:r w:rsidRPr="00F45FF2">
          <w:rPr>
            <w:noProof/>
            <w:webHidden/>
          </w:rPr>
          <w:t>17</w:t>
        </w:r>
        <w:r w:rsidRPr="00F45FF2">
          <w:rPr>
            <w:noProof/>
            <w:webHidden/>
          </w:rPr>
          <w:fldChar w:fldCharType="end"/>
        </w:r>
      </w:hyperlink>
    </w:p>
    <w:p w14:paraId="5758A266" w14:textId="206E7C62" w:rsidR="00F45FF2" w:rsidRPr="00F45FF2" w:rsidRDefault="00F45FF2">
      <w:pPr>
        <w:pStyle w:val="TOC2"/>
        <w:rPr>
          <w:rFonts w:ascii="Aptos" w:eastAsia="Yu Mincho" w:hAnsi="Aptos" w:cs="Arial"/>
          <w:kern w:val="2"/>
          <w:szCs w:val="24"/>
          <w:lang w:bidi="ar-SA"/>
        </w:rPr>
      </w:pPr>
      <w:hyperlink w:anchor="_Toc199268297" w:history="1">
        <w:r w:rsidRPr="00F45FF2">
          <w:rPr>
            <w:rStyle w:val="Hyperlink"/>
          </w:rPr>
          <w:t>Action pour le climat</w:t>
        </w:r>
        <w:r w:rsidRPr="00F45FF2">
          <w:rPr>
            <w:webHidden/>
          </w:rPr>
          <w:tab/>
        </w:r>
        <w:r w:rsidRPr="00F45FF2">
          <w:rPr>
            <w:webHidden/>
          </w:rPr>
          <w:fldChar w:fldCharType="begin"/>
        </w:r>
        <w:r w:rsidRPr="00F45FF2">
          <w:rPr>
            <w:webHidden/>
          </w:rPr>
          <w:instrText xml:space="preserve"> PAGEREF _Toc199268297 \h </w:instrText>
        </w:r>
        <w:r w:rsidRPr="00F45FF2">
          <w:rPr>
            <w:webHidden/>
          </w:rPr>
        </w:r>
        <w:r w:rsidRPr="00F45FF2">
          <w:rPr>
            <w:webHidden/>
          </w:rPr>
          <w:fldChar w:fldCharType="separate"/>
        </w:r>
        <w:r w:rsidRPr="00F45FF2">
          <w:rPr>
            <w:webHidden/>
          </w:rPr>
          <w:t>17</w:t>
        </w:r>
        <w:r w:rsidRPr="00F45FF2">
          <w:rPr>
            <w:webHidden/>
          </w:rPr>
          <w:fldChar w:fldCharType="end"/>
        </w:r>
      </w:hyperlink>
    </w:p>
    <w:p w14:paraId="7E5B134B" w14:textId="3584D0D9" w:rsidR="00F45FF2" w:rsidRPr="00F45FF2" w:rsidRDefault="00F45FF2">
      <w:pPr>
        <w:pStyle w:val="TOC2"/>
        <w:rPr>
          <w:rFonts w:ascii="Aptos" w:eastAsia="Yu Mincho" w:hAnsi="Aptos" w:cs="Arial"/>
          <w:kern w:val="2"/>
          <w:szCs w:val="24"/>
          <w:lang w:bidi="ar-SA"/>
        </w:rPr>
      </w:pPr>
      <w:hyperlink w:anchor="_Toc199268298" w:history="1">
        <w:r w:rsidRPr="00F45FF2">
          <w:rPr>
            <w:rStyle w:val="Hyperlink"/>
          </w:rPr>
          <w:t>Action humanitaire et protection civile</w:t>
        </w:r>
        <w:r w:rsidRPr="00F45FF2">
          <w:rPr>
            <w:webHidden/>
          </w:rPr>
          <w:tab/>
        </w:r>
        <w:r w:rsidRPr="00F45FF2">
          <w:rPr>
            <w:webHidden/>
          </w:rPr>
          <w:fldChar w:fldCharType="begin"/>
        </w:r>
        <w:r w:rsidRPr="00F45FF2">
          <w:rPr>
            <w:webHidden/>
          </w:rPr>
          <w:instrText xml:space="preserve"> PAGEREF _Toc199268298 \h </w:instrText>
        </w:r>
        <w:r w:rsidRPr="00F45FF2">
          <w:rPr>
            <w:webHidden/>
          </w:rPr>
        </w:r>
        <w:r w:rsidRPr="00F45FF2">
          <w:rPr>
            <w:webHidden/>
          </w:rPr>
          <w:fldChar w:fldCharType="separate"/>
        </w:r>
        <w:r w:rsidRPr="00F45FF2">
          <w:rPr>
            <w:webHidden/>
          </w:rPr>
          <w:t>17</w:t>
        </w:r>
        <w:r w:rsidRPr="00F45FF2">
          <w:rPr>
            <w:webHidden/>
          </w:rPr>
          <w:fldChar w:fldCharType="end"/>
        </w:r>
      </w:hyperlink>
    </w:p>
    <w:p w14:paraId="07002833" w14:textId="1EB97735" w:rsidR="00F45FF2" w:rsidRPr="00F45FF2" w:rsidRDefault="00F45FF2">
      <w:pPr>
        <w:pStyle w:val="TOC2"/>
        <w:rPr>
          <w:rFonts w:ascii="Aptos" w:eastAsia="Yu Mincho" w:hAnsi="Aptos" w:cs="Arial"/>
          <w:kern w:val="2"/>
          <w:szCs w:val="24"/>
          <w:lang w:bidi="ar-SA"/>
        </w:rPr>
      </w:pPr>
      <w:hyperlink w:anchor="_Toc199268299" w:history="1">
        <w:r w:rsidRPr="00F45FF2">
          <w:rPr>
            <w:rStyle w:val="Hyperlink"/>
          </w:rPr>
          <w:t>Paquet élargissement de l'UE</w:t>
        </w:r>
        <w:r w:rsidRPr="00F45FF2">
          <w:rPr>
            <w:webHidden/>
          </w:rPr>
          <w:tab/>
        </w:r>
        <w:r w:rsidRPr="00F45FF2">
          <w:rPr>
            <w:webHidden/>
          </w:rPr>
          <w:fldChar w:fldCharType="begin"/>
        </w:r>
        <w:r w:rsidRPr="00F45FF2">
          <w:rPr>
            <w:webHidden/>
          </w:rPr>
          <w:instrText xml:space="preserve"> PAGEREF _Toc199268299 \h </w:instrText>
        </w:r>
        <w:r w:rsidRPr="00F45FF2">
          <w:rPr>
            <w:webHidden/>
          </w:rPr>
        </w:r>
        <w:r w:rsidRPr="00F45FF2">
          <w:rPr>
            <w:webHidden/>
          </w:rPr>
          <w:fldChar w:fldCharType="separate"/>
        </w:r>
        <w:r w:rsidRPr="00F45FF2">
          <w:rPr>
            <w:webHidden/>
          </w:rPr>
          <w:t>18</w:t>
        </w:r>
        <w:r w:rsidRPr="00F45FF2">
          <w:rPr>
            <w:webHidden/>
          </w:rPr>
          <w:fldChar w:fldCharType="end"/>
        </w:r>
      </w:hyperlink>
    </w:p>
    <w:p w14:paraId="2C12DB0F" w14:textId="352F40F6" w:rsidR="00F45FF2" w:rsidRPr="00F45FF2" w:rsidRDefault="00F45FF2">
      <w:pPr>
        <w:pStyle w:val="TOC2"/>
        <w:rPr>
          <w:rFonts w:ascii="Aptos" w:eastAsia="Yu Mincho" w:hAnsi="Aptos" w:cs="Arial"/>
          <w:kern w:val="2"/>
          <w:szCs w:val="24"/>
          <w:lang w:bidi="ar-SA"/>
        </w:rPr>
      </w:pPr>
      <w:hyperlink w:anchor="_Toc199268300" w:history="1">
        <w:r w:rsidRPr="00F45FF2">
          <w:rPr>
            <w:rStyle w:val="Hyperlink"/>
          </w:rPr>
          <w:t>Le vivier de talents de l'UE</w:t>
        </w:r>
        <w:r w:rsidRPr="00F45FF2">
          <w:rPr>
            <w:webHidden/>
          </w:rPr>
          <w:tab/>
        </w:r>
        <w:r w:rsidRPr="00F45FF2">
          <w:rPr>
            <w:webHidden/>
          </w:rPr>
          <w:fldChar w:fldCharType="begin"/>
        </w:r>
        <w:r w:rsidRPr="00F45FF2">
          <w:rPr>
            <w:webHidden/>
          </w:rPr>
          <w:instrText xml:space="preserve"> PAGEREF _Toc199268300 \h </w:instrText>
        </w:r>
        <w:r w:rsidRPr="00F45FF2">
          <w:rPr>
            <w:webHidden/>
          </w:rPr>
        </w:r>
        <w:r w:rsidRPr="00F45FF2">
          <w:rPr>
            <w:webHidden/>
          </w:rPr>
          <w:fldChar w:fldCharType="separate"/>
        </w:r>
        <w:r w:rsidRPr="00F45FF2">
          <w:rPr>
            <w:webHidden/>
          </w:rPr>
          <w:t>18</w:t>
        </w:r>
        <w:r w:rsidRPr="00F45FF2">
          <w:rPr>
            <w:webHidden/>
          </w:rPr>
          <w:fldChar w:fldCharType="end"/>
        </w:r>
      </w:hyperlink>
    </w:p>
    <w:p w14:paraId="6A6AA092" w14:textId="149039C5" w:rsidR="00F45FF2" w:rsidRPr="00F45FF2" w:rsidRDefault="00F45FF2">
      <w:pPr>
        <w:pStyle w:val="TOC2"/>
        <w:rPr>
          <w:rFonts w:ascii="Aptos" w:eastAsia="Yu Mincho" w:hAnsi="Aptos" w:cs="Arial"/>
          <w:kern w:val="2"/>
          <w:szCs w:val="24"/>
          <w:lang w:bidi="ar-SA"/>
        </w:rPr>
      </w:pPr>
      <w:hyperlink w:anchor="_Toc199268301" w:history="1">
        <w:r w:rsidRPr="00F45FF2">
          <w:rPr>
            <w:rStyle w:val="Hyperlink"/>
          </w:rPr>
          <w:t>Plan d'action de l'UE sur les droits de l'homme et la démocratie : Dialogues sur les droits de l'homme</w:t>
        </w:r>
        <w:r w:rsidRPr="00F45FF2">
          <w:rPr>
            <w:webHidden/>
          </w:rPr>
          <w:tab/>
        </w:r>
        <w:r w:rsidRPr="00F45FF2">
          <w:rPr>
            <w:webHidden/>
          </w:rPr>
          <w:fldChar w:fldCharType="begin"/>
        </w:r>
        <w:r w:rsidRPr="00F45FF2">
          <w:rPr>
            <w:webHidden/>
          </w:rPr>
          <w:instrText xml:space="preserve"> PAGEREF _Toc199268301 \h </w:instrText>
        </w:r>
        <w:r w:rsidRPr="00F45FF2">
          <w:rPr>
            <w:webHidden/>
          </w:rPr>
        </w:r>
        <w:r w:rsidRPr="00F45FF2">
          <w:rPr>
            <w:webHidden/>
          </w:rPr>
          <w:fldChar w:fldCharType="separate"/>
        </w:r>
        <w:r w:rsidRPr="00F45FF2">
          <w:rPr>
            <w:webHidden/>
          </w:rPr>
          <w:t>19</w:t>
        </w:r>
        <w:r w:rsidRPr="00F45FF2">
          <w:rPr>
            <w:webHidden/>
          </w:rPr>
          <w:fldChar w:fldCharType="end"/>
        </w:r>
      </w:hyperlink>
    </w:p>
    <w:p w14:paraId="179EDDE1" w14:textId="44782D61" w:rsidR="00F45FF2" w:rsidRPr="00F45FF2" w:rsidRDefault="00F45FF2">
      <w:pPr>
        <w:pStyle w:val="TOC2"/>
        <w:rPr>
          <w:rFonts w:ascii="Aptos" w:eastAsia="Yu Mincho" w:hAnsi="Aptos" w:cs="Arial"/>
          <w:kern w:val="2"/>
          <w:szCs w:val="24"/>
          <w:lang w:bidi="ar-SA"/>
        </w:rPr>
      </w:pPr>
      <w:hyperlink w:anchor="_Toc199268302" w:history="1">
        <w:r w:rsidRPr="00F45FF2">
          <w:rPr>
            <w:rStyle w:val="Hyperlink"/>
          </w:rPr>
          <w:t>Sommet mondial des personnes handicapées 2025</w:t>
        </w:r>
        <w:r w:rsidRPr="00F45FF2">
          <w:rPr>
            <w:webHidden/>
          </w:rPr>
          <w:tab/>
        </w:r>
        <w:r w:rsidRPr="00F45FF2">
          <w:rPr>
            <w:webHidden/>
          </w:rPr>
          <w:fldChar w:fldCharType="begin"/>
        </w:r>
        <w:r w:rsidRPr="00F45FF2">
          <w:rPr>
            <w:webHidden/>
          </w:rPr>
          <w:instrText xml:space="preserve"> PAGEREF _Toc199268302 \h </w:instrText>
        </w:r>
        <w:r w:rsidRPr="00F45FF2">
          <w:rPr>
            <w:webHidden/>
          </w:rPr>
        </w:r>
        <w:r w:rsidRPr="00F45FF2">
          <w:rPr>
            <w:webHidden/>
          </w:rPr>
          <w:fldChar w:fldCharType="separate"/>
        </w:r>
        <w:r w:rsidRPr="00F45FF2">
          <w:rPr>
            <w:webHidden/>
          </w:rPr>
          <w:t>19</w:t>
        </w:r>
        <w:r w:rsidRPr="00F45FF2">
          <w:rPr>
            <w:webHidden/>
          </w:rPr>
          <w:fldChar w:fldCharType="end"/>
        </w:r>
      </w:hyperlink>
    </w:p>
    <w:p w14:paraId="44B2B63D" w14:textId="4FC62556" w:rsidR="00F45FF2" w:rsidRPr="00F45FF2" w:rsidRDefault="00F45FF2">
      <w:pPr>
        <w:pStyle w:val="TOC2"/>
        <w:rPr>
          <w:rFonts w:ascii="Aptos" w:eastAsia="Yu Mincho" w:hAnsi="Aptos" w:cs="Arial"/>
          <w:kern w:val="2"/>
          <w:szCs w:val="24"/>
          <w:lang w:bidi="ar-SA"/>
        </w:rPr>
      </w:pPr>
      <w:hyperlink w:anchor="_Toc199268303" w:history="1">
        <w:r w:rsidRPr="00F45FF2">
          <w:rPr>
            <w:rStyle w:val="Hyperlink"/>
          </w:rPr>
          <w:t>G7 Solfagnano Charter</w:t>
        </w:r>
        <w:r w:rsidRPr="00F45FF2">
          <w:rPr>
            <w:webHidden/>
          </w:rPr>
          <w:tab/>
        </w:r>
        <w:r w:rsidRPr="00F45FF2">
          <w:rPr>
            <w:webHidden/>
          </w:rPr>
          <w:fldChar w:fldCharType="begin"/>
        </w:r>
        <w:r w:rsidRPr="00F45FF2">
          <w:rPr>
            <w:webHidden/>
          </w:rPr>
          <w:instrText xml:space="preserve"> PAGEREF _Toc199268303 \h </w:instrText>
        </w:r>
        <w:r w:rsidRPr="00F45FF2">
          <w:rPr>
            <w:webHidden/>
          </w:rPr>
        </w:r>
        <w:r w:rsidRPr="00F45FF2">
          <w:rPr>
            <w:webHidden/>
          </w:rPr>
          <w:fldChar w:fldCharType="separate"/>
        </w:r>
        <w:r w:rsidRPr="00F45FF2">
          <w:rPr>
            <w:webHidden/>
          </w:rPr>
          <w:t>20</w:t>
        </w:r>
        <w:r w:rsidRPr="00F45FF2">
          <w:rPr>
            <w:webHidden/>
          </w:rPr>
          <w:fldChar w:fldCharType="end"/>
        </w:r>
      </w:hyperlink>
    </w:p>
    <w:p w14:paraId="1706102A" w14:textId="05707B28" w:rsidR="00F45FF2" w:rsidRPr="00F45FF2" w:rsidRDefault="00F45FF2">
      <w:pPr>
        <w:pStyle w:val="TOC1"/>
        <w:tabs>
          <w:tab w:val="right" w:leader="dot" w:pos="9980"/>
        </w:tabs>
        <w:rPr>
          <w:rFonts w:ascii="Aptos" w:eastAsia="Yu Mincho" w:hAnsi="Aptos" w:cs="Arial"/>
          <w:noProof/>
          <w:kern w:val="2"/>
          <w:szCs w:val="24"/>
          <w:lang w:bidi="ar-SA"/>
        </w:rPr>
      </w:pPr>
      <w:hyperlink w:anchor="_Toc199268304" w:history="1">
        <w:r w:rsidRPr="00F45FF2">
          <w:rPr>
            <w:rStyle w:val="Hyperlink"/>
            <w:noProof/>
          </w:rPr>
          <w:t>Lois et politiques adoptées par l'UE</w:t>
        </w:r>
        <w:r w:rsidRPr="00F45FF2">
          <w:rPr>
            <w:noProof/>
            <w:webHidden/>
          </w:rPr>
          <w:tab/>
        </w:r>
        <w:r w:rsidRPr="00F45FF2">
          <w:rPr>
            <w:noProof/>
            <w:webHidden/>
          </w:rPr>
          <w:fldChar w:fldCharType="begin"/>
        </w:r>
        <w:r w:rsidRPr="00F45FF2">
          <w:rPr>
            <w:noProof/>
            <w:webHidden/>
          </w:rPr>
          <w:instrText xml:space="preserve"> PAGEREF _Toc199268304 \h </w:instrText>
        </w:r>
        <w:r w:rsidRPr="00F45FF2">
          <w:rPr>
            <w:noProof/>
            <w:webHidden/>
          </w:rPr>
        </w:r>
        <w:r w:rsidRPr="00F45FF2">
          <w:rPr>
            <w:noProof/>
            <w:webHidden/>
          </w:rPr>
          <w:fldChar w:fldCharType="separate"/>
        </w:r>
        <w:r w:rsidRPr="00F45FF2">
          <w:rPr>
            <w:noProof/>
            <w:webHidden/>
          </w:rPr>
          <w:t>21</w:t>
        </w:r>
        <w:r w:rsidRPr="00F45FF2">
          <w:rPr>
            <w:noProof/>
            <w:webHidden/>
          </w:rPr>
          <w:fldChar w:fldCharType="end"/>
        </w:r>
      </w:hyperlink>
    </w:p>
    <w:p w14:paraId="5EA6D21B" w14:textId="2B410CE8" w:rsidR="00F45FF2" w:rsidRPr="00F45FF2" w:rsidRDefault="00F45FF2">
      <w:pPr>
        <w:pStyle w:val="TOC1"/>
        <w:tabs>
          <w:tab w:val="right" w:leader="dot" w:pos="9980"/>
        </w:tabs>
        <w:rPr>
          <w:rFonts w:ascii="Aptos" w:eastAsia="Yu Mincho" w:hAnsi="Aptos" w:cs="Arial"/>
          <w:noProof/>
          <w:kern w:val="2"/>
          <w:szCs w:val="24"/>
          <w:lang w:bidi="ar-SA"/>
        </w:rPr>
      </w:pPr>
      <w:hyperlink w:anchor="_Toc199268305" w:history="1">
        <w:r w:rsidRPr="00F45FF2">
          <w:rPr>
            <w:rStyle w:val="Hyperlink"/>
            <w:noProof/>
          </w:rPr>
          <w:t>Contacts au secrétariat du FE</w:t>
        </w:r>
        <w:r w:rsidR="00F22193">
          <w:rPr>
            <w:rStyle w:val="Hyperlink"/>
            <w:noProof/>
          </w:rPr>
          <w:t>PH</w:t>
        </w:r>
        <w:r w:rsidRPr="00F45FF2">
          <w:rPr>
            <w:rStyle w:val="Hyperlink"/>
            <w:noProof/>
          </w:rPr>
          <w:t xml:space="preserve"> :</w:t>
        </w:r>
        <w:r w:rsidRPr="00F45FF2">
          <w:rPr>
            <w:noProof/>
            <w:webHidden/>
          </w:rPr>
          <w:tab/>
        </w:r>
        <w:r w:rsidRPr="00F45FF2">
          <w:rPr>
            <w:noProof/>
            <w:webHidden/>
          </w:rPr>
          <w:fldChar w:fldCharType="begin"/>
        </w:r>
        <w:r w:rsidRPr="00F45FF2">
          <w:rPr>
            <w:noProof/>
            <w:webHidden/>
          </w:rPr>
          <w:instrText xml:space="preserve"> PAGEREF _Toc199268305 \h </w:instrText>
        </w:r>
        <w:r w:rsidRPr="00F45FF2">
          <w:rPr>
            <w:noProof/>
            <w:webHidden/>
          </w:rPr>
        </w:r>
        <w:r w:rsidRPr="00F45FF2">
          <w:rPr>
            <w:noProof/>
            <w:webHidden/>
          </w:rPr>
          <w:fldChar w:fldCharType="separate"/>
        </w:r>
        <w:r w:rsidRPr="00F45FF2">
          <w:rPr>
            <w:noProof/>
            <w:webHidden/>
          </w:rPr>
          <w:t>23</w:t>
        </w:r>
        <w:r w:rsidRPr="00F45FF2">
          <w:rPr>
            <w:noProof/>
            <w:webHidden/>
          </w:rPr>
          <w:fldChar w:fldCharType="end"/>
        </w:r>
      </w:hyperlink>
    </w:p>
    <w:p w14:paraId="7E45F187" w14:textId="77777777" w:rsidR="005A350B" w:rsidRDefault="002C076E" w:rsidP="005A350B">
      <w:pPr>
        <w:rPr>
          <w:rFonts w:cs="Arial"/>
          <w:noProof/>
        </w:rPr>
      </w:pPr>
      <w:r w:rsidRPr="00E124E7">
        <w:rPr>
          <w:rFonts w:cs="Arial"/>
          <w:noProof/>
        </w:rPr>
        <w:fldChar w:fldCharType="end"/>
      </w:r>
      <w:bookmarkStart w:id="12" w:name="_Toc179464861"/>
      <w:bookmarkStart w:id="13" w:name="_Toc180402113"/>
      <w:bookmarkStart w:id="14" w:name="_Toc199268264"/>
    </w:p>
    <w:p w14:paraId="3EF5BFD2" w14:textId="3AFC5B43" w:rsidR="00265F0A" w:rsidRPr="00711662" w:rsidRDefault="00265F0A" w:rsidP="005A350B">
      <w:pPr>
        <w:rPr>
          <w:b/>
          <w:bCs/>
          <w:color w:val="0A77B3"/>
          <w:sz w:val="28"/>
          <w:szCs w:val="28"/>
          <w:lang w:val="fr-BE"/>
        </w:rPr>
      </w:pPr>
      <w:r w:rsidRPr="00711662">
        <w:rPr>
          <w:b/>
          <w:bCs/>
          <w:color w:val="0A77B3"/>
          <w:sz w:val="28"/>
          <w:szCs w:val="28"/>
          <w:lang w:val="fr-BE"/>
        </w:rPr>
        <w:t>Législation et politiques en préparation au niveau de l'UE</w:t>
      </w:r>
      <w:bookmarkEnd w:id="12"/>
      <w:bookmarkEnd w:id="13"/>
      <w:bookmarkEnd w:id="14"/>
    </w:p>
    <w:p w14:paraId="74CCA4F1" w14:textId="77777777" w:rsidR="00265F0A" w:rsidRPr="00711662" w:rsidRDefault="00265F0A" w:rsidP="00265F0A">
      <w:pPr>
        <w:spacing w:line="360" w:lineRule="auto"/>
        <w:rPr>
          <w:sz w:val="24"/>
          <w:szCs w:val="24"/>
          <w:lang w:val="fr-BE"/>
        </w:rPr>
      </w:pPr>
      <w:r w:rsidRPr="00711662">
        <w:rPr>
          <w:sz w:val="24"/>
          <w:szCs w:val="24"/>
          <w:lang w:val="fr-BE"/>
        </w:rPr>
        <w:t xml:space="preserve">Dans cette section, nous partageons les lois et les politiques qui sont actuellement conçues et négociées au niveau de l'UE et au niveau international. Les membres du FEPH sont encouragés à s'impliquer pour influencer ces dossiers politiques. </w:t>
      </w:r>
    </w:p>
    <w:p w14:paraId="69E0A098" w14:textId="77777777" w:rsidR="00265F0A" w:rsidRPr="00711662" w:rsidRDefault="00265F0A" w:rsidP="00265F0A">
      <w:pPr>
        <w:keepNext/>
        <w:keepLines/>
        <w:spacing w:before="480" w:after="240"/>
        <w:outlineLvl w:val="0"/>
        <w:rPr>
          <w:b/>
          <w:bCs/>
          <w:color w:val="0A77B3"/>
          <w:sz w:val="28"/>
          <w:szCs w:val="28"/>
          <w:lang w:val="fr-BE"/>
        </w:rPr>
      </w:pPr>
      <w:bookmarkStart w:id="15" w:name="_Toc179464862"/>
      <w:bookmarkStart w:id="16" w:name="_Toc180402114"/>
      <w:bookmarkStart w:id="17" w:name="_Toc199268265"/>
      <w:r w:rsidRPr="00711662">
        <w:rPr>
          <w:b/>
          <w:bCs/>
          <w:color w:val="0A77B3"/>
          <w:sz w:val="28"/>
          <w:szCs w:val="28"/>
          <w:lang w:val="fr-BE"/>
        </w:rPr>
        <w:t>Stratégie européenne en matière de droits des personnes handicapées 2021-2030</w:t>
      </w:r>
      <w:bookmarkEnd w:id="15"/>
      <w:bookmarkEnd w:id="16"/>
      <w:bookmarkEnd w:id="17"/>
    </w:p>
    <w:p w14:paraId="697DC88C" w14:textId="382C53D5" w:rsidR="00265F0A" w:rsidRPr="00711662" w:rsidRDefault="005D2914" w:rsidP="00265F0A">
      <w:pPr>
        <w:spacing w:line="360" w:lineRule="auto"/>
        <w:rPr>
          <w:sz w:val="24"/>
          <w:szCs w:val="24"/>
          <w:lang w:val="fr-BE"/>
        </w:rPr>
      </w:pPr>
      <w:r w:rsidRPr="00711662">
        <w:rPr>
          <w:sz w:val="24"/>
          <w:szCs w:val="24"/>
          <w:lang w:val="fr-BE"/>
        </w:rPr>
        <w:t xml:space="preserve">En novembre 2024, le FEPH a approuvé son </w:t>
      </w:r>
      <w:hyperlink r:id="rId11" w:history="1">
        <w:r w:rsidRPr="00711662">
          <w:rPr>
            <w:rStyle w:val="Hyperlink"/>
            <w:sz w:val="24"/>
            <w:szCs w:val="24"/>
            <w:lang w:val="fr-BE"/>
          </w:rPr>
          <w:t>document de synthèse décrivant les actions et les initiatives phares sur lesquelles nous souhaitons que la Commission travaille pour la seconde moitié de la stratégie</w:t>
        </w:r>
      </w:hyperlink>
      <w:r w:rsidRPr="00711662">
        <w:rPr>
          <w:sz w:val="24"/>
          <w:szCs w:val="24"/>
          <w:lang w:val="fr-BE"/>
        </w:rPr>
        <w:t>.</w:t>
      </w:r>
    </w:p>
    <w:p w14:paraId="2F41B232" w14:textId="67CDAB0B" w:rsidR="004C50C7" w:rsidRPr="00711662" w:rsidRDefault="00B25296" w:rsidP="00265F0A">
      <w:pPr>
        <w:spacing w:line="360" w:lineRule="auto"/>
        <w:rPr>
          <w:sz w:val="24"/>
          <w:szCs w:val="24"/>
          <w:lang w:val="fr-BE"/>
        </w:rPr>
      </w:pPr>
      <w:r w:rsidRPr="00711662">
        <w:rPr>
          <w:sz w:val="24"/>
          <w:szCs w:val="24"/>
          <w:lang w:val="fr-BE"/>
        </w:rPr>
        <w:lastRenderedPageBreak/>
        <w:t xml:space="preserve">Entre-temps, le Comité des Nations unies sur les droits des personnes handicapées a également recommandé à l'UE de développer davantage d'actions pour la seconde moitié de la stratégie </w:t>
      </w:r>
      <w:r w:rsidR="004C50C7" w:rsidRPr="00711662">
        <w:rPr>
          <w:sz w:val="24"/>
          <w:szCs w:val="24"/>
          <w:lang w:val="fr-BE"/>
        </w:rPr>
        <w:t xml:space="preserve">dans </w:t>
      </w:r>
      <w:hyperlink r:id="rId12" w:history="1">
        <w:r w:rsidR="004C50C7" w:rsidRPr="00711662">
          <w:rPr>
            <w:rStyle w:val="Hyperlink"/>
            <w:sz w:val="24"/>
            <w:szCs w:val="24"/>
            <w:lang w:val="fr-BE"/>
          </w:rPr>
          <w:t>ses observations finales de mars 2025</w:t>
        </w:r>
      </w:hyperlink>
      <w:r w:rsidRPr="00711662">
        <w:rPr>
          <w:sz w:val="24"/>
          <w:szCs w:val="24"/>
          <w:lang w:val="fr-BE"/>
        </w:rPr>
        <w:t>.</w:t>
      </w:r>
    </w:p>
    <w:p w14:paraId="2FE853C3" w14:textId="69DCBBB7" w:rsidR="00A2241C" w:rsidRPr="00711662" w:rsidRDefault="004C50C7" w:rsidP="38402D5F">
      <w:pPr>
        <w:spacing w:line="360" w:lineRule="auto"/>
        <w:rPr>
          <w:sz w:val="24"/>
          <w:szCs w:val="24"/>
          <w:lang w:val="fr-BE"/>
        </w:rPr>
      </w:pPr>
      <w:r w:rsidRPr="00711662">
        <w:rPr>
          <w:sz w:val="24"/>
          <w:szCs w:val="24"/>
          <w:lang w:val="fr-BE"/>
        </w:rPr>
        <w:t xml:space="preserve">Le </w:t>
      </w:r>
      <w:r w:rsidR="008014E2" w:rsidRPr="00711662">
        <w:rPr>
          <w:sz w:val="24"/>
          <w:szCs w:val="24"/>
          <w:lang w:val="fr-BE"/>
        </w:rPr>
        <w:t xml:space="preserve">Parlement européen et le Comité économique et social européen sont également en train d'adopter des </w:t>
      </w:r>
      <w:r w:rsidR="00A2241C" w:rsidRPr="00711662">
        <w:rPr>
          <w:sz w:val="24"/>
          <w:szCs w:val="24"/>
          <w:lang w:val="fr-BE"/>
        </w:rPr>
        <w:t xml:space="preserve">rapports sur l'avenir de la stratégie qui reprennent de nombreuses demandes du FEPH. </w:t>
      </w:r>
    </w:p>
    <w:p w14:paraId="5FA55DC8" w14:textId="1E47235B" w:rsidR="005D2914" w:rsidRPr="00711662" w:rsidRDefault="00A2241C" w:rsidP="38402D5F">
      <w:pPr>
        <w:spacing w:line="360" w:lineRule="auto"/>
        <w:rPr>
          <w:sz w:val="24"/>
          <w:szCs w:val="24"/>
          <w:lang w:val="fr-BE"/>
        </w:rPr>
      </w:pPr>
      <w:r w:rsidRPr="00711662">
        <w:rPr>
          <w:sz w:val="24"/>
          <w:szCs w:val="24"/>
          <w:lang w:val="fr-BE"/>
        </w:rPr>
        <w:t xml:space="preserve">Jusqu'à présent, il n'y a pas eu de confirmation d'un calendrier </w:t>
      </w:r>
      <w:r w:rsidR="004E5D8A" w:rsidRPr="00711662">
        <w:rPr>
          <w:sz w:val="24"/>
          <w:szCs w:val="24"/>
          <w:lang w:val="fr-BE"/>
        </w:rPr>
        <w:t xml:space="preserve">pour le développement d'actions pour la seconde moitié de la stratégie, bien que la commissaire européenne chargée de l'égalité, Hadja Lahbib, ait déclaré que la Commission s'engageait à continuer à travailler sur ces actions. </w:t>
      </w:r>
      <w:r w:rsidR="00B25296" w:rsidRPr="00711662">
        <w:rPr>
          <w:sz w:val="24"/>
          <w:szCs w:val="24"/>
          <w:lang w:val="fr-BE"/>
        </w:rPr>
        <w:t xml:space="preserve"> </w:t>
      </w:r>
    </w:p>
    <w:p w14:paraId="1983A131" w14:textId="77777777" w:rsidR="00265F0A" w:rsidRPr="00711662" w:rsidRDefault="00265F0A" w:rsidP="00265F0A">
      <w:pPr>
        <w:spacing w:line="360" w:lineRule="auto"/>
        <w:rPr>
          <w:sz w:val="24"/>
          <w:szCs w:val="24"/>
          <w:lang w:val="fr-BE"/>
        </w:rPr>
      </w:pPr>
      <w:r w:rsidRPr="00711662">
        <w:rPr>
          <w:sz w:val="24"/>
          <w:szCs w:val="24"/>
          <w:lang w:val="fr-BE"/>
        </w:rPr>
        <w:t xml:space="preserve">Contact : Alejandro et Haydn. </w:t>
      </w:r>
    </w:p>
    <w:p w14:paraId="69CB91B7" w14:textId="77777777" w:rsidR="00265F0A" w:rsidRPr="00711662" w:rsidRDefault="00265F0A" w:rsidP="00265F0A">
      <w:pPr>
        <w:keepNext/>
        <w:keepLines/>
        <w:spacing w:before="200" w:after="240"/>
        <w:outlineLvl w:val="1"/>
        <w:rPr>
          <w:b/>
          <w:bCs/>
          <w:color w:val="0A77B3"/>
          <w:sz w:val="24"/>
          <w:szCs w:val="26"/>
          <w:lang w:val="fr-BE"/>
        </w:rPr>
      </w:pPr>
      <w:bookmarkStart w:id="18" w:name="_Toc179464863"/>
      <w:bookmarkStart w:id="19" w:name="_Toc180402115"/>
      <w:bookmarkStart w:id="20" w:name="_Toc199268266"/>
      <w:r w:rsidRPr="00711662">
        <w:rPr>
          <w:b/>
          <w:bCs/>
          <w:color w:val="0A77B3"/>
          <w:sz w:val="24"/>
          <w:szCs w:val="26"/>
          <w:lang w:val="fr-BE"/>
        </w:rPr>
        <w:t>Carte d'invalidité</w:t>
      </w:r>
      <w:bookmarkEnd w:id="18"/>
      <w:bookmarkEnd w:id="19"/>
      <w:bookmarkEnd w:id="20"/>
    </w:p>
    <w:p w14:paraId="52C3EA51" w14:textId="326FBD13" w:rsidR="2428263A" w:rsidRPr="00711662" w:rsidRDefault="1B476461" w:rsidP="38402D5F">
      <w:pPr>
        <w:spacing w:line="360" w:lineRule="auto"/>
        <w:rPr>
          <w:sz w:val="24"/>
          <w:szCs w:val="24"/>
          <w:lang w:val="fr-BE"/>
        </w:rPr>
      </w:pPr>
      <w:r w:rsidRPr="00711662">
        <w:rPr>
          <w:sz w:val="24"/>
          <w:szCs w:val="24"/>
          <w:lang w:val="fr-BE"/>
        </w:rPr>
        <w:t xml:space="preserve">Le FEPH </w:t>
      </w:r>
      <w:r w:rsidR="7C0E8ADE" w:rsidRPr="00711662">
        <w:rPr>
          <w:sz w:val="24"/>
          <w:szCs w:val="24"/>
          <w:lang w:val="fr-BE"/>
        </w:rPr>
        <w:t xml:space="preserve">travaille au </w:t>
      </w:r>
      <w:r w:rsidRPr="00711662">
        <w:rPr>
          <w:sz w:val="24"/>
          <w:szCs w:val="24"/>
          <w:lang w:val="fr-BE"/>
        </w:rPr>
        <w:t xml:space="preserve">niveau de l'UE à la préparation des actes délégués et des actes d'exécution que la Commission doit préparer en un an. Ces actes couvriront, entre autres, les aspects techniques du format numérique de la carte. </w:t>
      </w:r>
      <w:r w:rsidR="61BDE631" w:rsidRPr="00711662">
        <w:rPr>
          <w:sz w:val="24"/>
          <w:szCs w:val="24"/>
          <w:lang w:val="fr-BE"/>
        </w:rPr>
        <w:t xml:space="preserve">Le FEPH a été consulté par la Commission mais n'est pas encore membre du groupe d'experts officiel. </w:t>
      </w:r>
    </w:p>
    <w:p w14:paraId="4B014CEC" w14:textId="56997873" w:rsidR="412BADF3" w:rsidRPr="00711662" w:rsidRDefault="412BADF3" w:rsidP="6F948348">
      <w:pPr>
        <w:spacing w:line="360" w:lineRule="auto"/>
        <w:rPr>
          <w:sz w:val="24"/>
          <w:szCs w:val="24"/>
          <w:lang w:val="fr-BE"/>
        </w:rPr>
      </w:pPr>
      <w:r w:rsidRPr="00711662">
        <w:rPr>
          <w:sz w:val="24"/>
          <w:szCs w:val="24"/>
          <w:lang w:val="fr-BE"/>
        </w:rPr>
        <w:t xml:space="preserve">Au niveau national, la </w:t>
      </w:r>
      <w:r w:rsidR="009521C7" w:rsidRPr="00711662">
        <w:rPr>
          <w:sz w:val="24"/>
          <w:szCs w:val="24"/>
          <w:lang w:val="fr-BE"/>
        </w:rPr>
        <w:t xml:space="preserve">transposition des directives </w:t>
      </w:r>
      <w:r w:rsidRPr="00711662">
        <w:rPr>
          <w:sz w:val="24"/>
          <w:szCs w:val="24"/>
          <w:lang w:val="fr-BE"/>
        </w:rPr>
        <w:t xml:space="preserve">est en cours </w:t>
      </w:r>
      <w:r w:rsidR="009521C7" w:rsidRPr="00711662">
        <w:rPr>
          <w:sz w:val="24"/>
          <w:szCs w:val="24"/>
          <w:lang w:val="fr-BE"/>
        </w:rPr>
        <w:t xml:space="preserve">et le FEPH a préparé une </w:t>
      </w:r>
      <w:hyperlink r:id="rId13" w:history="1">
        <w:r w:rsidR="009521C7" w:rsidRPr="00711662">
          <w:rPr>
            <w:rStyle w:val="Hyperlink"/>
            <w:sz w:val="24"/>
            <w:szCs w:val="24"/>
            <w:lang w:val="fr-BE"/>
          </w:rPr>
          <w:t xml:space="preserve">boîte à outils </w:t>
        </w:r>
      </w:hyperlink>
      <w:r w:rsidR="009521C7" w:rsidRPr="00711662">
        <w:rPr>
          <w:sz w:val="24"/>
          <w:szCs w:val="24"/>
          <w:lang w:val="fr-BE"/>
        </w:rPr>
        <w:t>pour aider ses membres</w:t>
      </w:r>
      <w:r w:rsidRPr="00711662">
        <w:rPr>
          <w:sz w:val="24"/>
          <w:szCs w:val="24"/>
          <w:lang w:val="fr-BE"/>
        </w:rPr>
        <w:t>.</w:t>
      </w:r>
    </w:p>
    <w:p w14:paraId="10743C74" w14:textId="77777777" w:rsidR="00265F0A" w:rsidRPr="00711662" w:rsidRDefault="00265F0A" w:rsidP="00265F0A">
      <w:pPr>
        <w:spacing w:line="360" w:lineRule="auto"/>
        <w:rPr>
          <w:sz w:val="24"/>
          <w:szCs w:val="24"/>
          <w:lang w:val="fr-BE"/>
        </w:rPr>
      </w:pPr>
      <w:r w:rsidRPr="00711662">
        <w:rPr>
          <w:sz w:val="24"/>
          <w:szCs w:val="24"/>
          <w:lang w:val="fr-BE"/>
        </w:rPr>
        <w:t>Contact : Marie.</w:t>
      </w:r>
    </w:p>
    <w:p w14:paraId="563FD6D3" w14:textId="77777777" w:rsidR="00265F0A" w:rsidRPr="00711662" w:rsidRDefault="00265F0A" w:rsidP="00265F0A">
      <w:pPr>
        <w:keepNext/>
        <w:keepLines/>
        <w:spacing w:before="200" w:after="240"/>
        <w:outlineLvl w:val="1"/>
        <w:rPr>
          <w:b/>
          <w:bCs/>
          <w:color w:val="0A77B3"/>
          <w:sz w:val="24"/>
          <w:szCs w:val="26"/>
          <w:lang w:val="fr-BE"/>
        </w:rPr>
      </w:pPr>
      <w:bookmarkStart w:id="21" w:name="_Toc179464864"/>
      <w:bookmarkStart w:id="22" w:name="_Toc180402116"/>
      <w:bookmarkStart w:id="23" w:name="_Toc199268267"/>
      <w:r w:rsidRPr="00711662">
        <w:rPr>
          <w:b/>
          <w:bCs/>
          <w:color w:val="0A77B3"/>
          <w:sz w:val="24"/>
          <w:szCs w:val="26"/>
          <w:lang w:val="fr-BE"/>
        </w:rPr>
        <w:t>Centre accessible de l'UE</w:t>
      </w:r>
      <w:bookmarkEnd w:id="21"/>
      <w:bookmarkEnd w:id="22"/>
      <w:bookmarkEnd w:id="23"/>
    </w:p>
    <w:p w14:paraId="6A214EB1" w14:textId="0C08BFE7" w:rsidR="00265F0A" w:rsidRPr="00711662" w:rsidRDefault="00265F0A" w:rsidP="00265F0A">
      <w:pPr>
        <w:spacing w:line="360" w:lineRule="auto"/>
        <w:rPr>
          <w:sz w:val="24"/>
          <w:szCs w:val="24"/>
          <w:lang w:val="fr-BE"/>
        </w:rPr>
      </w:pPr>
      <w:hyperlink r:id="rId14" w:history="1">
        <w:r w:rsidRPr="00711662">
          <w:rPr>
            <w:color w:val="0000FF"/>
            <w:sz w:val="24"/>
            <w:szCs w:val="24"/>
            <w:u w:val="single"/>
            <w:lang w:val="fr-BE"/>
          </w:rPr>
          <w:t xml:space="preserve">Le centre AccessibleEU </w:t>
        </w:r>
      </w:hyperlink>
      <w:r w:rsidRPr="00711662">
        <w:rPr>
          <w:sz w:val="24"/>
          <w:szCs w:val="24"/>
          <w:lang w:val="fr-BE"/>
        </w:rPr>
        <w:t xml:space="preserve">a atteint ses objectifs, notamment le lancement de son </w:t>
      </w:r>
      <w:hyperlink r:id="rId15" w:history="1">
        <w:r w:rsidRPr="00711662">
          <w:rPr>
            <w:color w:val="0000FF"/>
            <w:sz w:val="24"/>
            <w:szCs w:val="24"/>
            <w:u w:val="single"/>
            <w:lang w:val="fr-BE"/>
          </w:rPr>
          <w:t xml:space="preserve">site web </w:t>
        </w:r>
      </w:hyperlink>
      <w:r w:rsidRPr="00711662">
        <w:rPr>
          <w:sz w:val="24"/>
          <w:szCs w:val="24"/>
          <w:lang w:val="fr-BE"/>
        </w:rPr>
        <w:t xml:space="preserve">et de sa </w:t>
      </w:r>
      <w:hyperlink r:id="rId16" w:history="1">
        <w:r w:rsidRPr="00711662">
          <w:rPr>
            <w:color w:val="0000FF"/>
            <w:sz w:val="24"/>
            <w:szCs w:val="24"/>
            <w:u w:val="single"/>
            <w:lang w:val="fr-BE"/>
          </w:rPr>
          <w:t xml:space="preserve">communauté de pratique </w:t>
        </w:r>
      </w:hyperlink>
      <w:r w:rsidRPr="00711662">
        <w:rPr>
          <w:sz w:val="24"/>
          <w:szCs w:val="24"/>
          <w:lang w:val="fr-BE"/>
        </w:rPr>
        <w:t xml:space="preserve">(également </w:t>
      </w:r>
      <w:hyperlink r:id="rId17" w:history="1">
        <w:r w:rsidRPr="00711662">
          <w:rPr>
            <w:color w:val="0000FF"/>
            <w:sz w:val="24"/>
            <w:szCs w:val="24"/>
            <w:u w:val="single"/>
            <w:lang w:val="fr-BE"/>
          </w:rPr>
          <w:t>sur LinkedIn.</w:t>
        </w:r>
      </w:hyperlink>
      <w:r w:rsidRPr="00711662">
        <w:rPr>
          <w:sz w:val="24"/>
          <w:szCs w:val="24"/>
          <w:lang w:val="fr-BE"/>
        </w:rPr>
        <w:t xml:space="preserve">) Le centre, dirigé par la Fondation ONCE et d'autres partenaires, est en train de constituer une bibliothèque de ressources et d'organiser de nombreux événements en ligne et en personne au niveau européen et national. </w:t>
      </w:r>
    </w:p>
    <w:p w14:paraId="1AD4C7AD" w14:textId="6C95169E" w:rsidR="00265F0A" w:rsidRPr="00711662" w:rsidRDefault="00265F0A" w:rsidP="00265F0A">
      <w:pPr>
        <w:spacing w:line="360" w:lineRule="auto"/>
        <w:rPr>
          <w:sz w:val="24"/>
          <w:szCs w:val="24"/>
          <w:lang w:val="fr-BE"/>
        </w:rPr>
      </w:pPr>
      <w:r w:rsidRPr="00711662">
        <w:rPr>
          <w:sz w:val="24"/>
          <w:szCs w:val="24"/>
          <w:lang w:val="fr-BE"/>
        </w:rPr>
        <w:t xml:space="preserve">Vous pouvez d'ores et déjà accéder à des documents résumant la </w:t>
      </w:r>
      <w:hyperlink r:id="rId18" w:history="1">
        <w:r w:rsidRPr="00711662">
          <w:rPr>
            <w:color w:val="0000FF"/>
            <w:sz w:val="24"/>
            <w:szCs w:val="24"/>
            <w:u w:val="single"/>
            <w:lang w:val="fr-BE"/>
          </w:rPr>
          <w:t>législation européenne en matière d'accessibilité</w:t>
        </w:r>
      </w:hyperlink>
      <w:r w:rsidRPr="00711662">
        <w:rPr>
          <w:sz w:val="24"/>
          <w:szCs w:val="24"/>
          <w:lang w:val="fr-BE"/>
        </w:rPr>
        <w:t xml:space="preserve">, les </w:t>
      </w:r>
      <w:hyperlink r:id="rId19" w:history="1">
        <w:r w:rsidRPr="00711662">
          <w:rPr>
            <w:color w:val="0000FF"/>
            <w:sz w:val="24"/>
            <w:szCs w:val="24"/>
            <w:u w:val="single"/>
            <w:lang w:val="fr-BE"/>
          </w:rPr>
          <w:t>TIC</w:t>
        </w:r>
      </w:hyperlink>
      <w:r w:rsidRPr="00711662">
        <w:rPr>
          <w:sz w:val="24"/>
          <w:szCs w:val="24"/>
          <w:lang w:val="fr-BE"/>
        </w:rPr>
        <w:t>, l'</w:t>
      </w:r>
      <w:hyperlink r:id="rId20" w:history="1">
        <w:r w:rsidRPr="00711662">
          <w:rPr>
            <w:color w:val="0000FF"/>
            <w:sz w:val="24"/>
            <w:szCs w:val="24"/>
            <w:u w:val="single"/>
            <w:lang w:val="fr-BE"/>
          </w:rPr>
          <w:t>environnement bâti</w:t>
        </w:r>
      </w:hyperlink>
      <w:r w:rsidRPr="00711662">
        <w:rPr>
          <w:sz w:val="24"/>
          <w:szCs w:val="24"/>
          <w:lang w:val="fr-BE"/>
        </w:rPr>
        <w:t xml:space="preserve">, les </w:t>
      </w:r>
      <w:hyperlink r:id="rId21" w:history="1">
        <w:r w:rsidRPr="00711662">
          <w:rPr>
            <w:color w:val="0000FF"/>
            <w:sz w:val="24"/>
            <w:szCs w:val="24"/>
            <w:u w:val="single"/>
            <w:lang w:val="fr-BE"/>
          </w:rPr>
          <w:t xml:space="preserve">transports </w:t>
        </w:r>
      </w:hyperlink>
      <w:r w:rsidRPr="00711662">
        <w:rPr>
          <w:sz w:val="24"/>
          <w:szCs w:val="24"/>
          <w:lang w:val="fr-BE"/>
        </w:rPr>
        <w:t xml:space="preserve">et les </w:t>
      </w:r>
      <w:hyperlink r:id="rId22" w:history="1">
        <w:r w:rsidRPr="00711662">
          <w:rPr>
            <w:color w:val="0000FF"/>
            <w:sz w:val="24"/>
            <w:szCs w:val="24"/>
            <w:u w:val="single"/>
            <w:lang w:val="fr-BE"/>
          </w:rPr>
          <w:t>normes</w:t>
        </w:r>
      </w:hyperlink>
      <w:r w:rsidRPr="00711662">
        <w:rPr>
          <w:sz w:val="24"/>
          <w:szCs w:val="24"/>
          <w:lang w:val="fr-BE"/>
        </w:rPr>
        <w:t xml:space="preserve">. Le centre a </w:t>
      </w:r>
      <w:r w:rsidRPr="00711662">
        <w:rPr>
          <w:sz w:val="24"/>
          <w:szCs w:val="24"/>
          <w:lang w:val="fr-BE"/>
        </w:rPr>
        <w:lastRenderedPageBreak/>
        <w:t xml:space="preserve">également lancé récemment une </w:t>
      </w:r>
      <w:hyperlink r:id="rId23" w:history="1">
        <w:r w:rsidRPr="00711662">
          <w:rPr>
            <w:color w:val="0000FF"/>
            <w:sz w:val="24"/>
            <w:szCs w:val="24"/>
            <w:u w:val="single"/>
            <w:lang w:val="fr-BE"/>
          </w:rPr>
          <w:t>étude sur la multimodalité</w:t>
        </w:r>
      </w:hyperlink>
      <w:r w:rsidRPr="00711662">
        <w:rPr>
          <w:sz w:val="24"/>
          <w:szCs w:val="24"/>
          <w:lang w:val="fr-BE"/>
        </w:rPr>
        <w:t>. Cette année, il publiera une étude sur l'intelligence artificielle et un guide sur l'accessibilité cognitive.</w:t>
      </w:r>
    </w:p>
    <w:p w14:paraId="6FFCF67C" w14:textId="175D6209" w:rsidR="00265F0A" w:rsidRPr="00711662" w:rsidRDefault="00265F0A" w:rsidP="00265F0A">
      <w:pPr>
        <w:spacing w:line="360" w:lineRule="auto"/>
        <w:rPr>
          <w:sz w:val="24"/>
          <w:szCs w:val="24"/>
          <w:lang w:val="fr-BE"/>
        </w:rPr>
      </w:pPr>
      <w:r w:rsidRPr="00711662">
        <w:rPr>
          <w:sz w:val="24"/>
          <w:szCs w:val="24"/>
          <w:lang w:val="fr-BE"/>
        </w:rPr>
        <w:t xml:space="preserve">L'un des points forts du centre est l'accès gratuit aux normes européennes actuelles en matière d'accessibilité par l'intermédiaire de la plateforme </w:t>
      </w:r>
      <w:hyperlink r:id="rId24" w:history="1">
        <w:r w:rsidRPr="00711662">
          <w:rPr>
            <w:color w:val="0000FF"/>
            <w:sz w:val="24"/>
            <w:szCs w:val="24"/>
            <w:u w:val="single"/>
            <w:lang w:val="fr-BE"/>
          </w:rPr>
          <w:t>Accessibilitas</w:t>
        </w:r>
      </w:hyperlink>
      <w:r w:rsidRPr="00711662">
        <w:rPr>
          <w:sz w:val="24"/>
          <w:szCs w:val="24"/>
          <w:lang w:val="fr-BE"/>
        </w:rPr>
        <w:t xml:space="preserve">. Les organisations à but non lucratif peuvent </w:t>
      </w:r>
      <w:hyperlink r:id="rId25" w:history="1">
        <w:r w:rsidRPr="00711662">
          <w:rPr>
            <w:color w:val="0000FF"/>
            <w:sz w:val="24"/>
            <w:szCs w:val="24"/>
            <w:u w:val="single"/>
            <w:lang w:val="fr-BE"/>
          </w:rPr>
          <w:t>demander un accès Premium via ce lien</w:t>
        </w:r>
      </w:hyperlink>
      <w:r w:rsidRPr="00711662">
        <w:rPr>
          <w:sz w:val="24"/>
          <w:szCs w:val="24"/>
          <w:lang w:val="fr-BE"/>
        </w:rPr>
        <w:t>.</w:t>
      </w:r>
    </w:p>
    <w:p w14:paraId="5688ED8E" w14:textId="77777777" w:rsidR="00265F0A" w:rsidRPr="00711662" w:rsidRDefault="00265F0A" w:rsidP="00265F0A">
      <w:pPr>
        <w:spacing w:line="360" w:lineRule="auto"/>
        <w:rPr>
          <w:sz w:val="24"/>
          <w:szCs w:val="24"/>
          <w:lang w:val="fr-BE"/>
        </w:rPr>
      </w:pPr>
      <w:r w:rsidRPr="00711662">
        <w:rPr>
          <w:sz w:val="24"/>
          <w:szCs w:val="24"/>
          <w:lang w:val="fr-BE"/>
        </w:rPr>
        <w:t xml:space="preserve">En outre, le centre a également publié des </w:t>
      </w:r>
      <w:hyperlink r:id="rId26" w:history="1">
        <w:r w:rsidRPr="00711662">
          <w:rPr>
            <w:color w:val="0000FF"/>
            <w:sz w:val="24"/>
            <w:szCs w:val="24"/>
            <w:u w:val="single"/>
            <w:lang w:val="fr-BE"/>
          </w:rPr>
          <w:t>rapports nationaux sur le contrôle de l'accessibilité</w:t>
        </w:r>
      </w:hyperlink>
      <w:r w:rsidRPr="00711662">
        <w:rPr>
          <w:sz w:val="24"/>
          <w:szCs w:val="24"/>
          <w:lang w:val="fr-BE"/>
        </w:rPr>
        <w:t>.</w:t>
      </w:r>
    </w:p>
    <w:p w14:paraId="5E0E39D3" w14:textId="6D606B51" w:rsidR="00265F0A" w:rsidRPr="00711662" w:rsidRDefault="00265F0A" w:rsidP="00265F0A">
      <w:pPr>
        <w:spacing w:line="360" w:lineRule="auto"/>
        <w:rPr>
          <w:sz w:val="24"/>
          <w:szCs w:val="24"/>
          <w:lang w:val="fr-BE"/>
        </w:rPr>
      </w:pPr>
      <w:hyperlink r:id="rId27" w:history="1">
        <w:r w:rsidR="00F22193">
          <w:rPr>
            <w:color w:val="0000FF"/>
            <w:sz w:val="24"/>
            <w:szCs w:val="24"/>
            <w:u w:val="single"/>
            <w:lang w:val="fr-BE"/>
          </w:rPr>
          <w:t>Voir le rôle du FEPH au centre</w:t>
        </w:r>
      </w:hyperlink>
      <w:r w:rsidRPr="00711662">
        <w:rPr>
          <w:sz w:val="24"/>
          <w:szCs w:val="24"/>
          <w:lang w:val="fr-BE"/>
        </w:rPr>
        <w:t>.</w:t>
      </w:r>
    </w:p>
    <w:p w14:paraId="62CD3A4D" w14:textId="77777777" w:rsidR="00265F0A" w:rsidRPr="00711662" w:rsidRDefault="00265F0A" w:rsidP="00265F0A">
      <w:pPr>
        <w:spacing w:line="360" w:lineRule="auto"/>
        <w:rPr>
          <w:sz w:val="24"/>
          <w:szCs w:val="24"/>
          <w:lang w:val="fr-BE"/>
        </w:rPr>
      </w:pPr>
      <w:r w:rsidRPr="00711662">
        <w:rPr>
          <w:sz w:val="24"/>
          <w:szCs w:val="24"/>
          <w:lang w:val="fr-BE"/>
        </w:rPr>
        <w:t>Contact : Alejandro et Roberta.</w:t>
      </w:r>
    </w:p>
    <w:p w14:paraId="76429654" w14:textId="77777777" w:rsidR="00265F0A" w:rsidRPr="00711662" w:rsidRDefault="00265F0A" w:rsidP="00265F0A">
      <w:pPr>
        <w:keepNext/>
        <w:keepLines/>
        <w:spacing w:before="200" w:after="240"/>
        <w:outlineLvl w:val="1"/>
        <w:rPr>
          <w:b/>
          <w:bCs/>
          <w:color w:val="0A77B3"/>
          <w:sz w:val="24"/>
          <w:szCs w:val="26"/>
          <w:lang w:val="fr-BE"/>
        </w:rPr>
      </w:pPr>
      <w:bookmarkStart w:id="24" w:name="_Toc179464865"/>
      <w:bookmarkStart w:id="25" w:name="_Toc180402117"/>
      <w:bookmarkStart w:id="26" w:name="_Toc199268268"/>
      <w:r w:rsidRPr="00711662">
        <w:rPr>
          <w:b/>
          <w:bCs/>
          <w:color w:val="0A77B3"/>
          <w:sz w:val="24"/>
          <w:szCs w:val="26"/>
          <w:lang w:val="fr-BE"/>
        </w:rPr>
        <w:t>Paquet emploi</w:t>
      </w:r>
      <w:bookmarkEnd w:id="24"/>
      <w:bookmarkEnd w:id="25"/>
      <w:bookmarkEnd w:id="26"/>
    </w:p>
    <w:p w14:paraId="738E061B" w14:textId="485BC311" w:rsidR="00265F0A" w:rsidRPr="00711662" w:rsidRDefault="1B476461" w:rsidP="38402D5F">
      <w:pPr>
        <w:spacing w:line="360" w:lineRule="auto"/>
        <w:rPr>
          <w:rFonts w:cs="Arial"/>
          <w:sz w:val="24"/>
          <w:szCs w:val="24"/>
          <w:lang w:val="fr-BE"/>
        </w:rPr>
      </w:pPr>
      <w:r w:rsidRPr="00711662">
        <w:rPr>
          <w:rFonts w:cs="Arial"/>
          <w:sz w:val="24"/>
          <w:szCs w:val="24"/>
          <w:lang w:val="fr-BE"/>
        </w:rPr>
        <w:t xml:space="preserve">Le paquet européen sur l'emploi des personnes handicapées comprend six objectifs. Les résultats pour </w:t>
      </w:r>
      <w:r w:rsidR="5F68EE93" w:rsidRPr="00711662">
        <w:rPr>
          <w:rFonts w:cs="Arial"/>
          <w:sz w:val="24"/>
          <w:szCs w:val="24"/>
          <w:lang w:val="fr-BE"/>
        </w:rPr>
        <w:t xml:space="preserve">les </w:t>
      </w:r>
      <w:r w:rsidRPr="00711662">
        <w:rPr>
          <w:rFonts w:cs="Arial"/>
          <w:sz w:val="24"/>
          <w:szCs w:val="24"/>
          <w:lang w:val="fr-BE"/>
        </w:rPr>
        <w:t xml:space="preserve">6 livrables sont maintenant terminés et publiés. Le FEPH a été impliqué dans l'élaboration de tous les résultats à travers son implication dans le sous-groupe de la Plateforme Handicap dédié au paquet. </w:t>
      </w:r>
      <w:r w:rsidR="2F0E9750" w:rsidRPr="00711662">
        <w:rPr>
          <w:rFonts w:cs="Arial"/>
          <w:sz w:val="24"/>
          <w:szCs w:val="24"/>
          <w:lang w:val="fr-BE"/>
        </w:rPr>
        <w:t xml:space="preserve">Les titres des paquets et les </w:t>
      </w:r>
      <w:r w:rsidR="0604AAFA" w:rsidRPr="00711662">
        <w:rPr>
          <w:rFonts w:cs="Arial"/>
          <w:sz w:val="24"/>
          <w:szCs w:val="24"/>
          <w:lang w:val="fr-BE"/>
        </w:rPr>
        <w:t xml:space="preserve">résultats </w:t>
      </w:r>
      <w:r w:rsidR="2F0E9750" w:rsidRPr="00711662">
        <w:rPr>
          <w:rFonts w:cs="Arial"/>
          <w:sz w:val="24"/>
          <w:szCs w:val="24"/>
          <w:lang w:val="fr-BE"/>
        </w:rPr>
        <w:t xml:space="preserve">respectifs </w:t>
      </w:r>
      <w:r w:rsidR="0604AAFA" w:rsidRPr="00711662">
        <w:rPr>
          <w:rFonts w:cs="Arial"/>
          <w:sz w:val="24"/>
          <w:szCs w:val="24"/>
          <w:lang w:val="fr-BE"/>
        </w:rPr>
        <w:t xml:space="preserve">sont les </w:t>
      </w:r>
      <w:r w:rsidR="2F0E9750" w:rsidRPr="00711662">
        <w:rPr>
          <w:rFonts w:cs="Arial"/>
          <w:sz w:val="24"/>
          <w:szCs w:val="24"/>
          <w:lang w:val="fr-BE"/>
        </w:rPr>
        <w:t xml:space="preserve">suivants </w:t>
      </w:r>
      <w:r w:rsidR="0604AAFA" w:rsidRPr="00711662">
        <w:rPr>
          <w:rFonts w:cs="Arial"/>
          <w:sz w:val="24"/>
          <w:szCs w:val="24"/>
          <w:lang w:val="fr-BE"/>
        </w:rPr>
        <w:t>:</w:t>
      </w:r>
    </w:p>
    <w:p w14:paraId="2A8D21BC" w14:textId="0E85F4A2" w:rsidR="00265F0A" w:rsidRPr="00711662" w:rsidRDefault="1B476461" w:rsidP="38402D5F">
      <w:pPr>
        <w:numPr>
          <w:ilvl w:val="0"/>
          <w:numId w:val="7"/>
        </w:numPr>
        <w:spacing w:after="160" w:line="360" w:lineRule="auto"/>
        <w:contextualSpacing/>
        <w:rPr>
          <w:rFonts w:eastAsia="Calibri" w:cs="Arial"/>
          <w:sz w:val="24"/>
          <w:szCs w:val="24"/>
          <w:lang w:val="fr-BE" w:bidi="ar-SA"/>
        </w:rPr>
      </w:pPr>
      <w:r w:rsidRPr="00711662">
        <w:rPr>
          <w:rFonts w:eastAsia="Calibri" w:cs="Arial"/>
          <w:b/>
          <w:bCs/>
          <w:sz w:val="24"/>
          <w:szCs w:val="24"/>
          <w:lang w:val="fr-BE" w:bidi="ar-SA"/>
        </w:rPr>
        <w:t xml:space="preserve">Renforcer les capacités des services d'emploi et d'intégration : </w:t>
      </w:r>
      <w:r w:rsidRPr="00711662">
        <w:rPr>
          <w:rFonts w:eastAsia="Calibri" w:cs="Arial"/>
          <w:sz w:val="24"/>
          <w:szCs w:val="24"/>
          <w:lang w:val="fr-BE" w:bidi="ar-SA"/>
        </w:rPr>
        <w:t xml:space="preserve">La Commission a déjà fourni sa </w:t>
      </w:r>
      <w:hyperlink r:id="rId28">
        <w:r w:rsidRPr="00711662">
          <w:rPr>
            <w:rFonts w:eastAsia="Calibri" w:cs="Arial"/>
            <w:color w:val="0000FF"/>
            <w:sz w:val="24"/>
            <w:szCs w:val="24"/>
            <w:u w:val="single"/>
            <w:lang w:val="fr-BE" w:bidi="ar-SA"/>
          </w:rPr>
          <w:t xml:space="preserve">boîte à outils pour les praticiens sur le renforcement des services publics de l'emploi afin d'améliorer les résultats des personnes handicapées sur le marché du travail </w:t>
        </w:r>
      </w:hyperlink>
      <w:r w:rsidRPr="00711662">
        <w:rPr>
          <w:rFonts w:eastAsia="Calibri" w:cs="Arial"/>
          <w:sz w:val="24"/>
          <w:szCs w:val="24"/>
          <w:lang w:val="fr-BE" w:bidi="ar-SA"/>
        </w:rPr>
        <w:t xml:space="preserve">et a organisé un </w:t>
      </w:r>
      <w:hyperlink r:id="rId29">
        <w:r w:rsidRPr="00711662">
          <w:rPr>
            <w:rFonts w:eastAsia="Calibri" w:cs="Arial"/>
            <w:color w:val="0000FF"/>
            <w:sz w:val="24"/>
            <w:szCs w:val="24"/>
            <w:u w:val="single"/>
            <w:lang w:val="fr-BE" w:bidi="ar-SA"/>
          </w:rPr>
          <w:t>séminaire en ligne sur l'amélioration des résultats sur le marché du travail</w:t>
        </w:r>
      </w:hyperlink>
      <w:r w:rsidRPr="00711662">
        <w:rPr>
          <w:rFonts w:eastAsia="Calibri" w:cs="Arial"/>
          <w:sz w:val="24"/>
          <w:szCs w:val="24"/>
          <w:lang w:val="fr-BE" w:bidi="ar-SA"/>
        </w:rPr>
        <w:t>.</w:t>
      </w:r>
    </w:p>
    <w:p w14:paraId="035400BE" w14:textId="77777777" w:rsidR="00265F0A" w:rsidRPr="00711662" w:rsidRDefault="00265F0A" w:rsidP="00265F0A">
      <w:pPr>
        <w:numPr>
          <w:ilvl w:val="0"/>
          <w:numId w:val="7"/>
        </w:numPr>
        <w:spacing w:after="160" w:line="360" w:lineRule="auto"/>
        <w:contextualSpacing/>
        <w:rPr>
          <w:rFonts w:eastAsia="Calibri" w:cs="Arial"/>
          <w:sz w:val="24"/>
          <w:szCs w:val="24"/>
          <w:lang w:val="fr-BE" w:bidi="ar-SA"/>
        </w:rPr>
      </w:pPr>
      <w:r w:rsidRPr="00711662">
        <w:rPr>
          <w:rFonts w:eastAsia="Calibri" w:cs="Arial"/>
          <w:b/>
          <w:bCs/>
          <w:sz w:val="24"/>
          <w:szCs w:val="24"/>
          <w:lang w:val="fr-BE" w:bidi="ar-SA"/>
        </w:rPr>
        <w:t xml:space="preserve">Promouvoir les perspectives d'embauche par l'action positive et la lutte contre les stéréotypes : </w:t>
      </w:r>
      <w:r w:rsidRPr="00711662">
        <w:rPr>
          <w:rFonts w:eastAsia="Calibri" w:cs="Arial"/>
          <w:sz w:val="24"/>
          <w:szCs w:val="24"/>
          <w:lang w:val="fr-BE" w:bidi="ar-SA"/>
        </w:rPr>
        <w:t xml:space="preserve">La Commission a publié le </w:t>
      </w:r>
      <w:hyperlink r:id="rId30" w:history="1">
        <w:r w:rsidRPr="00711662">
          <w:rPr>
            <w:rFonts w:eastAsia="Calibri" w:cs="Arial"/>
            <w:color w:val="0000FF"/>
            <w:sz w:val="24"/>
            <w:szCs w:val="24"/>
            <w:u w:val="single"/>
            <w:lang w:val="fr-BE" w:bidi="ar-SA"/>
          </w:rPr>
          <w:t xml:space="preserve">catalogue des actions positives créé </w:t>
        </w:r>
      </w:hyperlink>
      <w:r w:rsidRPr="00711662">
        <w:rPr>
          <w:rFonts w:eastAsia="Calibri" w:cs="Arial"/>
          <w:sz w:val="24"/>
          <w:szCs w:val="24"/>
          <w:lang w:val="fr-BE" w:bidi="ar-SA"/>
        </w:rPr>
        <w:t>pour ce thème.</w:t>
      </w:r>
    </w:p>
    <w:p w14:paraId="48AD2B86" w14:textId="77777777" w:rsidR="00265F0A" w:rsidRPr="00711662" w:rsidRDefault="00265F0A" w:rsidP="00265F0A">
      <w:pPr>
        <w:numPr>
          <w:ilvl w:val="0"/>
          <w:numId w:val="7"/>
        </w:numPr>
        <w:spacing w:after="160" w:line="360" w:lineRule="auto"/>
        <w:contextualSpacing/>
        <w:rPr>
          <w:rFonts w:eastAsia="Calibri" w:cs="Arial"/>
          <w:sz w:val="24"/>
          <w:szCs w:val="24"/>
          <w:lang w:val="fr-BE" w:bidi="ar-SA"/>
        </w:rPr>
      </w:pPr>
      <w:r w:rsidRPr="00711662">
        <w:rPr>
          <w:rFonts w:eastAsia="Calibri" w:cs="Arial"/>
          <w:b/>
          <w:bCs/>
          <w:sz w:val="24"/>
          <w:szCs w:val="24"/>
          <w:lang w:val="fr-BE" w:bidi="ar-SA"/>
        </w:rPr>
        <w:t xml:space="preserve">Garantir des aménagements raisonnables sur le lieu de travail : </w:t>
      </w:r>
      <w:r w:rsidRPr="00711662">
        <w:rPr>
          <w:rFonts w:eastAsia="Calibri" w:cs="Arial"/>
          <w:sz w:val="24"/>
          <w:szCs w:val="24"/>
          <w:lang w:val="fr-BE" w:bidi="ar-SA"/>
        </w:rPr>
        <w:t>La Commission a lancé l'initiative "</w:t>
      </w:r>
      <w:hyperlink r:id="rId31" w:history="1">
        <w:r w:rsidRPr="00711662">
          <w:rPr>
            <w:rFonts w:eastAsia="Calibri" w:cs="Arial"/>
            <w:color w:val="0000FF"/>
            <w:sz w:val="24"/>
            <w:szCs w:val="24"/>
            <w:u w:val="single"/>
            <w:lang w:val="fr-BE" w:bidi="ar-SA"/>
          </w:rPr>
          <w:t>Aménagements raisonnables au travail - Lignes directrices et bonnes pratiques".</w:t>
        </w:r>
      </w:hyperlink>
    </w:p>
    <w:p w14:paraId="366B9DDB" w14:textId="77777777" w:rsidR="00265F0A" w:rsidRPr="00711662" w:rsidRDefault="00265F0A" w:rsidP="00265F0A">
      <w:pPr>
        <w:numPr>
          <w:ilvl w:val="0"/>
          <w:numId w:val="7"/>
        </w:numPr>
        <w:spacing w:after="160" w:line="360" w:lineRule="auto"/>
        <w:contextualSpacing/>
        <w:rPr>
          <w:rFonts w:eastAsia="Calibri" w:cs="Arial"/>
          <w:sz w:val="24"/>
          <w:szCs w:val="24"/>
          <w:lang w:val="fr-BE" w:bidi="ar-SA"/>
        </w:rPr>
      </w:pPr>
      <w:r w:rsidRPr="00711662">
        <w:rPr>
          <w:rFonts w:eastAsia="Calibri" w:cs="Arial"/>
          <w:b/>
          <w:bCs/>
          <w:sz w:val="24"/>
          <w:szCs w:val="24"/>
          <w:lang w:val="fr-BE" w:bidi="ar-SA"/>
        </w:rPr>
        <w:t xml:space="preserve">Maintenir les personnes handicapées dans l'emploi - prévenir les handicaps liés aux maladies chroniques : </w:t>
      </w:r>
      <w:r w:rsidRPr="00711662">
        <w:rPr>
          <w:rFonts w:eastAsia="Calibri" w:cs="Arial"/>
          <w:sz w:val="24"/>
          <w:szCs w:val="24"/>
          <w:lang w:val="fr-BE" w:bidi="ar-SA"/>
        </w:rPr>
        <w:t xml:space="preserve">La Commission a lancé le </w:t>
      </w:r>
      <w:hyperlink r:id="rId32" w:history="1">
        <w:r w:rsidRPr="00711662">
          <w:rPr>
            <w:rFonts w:eastAsia="Calibri" w:cs="Arial"/>
            <w:color w:val="0000FF"/>
            <w:sz w:val="24"/>
            <w:szCs w:val="24"/>
            <w:u w:val="single"/>
            <w:lang w:val="fr-BE" w:bidi="ar-SA"/>
          </w:rPr>
          <w:t>Manuel pour la gestion des maladies chroniques et la prévention du risque d'acquisition de handicaps.</w:t>
        </w:r>
      </w:hyperlink>
    </w:p>
    <w:p w14:paraId="5993B3CC" w14:textId="195403E1" w:rsidR="00265F0A" w:rsidRPr="00711662" w:rsidRDefault="00265F0A" w:rsidP="00265F0A">
      <w:pPr>
        <w:numPr>
          <w:ilvl w:val="0"/>
          <w:numId w:val="7"/>
        </w:numPr>
        <w:spacing w:after="160" w:line="360" w:lineRule="auto"/>
        <w:contextualSpacing/>
        <w:rPr>
          <w:rFonts w:eastAsia="Calibri" w:cs="Arial"/>
          <w:sz w:val="24"/>
          <w:szCs w:val="24"/>
          <w:lang w:val="fr-BE" w:bidi="ar-SA"/>
        </w:rPr>
      </w:pPr>
      <w:r w:rsidRPr="00711662">
        <w:rPr>
          <w:rFonts w:eastAsia="Calibri" w:cs="Arial"/>
          <w:b/>
          <w:bCs/>
          <w:sz w:val="24"/>
          <w:szCs w:val="24"/>
          <w:lang w:val="fr-BE" w:bidi="ar-SA"/>
        </w:rPr>
        <w:lastRenderedPageBreak/>
        <w:t xml:space="preserve">Garantir des régimes de réadaptation professionnelle en cas de maladie ou d'accident : </w:t>
      </w:r>
      <w:hyperlink r:id="rId33" w:history="1">
        <w:r w:rsidRPr="00711662">
          <w:rPr>
            <w:rFonts w:eastAsia="Calibri" w:cs="Arial"/>
            <w:color w:val="0000FF"/>
            <w:sz w:val="24"/>
            <w:szCs w:val="24"/>
            <w:u w:val="single"/>
            <w:lang w:val="fr-BE" w:bidi="ar-SA"/>
          </w:rPr>
          <w:t xml:space="preserve">Les lignes directrices pour des programmes de réadaptation professionnelle efficaces </w:t>
        </w:r>
      </w:hyperlink>
      <w:r w:rsidRPr="00711662">
        <w:rPr>
          <w:rFonts w:eastAsia="Calibri" w:cs="Arial"/>
          <w:sz w:val="24"/>
          <w:szCs w:val="24"/>
          <w:lang w:val="fr-BE" w:bidi="ar-SA"/>
        </w:rPr>
        <w:t>ont été publiées.</w:t>
      </w:r>
    </w:p>
    <w:p w14:paraId="5866A7DD" w14:textId="36128246" w:rsidR="008B7D7C" w:rsidRPr="00711662" w:rsidRDefault="00265F0A" w:rsidP="008B7D7C">
      <w:pPr>
        <w:numPr>
          <w:ilvl w:val="0"/>
          <w:numId w:val="7"/>
        </w:numPr>
        <w:spacing w:after="160" w:line="360" w:lineRule="auto"/>
        <w:contextualSpacing/>
        <w:rPr>
          <w:rFonts w:eastAsia="Calibri" w:cs="Arial"/>
          <w:sz w:val="24"/>
          <w:szCs w:val="24"/>
          <w:lang w:val="fr-BE" w:bidi="ar-SA"/>
        </w:rPr>
      </w:pPr>
      <w:r w:rsidRPr="00711662">
        <w:rPr>
          <w:rFonts w:eastAsia="Calibri" w:cs="Arial"/>
          <w:b/>
          <w:bCs/>
          <w:sz w:val="24"/>
          <w:szCs w:val="24"/>
          <w:lang w:val="fr-BE" w:bidi="ar-SA"/>
        </w:rPr>
        <w:t xml:space="preserve">Explorer les emplois de qualité en milieu protégé et les voies d'accès au marché du travail ouvert : </w:t>
      </w:r>
      <w:r w:rsidR="008B7D7C" w:rsidRPr="00711662">
        <w:rPr>
          <w:rFonts w:eastAsia="Calibri" w:cs="Arial"/>
          <w:sz w:val="24"/>
          <w:szCs w:val="24"/>
          <w:lang w:val="fr-BE" w:bidi="ar-SA"/>
        </w:rPr>
        <w:t xml:space="preserve">La Commission a lancé une </w:t>
      </w:r>
      <w:hyperlink r:id="rId34" w:history="1">
        <w:r w:rsidR="008B7D7C" w:rsidRPr="00711662">
          <w:rPr>
            <w:rStyle w:val="Hyperlink"/>
            <w:rFonts w:eastAsia="Calibri" w:cs="Arial"/>
            <w:sz w:val="24"/>
            <w:szCs w:val="24"/>
            <w:lang w:val="fr-BE" w:bidi="ar-SA"/>
          </w:rPr>
          <w:t>étude sur les modèles d'emploi alternatifs pour les personnes handicapées</w:t>
        </w:r>
      </w:hyperlink>
      <w:r w:rsidR="00086461" w:rsidRPr="00711662">
        <w:rPr>
          <w:rFonts w:eastAsia="Calibri" w:cs="Arial"/>
          <w:sz w:val="24"/>
          <w:szCs w:val="24"/>
          <w:lang w:val="fr-BE" w:bidi="ar-SA"/>
        </w:rPr>
        <w:t>.</w:t>
      </w:r>
    </w:p>
    <w:p w14:paraId="5AE32FD5" w14:textId="75429EA0" w:rsidR="00265F0A" w:rsidRPr="00711662" w:rsidRDefault="00265F0A" w:rsidP="008B7D7C">
      <w:pPr>
        <w:spacing w:after="160" w:line="360" w:lineRule="auto"/>
        <w:ind w:left="720"/>
        <w:contextualSpacing/>
        <w:rPr>
          <w:rFonts w:eastAsia="Calibri" w:cs="Arial"/>
          <w:sz w:val="24"/>
          <w:szCs w:val="24"/>
          <w:lang w:val="fr-BE" w:bidi="ar-SA"/>
        </w:rPr>
      </w:pPr>
    </w:p>
    <w:p w14:paraId="03B6C830" w14:textId="15702C99" w:rsidR="00265F0A" w:rsidRPr="00711662" w:rsidRDefault="00265F0A" w:rsidP="00265F0A">
      <w:pPr>
        <w:spacing w:line="360" w:lineRule="auto"/>
        <w:rPr>
          <w:rFonts w:cs="Arial"/>
          <w:sz w:val="24"/>
          <w:szCs w:val="24"/>
          <w:lang w:val="fr-BE"/>
        </w:rPr>
      </w:pPr>
      <w:r w:rsidRPr="00711662">
        <w:rPr>
          <w:rFonts w:cs="Arial"/>
          <w:sz w:val="24"/>
          <w:szCs w:val="24"/>
          <w:lang w:val="fr-BE"/>
        </w:rPr>
        <w:t>Contact : Haydn</w:t>
      </w:r>
    </w:p>
    <w:p w14:paraId="162A84F9" w14:textId="77777777" w:rsidR="00265F0A" w:rsidRPr="00711662" w:rsidRDefault="00265F0A" w:rsidP="00265F0A">
      <w:pPr>
        <w:keepNext/>
        <w:keepLines/>
        <w:spacing w:before="200" w:after="240"/>
        <w:outlineLvl w:val="1"/>
        <w:rPr>
          <w:b/>
          <w:bCs/>
          <w:color w:val="0A77B3"/>
          <w:sz w:val="24"/>
          <w:szCs w:val="26"/>
          <w:lang w:val="fr-BE"/>
        </w:rPr>
      </w:pPr>
      <w:bookmarkStart w:id="27" w:name="_Toc179464866"/>
      <w:bookmarkStart w:id="28" w:name="_Toc180402118"/>
      <w:bookmarkStart w:id="29" w:name="_Toc199268269"/>
      <w:r w:rsidRPr="00711662">
        <w:rPr>
          <w:b/>
          <w:bCs/>
          <w:color w:val="0A77B3"/>
          <w:sz w:val="24"/>
          <w:szCs w:val="26"/>
          <w:lang w:val="fr-BE"/>
        </w:rPr>
        <w:t>Conseils sur la vie autonome et l'inclusion dans la communauté</w:t>
      </w:r>
      <w:bookmarkEnd w:id="27"/>
      <w:bookmarkEnd w:id="28"/>
      <w:bookmarkEnd w:id="29"/>
    </w:p>
    <w:p w14:paraId="783C0C63" w14:textId="716B2F3C" w:rsidR="00265F0A" w:rsidRPr="00711662" w:rsidRDefault="00316828" w:rsidP="38402D5F">
      <w:pPr>
        <w:spacing w:line="360" w:lineRule="auto"/>
        <w:rPr>
          <w:sz w:val="24"/>
          <w:szCs w:val="24"/>
          <w:lang w:val="fr-BE"/>
        </w:rPr>
      </w:pPr>
      <w:r w:rsidRPr="00711662">
        <w:rPr>
          <w:sz w:val="24"/>
          <w:szCs w:val="24"/>
          <w:lang w:val="fr-BE"/>
        </w:rPr>
        <w:t xml:space="preserve">En novembre 2024, la Commission a publié ses </w:t>
      </w:r>
      <w:hyperlink r:id="rId35">
        <w:r w:rsidRPr="00711662">
          <w:rPr>
            <w:rStyle w:val="Hyperlink"/>
            <w:sz w:val="24"/>
            <w:szCs w:val="24"/>
            <w:lang w:val="fr-BE"/>
          </w:rPr>
          <w:t>orientations sur l'autonomie de vie et l'inclusion dans la communauté des personnes handicapées bénéficiant de fonds de l'UE</w:t>
        </w:r>
      </w:hyperlink>
      <w:r w:rsidRPr="00711662">
        <w:rPr>
          <w:sz w:val="24"/>
          <w:szCs w:val="24"/>
          <w:lang w:val="fr-BE"/>
        </w:rPr>
        <w:t xml:space="preserve">. </w:t>
      </w:r>
    </w:p>
    <w:p w14:paraId="32B41A31" w14:textId="20B960D6" w:rsidR="00265F0A" w:rsidRPr="00711662" w:rsidRDefault="00BE2571" w:rsidP="00265F0A">
      <w:pPr>
        <w:spacing w:line="360" w:lineRule="auto"/>
        <w:rPr>
          <w:sz w:val="24"/>
          <w:szCs w:val="24"/>
          <w:lang w:val="fr-BE"/>
        </w:rPr>
      </w:pPr>
      <w:hyperlink r:id="rId36" w:history="1">
        <w:r w:rsidRPr="00711662">
          <w:rPr>
            <w:rStyle w:val="Hyperlink"/>
            <w:sz w:val="24"/>
            <w:szCs w:val="24"/>
            <w:lang w:val="fr-BE"/>
          </w:rPr>
          <w:t>Le a trouvé les orientations très positives</w:t>
        </w:r>
      </w:hyperlink>
      <w:r w:rsidR="00265F0A" w:rsidRPr="00711662">
        <w:rPr>
          <w:sz w:val="24"/>
          <w:szCs w:val="24"/>
          <w:lang w:val="fr-BE"/>
        </w:rPr>
        <w:t xml:space="preserve">FEPH </w:t>
      </w:r>
      <w:r w:rsidRPr="00711662">
        <w:rPr>
          <w:sz w:val="24"/>
          <w:szCs w:val="24"/>
          <w:lang w:val="fr-BE"/>
        </w:rPr>
        <w:t xml:space="preserve">, bien qu'il ait déploré que le document </w:t>
      </w:r>
      <w:r w:rsidR="000520F5" w:rsidRPr="00711662">
        <w:rPr>
          <w:sz w:val="24"/>
          <w:szCs w:val="24"/>
          <w:lang w:val="fr-BE"/>
        </w:rPr>
        <w:t>n'</w:t>
      </w:r>
      <w:r w:rsidRPr="00711662">
        <w:rPr>
          <w:sz w:val="24"/>
          <w:szCs w:val="24"/>
          <w:lang w:val="fr-BE"/>
        </w:rPr>
        <w:t xml:space="preserve">ait </w:t>
      </w:r>
      <w:r w:rsidR="000520F5" w:rsidRPr="00711662">
        <w:rPr>
          <w:sz w:val="24"/>
          <w:szCs w:val="24"/>
          <w:lang w:val="fr-BE"/>
        </w:rPr>
        <w:t xml:space="preserve">pas d'implications juridiquement contraignantes pour les États membres. Le FEPH fait pression pour que le texte soit référencé sur dans les textes juridiques régissant les règles d'utilisation des fonds de l'UE dans le prochain budget de l'UE </w:t>
      </w:r>
      <w:r w:rsidR="00D40CEE" w:rsidRPr="00711662">
        <w:rPr>
          <w:sz w:val="24"/>
          <w:szCs w:val="24"/>
          <w:lang w:val="fr-BE"/>
        </w:rPr>
        <w:t>2028-2035</w:t>
      </w:r>
      <w:r w:rsidR="00611988" w:rsidRPr="00711662">
        <w:rPr>
          <w:sz w:val="24"/>
          <w:szCs w:val="24"/>
          <w:lang w:val="fr-BE"/>
        </w:rPr>
        <w:t>.</w:t>
      </w:r>
    </w:p>
    <w:p w14:paraId="1B6D327F" w14:textId="15B9F266" w:rsidR="00265F0A" w:rsidRPr="00711662" w:rsidRDefault="00611988" w:rsidP="00265F0A">
      <w:pPr>
        <w:spacing w:line="360" w:lineRule="auto"/>
        <w:rPr>
          <w:sz w:val="24"/>
          <w:szCs w:val="24"/>
          <w:lang w:val="fr-BE"/>
        </w:rPr>
      </w:pPr>
      <w:r w:rsidRPr="00711662">
        <w:rPr>
          <w:sz w:val="24"/>
          <w:szCs w:val="24"/>
          <w:lang w:val="fr-BE"/>
        </w:rPr>
        <w:t xml:space="preserve">Le FEPH a apporté sa contribution par le biais de sa propre </w:t>
      </w:r>
      <w:hyperlink r:id="rId37" w:history="1">
        <w:r w:rsidRPr="00711662">
          <w:rPr>
            <w:rStyle w:val="Hyperlink"/>
            <w:sz w:val="24"/>
            <w:szCs w:val="24"/>
            <w:lang w:val="fr-BE"/>
          </w:rPr>
          <w:t>prise de position sur la vie autonome et l'inclusion dans la communauté</w:t>
        </w:r>
      </w:hyperlink>
      <w:r w:rsidRPr="00711662">
        <w:rPr>
          <w:sz w:val="24"/>
          <w:szCs w:val="24"/>
          <w:lang w:val="fr-BE"/>
        </w:rPr>
        <w:t xml:space="preserve">. La communication d'orientation de la Commission </w:t>
      </w:r>
      <w:r w:rsidR="00265F0A" w:rsidRPr="00711662">
        <w:rPr>
          <w:sz w:val="24"/>
          <w:szCs w:val="24"/>
          <w:lang w:val="fr-BE"/>
        </w:rPr>
        <w:t xml:space="preserve">reflète de </w:t>
      </w:r>
      <w:r w:rsidRPr="00711662">
        <w:rPr>
          <w:sz w:val="24"/>
          <w:szCs w:val="24"/>
          <w:lang w:val="fr-BE"/>
        </w:rPr>
        <w:t xml:space="preserve">nombreux éléments de </w:t>
      </w:r>
      <w:r w:rsidR="00265F0A" w:rsidRPr="00711662">
        <w:rPr>
          <w:sz w:val="24"/>
          <w:szCs w:val="24"/>
          <w:lang w:val="fr-BE"/>
        </w:rPr>
        <w:t>notre position, notamment :</w:t>
      </w:r>
    </w:p>
    <w:p w14:paraId="4736F772" w14:textId="77777777" w:rsidR="00265F0A" w:rsidRPr="00711662" w:rsidRDefault="00265F0A" w:rsidP="00265F0A">
      <w:pPr>
        <w:numPr>
          <w:ilvl w:val="0"/>
          <w:numId w:val="17"/>
        </w:numPr>
        <w:spacing w:after="120" w:line="360" w:lineRule="auto"/>
        <w:ind w:left="714" w:hanging="357"/>
        <w:rPr>
          <w:sz w:val="24"/>
          <w:szCs w:val="24"/>
          <w:lang w:val="fr-BE"/>
        </w:rPr>
      </w:pPr>
      <w:r w:rsidRPr="00711662">
        <w:rPr>
          <w:sz w:val="24"/>
          <w:szCs w:val="24"/>
          <w:lang w:val="fr-BE"/>
        </w:rPr>
        <w:t>La nécessité d'un budget spécifique et d'objectifs clairs dans tout processus de désinstitutionnalisation ;</w:t>
      </w:r>
    </w:p>
    <w:p w14:paraId="22BFAAEE" w14:textId="0DE85D9A" w:rsidR="00265F0A" w:rsidRPr="00711662" w:rsidRDefault="00265F0A" w:rsidP="38402D5F">
      <w:pPr>
        <w:numPr>
          <w:ilvl w:val="0"/>
          <w:numId w:val="17"/>
        </w:numPr>
        <w:spacing w:after="120" w:line="360" w:lineRule="auto"/>
        <w:ind w:left="714" w:hanging="357"/>
        <w:rPr>
          <w:sz w:val="24"/>
          <w:szCs w:val="24"/>
          <w:lang w:val="fr-BE"/>
        </w:rPr>
      </w:pPr>
      <w:r w:rsidRPr="00711662">
        <w:rPr>
          <w:sz w:val="24"/>
          <w:szCs w:val="24"/>
          <w:lang w:val="fr-BE"/>
        </w:rPr>
        <w:t>une volonté claire d'investir davantage dans les services à domicile et les services familiaux, ainsi que dans les programmes d'aide à la personne ;</w:t>
      </w:r>
    </w:p>
    <w:p w14:paraId="2E0D301F" w14:textId="77777777" w:rsidR="00265F0A" w:rsidRPr="00711662" w:rsidRDefault="00265F0A" w:rsidP="00265F0A">
      <w:pPr>
        <w:numPr>
          <w:ilvl w:val="0"/>
          <w:numId w:val="17"/>
        </w:numPr>
        <w:spacing w:after="120" w:line="360" w:lineRule="auto"/>
        <w:ind w:left="714" w:hanging="357"/>
        <w:rPr>
          <w:sz w:val="24"/>
          <w:szCs w:val="24"/>
          <w:lang w:val="fr-BE"/>
        </w:rPr>
      </w:pPr>
      <w:r w:rsidRPr="00711662">
        <w:rPr>
          <w:sz w:val="24"/>
          <w:szCs w:val="24"/>
          <w:lang w:val="fr-BE"/>
        </w:rPr>
        <w:t xml:space="preserve">L'accent est mis sur la prévention du placement en institution, y compris l'intervention précoce auprès des enfants handicapés, le soutien aux familles et les services à domicile pour les personnes âgées ; </w:t>
      </w:r>
    </w:p>
    <w:p w14:paraId="4AFBEFED" w14:textId="77777777" w:rsidR="00265F0A" w:rsidRPr="00711662" w:rsidRDefault="00265F0A" w:rsidP="00265F0A">
      <w:pPr>
        <w:numPr>
          <w:ilvl w:val="0"/>
          <w:numId w:val="17"/>
        </w:numPr>
        <w:spacing w:after="120" w:line="360" w:lineRule="auto"/>
        <w:ind w:left="714" w:hanging="357"/>
        <w:rPr>
          <w:sz w:val="24"/>
          <w:szCs w:val="24"/>
          <w:lang w:val="fr-BE"/>
        </w:rPr>
      </w:pPr>
      <w:r w:rsidRPr="00711662">
        <w:rPr>
          <w:sz w:val="24"/>
          <w:szCs w:val="24"/>
          <w:lang w:val="fr-BE"/>
        </w:rPr>
        <w:t>Reconnaissance du risque accru de violence et d'abus auquel sont confrontées les femmes handicapées dans les institutions ;</w:t>
      </w:r>
    </w:p>
    <w:p w14:paraId="3E3028B2" w14:textId="77777777" w:rsidR="00265F0A" w:rsidRPr="00711662" w:rsidRDefault="00265F0A" w:rsidP="00265F0A">
      <w:pPr>
        <w:numPr>
          <w:ilvl w:val="0"/>
          <w:numId w:val="17"/>
        </w:numPr>
        <w:spacing w:after="120" w:line="360" w:lineRule="auto"/>
        <w:ind w:left="714" w:hanging="357"/>
        <w:rPr>
          <w:sz w:val="24"/>
          <w:szCs w:val="24"/>
          <w:lang w:val="fr-BE"/>
        </w:rPr>
      </w:pPr>
      <w:r w:rsidRPr="00711662">
        <w:rPr>
          <w:sz w:val="24"/>
          <w:szCs w:val="24"/>
          <w:lang w:val="fr-BE"/>
        </w:rPr>
        <w:lastRenderedPageBreak/>
        <w:t>L'accent est mis sur l'importance des budgets personnels pour donner aux personnes handicapées le choix et le contrôle du type d'aide qu'elles reçoivent ;</w:t>
      </w:r>
    </w:p>
    <w:p w14:paraId="58960716" w14:textId="596347EA" w:rsidR="00265F0A" w:rsidRPr="00711662" w:rsidRDefault="00265F0A" w:rsidP="00265F0A">
      <w:pPr>
        <w:numPr>
          <w:ilvl w:val="0"/>
          <w:numId w:val="17"/>
        </w:numPr>
        <w:spacing w:after="120" w:line="360" w:lineRule="auto"/>
        <w:ind w:left="714" w:hanging="357"/>
        <w:rPr>
          <w:sz w:val="24"/>
          <w:szCs w:val="24"/>
          <w:lang w:val="fr-BE"/>
        </w:rPr>
      </w:pPr>
      <w:r w:rsidRPr="00711662">
        <w:rPr>
          <w:sz w:val="24"/>
          <w:szCs w:val="24"/>
          <w:lang w:val="fr-BE"/>
        </w:rPr>
        <w:t xml:space="preserve">La participation active des personnes handicapées et de leurs organisations représentatives à la conception, à la mise en œuvre et au suivi du processus </w:t>
      </w:r>
      <w:r w:rsidR="002912B1" w:rsidRPr="00711662">
        <w:rPr>
          <w:sz w:val="24"/>
          <w:szCs w:val="24"/>
          <w:lang w:val="fr-BE"/>
        </w:rPr>
        <w:t>;</w:t>
      </w:r>
    </w:p>
    <w:p w14:paraId="763A5C58" w14:textId="448B9161" w:rsidR="00C26C49" w:rsidRPr="00711662" w:rsidRDefault="00C26C49" w:rsidP="00265F0A">
      <w:pPr>
        <w:numPr>
          <w:ilvl w:val="0"/>
          <w:numId w:val="17"/>
        </w:numPr>
        <w:spacing w:after="120" w:line="360" w:lineRule="auto"/>
        <w:ind w:left="714" w:hanging="357"/>
        <w:rPr>
          <w:sz w:val="24"/>
          <w:szCs w:val="24"/>
          <w:lang w:val="fr-BE"/>
        </w:rPr>
      </w:pPr>
      <w:r w:rsidRPr="00711662">
        <w:rPr>
          <w:sz w:val="24"/>
          <w:szCs w:val="24"/>
          <w:lang w:val="fr-BE"/>
        </w:rPr>
        <w:t xml:space="preserve">La nécessité d'utiliser les fonds de l'UE pour </w:t>
      </w:r>
      <w:r w:rsidR="002912B1" w:rsidRPr="00711662">
        <w:rPr>
          <w:sz w:val="24"/>
          <w:szCs w:val="24"/>
          <w:lang w:val="fr-BE"/>
        </w:rPr>
        <w:t>soutenir la transition vers des institutions extérieures aux États membres de l'UE.</w:t>
      </w:r>
    </w:p>
    <w:p w14:paraId="4F2C2D79" w14:textId="77777777" w:rsidR="00265F0A" w:rsidRPr="00711662" w:rsidRDefault="00265F0A" w:rsidP="00265F0A">
      <w:pPr>
        <w:spacing w:line="360" w:lineRule="auto"/>
        <w:rPr>
          <w:rFonts w:cs="Arial"/>
          <w:sz w:val="24"/>
          <w:szCs w:val="24"/>
          <w:lang w:val="fr-BE"/>
        </w:rPr>
      </w:pPr>
      <w:r w:rsidRPr="00711662">
        <w:rPr>
          <w:rFonts w:cs="Arial"/>
          <w:sz w:val="24"/>
          <w:szCs w:val="24"/>
          <w:lang w:val="fr-BE"/>
        </w:rPr>
        <w:t>Contact : Haydn</w:t>
      </w:r>
    </w:p>
    <w:p w14:paraId="6CD9479B" w14:textId="77777777" w:rsidR="00265F0A" w:rsidRPr="00711662" w:rsidRDefault="00265F0A" w:rsidP="00265F0A">
      <w:pPr>
        <w:keepNext/>
        <w:keepLines/>
        <w:spacing w:before="200" w:after="240"/>
        <w:outlineLvl w:val="1"/>
        <w:rPr>
          <w:b/>
          <w:bCs/>
          <w:color w:val="0A77B3"/>
          <w:sz w:val="24"/>
          <w:szCs w:val="26"/>
          <w:lang w:val="fr-BE"/>
        </w:rPr>
      </w:pPr>
      <w:bookmarkStart w:id="30" w:name="_Toc179464867"/>
      <w:bookmarkStart w:id="31" w:name="_Toc180402119"/>
      <w:bookmarkStart w:id="32" w:name="_Toc199268270"/>
      <w:r w:rsidRPr="00711662">
        <w:rPr>
          <w:b/>
          <w:bCs/>
          <w:color w:val="0A77B3"/>
          <w:sz w:val="24"/>
          <w:szCs w:val="26"/>
          <w:lang w:val="fr-BE"/>
        </w:rPr>
        <w:t xml:space="preserve">Cadre européen des services sociaux d'excellence pour les personnes handicapées </w:t>
      </w:r>
      <w:bookmarkEnd w:id="30"/>
      <w:bookmarkEnd w:id="31"/>
      <w:bookmarkEnd w:id="32"/>
    </w:p>
    <w:p w14:paraId="669CFE8A" w14:textId="1AA9EA80" w:rsidR="00265F0A" w:rsidRPr="00711662" w:rsidRDefault="00265F0A" w:rsidP="124EBE3E">
      <w:pPr>
        <w:spacing w:line="360" w:lineRule="auto"/>
        <w:rPr>
          <w:rFonts w:cs="Arial"/>
          <w:sz w:val="24"/>
          <w:szCs w:val="24"/>
          <w:lang w:val="fr-BE"/>
        </w:rPr>
      </w:pPr>
      <w:r w:rsidRPr="00711662">
        <w:rPr>
          <w:rFonts w:cs="Arial"/>
          <w:sz w:val="24"/>
          <w:szCs w:val="24"/>
          <w:lang w:val="fr-BE"/>
        </w:rPr>
        <w:t xml:space="preserve">Le nouveau cadre européen sur les services sociaux d'excellence pour les personnes handicapées est un outil développé en tant que </w:t>
      </w:r>
      <w:r w:rsidR="00C9555F" w:rsidRPr="00711662">
        <w:rPr>
          <w:rFonts w:cs="Arial"/>
          <w:sz w:val="24"/>
          <w:szCs w:val="24"/>
          <w:lang w:val="fr-BE"/>
        </w:rPr>
        <w:t xml:space="preserve">dernière initiative phare de la </w:t>
      </w:r>
      <w:r w:rsidRPr="00711662">
        <w:rPr>
          <w:rFonts w:cs="Arial"/>
          <w:sz w:val="24"/>
          <w:szCs w:val="24"/>
          <w:lang w:val="fr-BE"/>
        </w:rPr>
        <w:t xml:space="preserve">stratégie en faveur des personnes handicapées. Il établira des indicateurs pour mesurer la qualité des services destinés aux personnes handicapées. Il devrait être publié </w:t>
      </w:r>
      <w:r w:rsidR="0005775A" w:rsidRPr="00711662">
        <w:rPr>
          <w:rFonts w:cs="Arial"/>
          <w:sz w:val="24"/>
          <w:szCs w:val="24"/>
          <w:lang w:val="fr-BE"/>
        </w:rPr>
        <w:t>prochainement</w:t>
      </w:r>
      <w:r w:rsidRPr="00711662">
        <w:rPr>
          <w:rFonts w:cs="Arial"/>
          <w:sz w:val="24"/>
          <w:szCs w:val="24"/>
          <w:lang w:val="fr-BE"/>
        </w:rPr>
        <w:t>.</w:t>
      </w:r>
    </w:p>
    <w:p w14:paraId="2FDDF071" w14:textId="77777777" w:rsidR="00265F0A" w:rsidRPr="00711662" w:rsidRDefault="00265F0A" w:rsidP="00265F0A">
      <w:pPr>
        <w:spacing w:line="360" w:lineRule="auto"/>
        <w:rPr>
          <w:rFonts w:cs="Arial"/>
          <w:sz w:val="24"/>
          <w:szCs w:val="24"/>
          <w:lang w:val="fr-BE"/>
        </w:rPr>
      </w:pPr>
      <w:r w:rsidRPr="00711662">
        <w:rPr>
          <w:rFonts w:cs="Arial"/>
          <w:sz w:val="24"/>
          <w:szCs w:val="24"/>
          <w:lang w:val="fr-BE"/>
        </w:rPr>
        <w:t xml:space="preserve">Le FEPH a participé aux </w:t>
      </w:r>
      <w:hyperlink r:id="rId38" w:history="1">
        <w:r w:rsidRPr="00711662">
          <w:rPr>
            <w:rFonts w:cs="Arial"/>
            <w:color w:val="0000FF"/>
            <w:sz w:val="24"/>
            <w:szCs w:val="24"/>
            <w:u w:val="single"/>
            <w:lang w:val="fr-BE"/>
          </w:rPr>
          <w:t>travaux préparatoires de l'Association européenne des prestataires de services pour les personnes handicapées (EASPD)</w:t>
        </w:r>
      </w:hyperlink>
      <w:r w:rsidRPr="00711662">
        <w:rPr>
          <w:rFonts w:cs="Arial"/>
          <w:sz w:val="24"/>
          <w:szCs w:val="24"/>
          <w:lang w:val="fr-BE"/>
        </w:rPr>
        <w:t xml:space="preserve">, qui ont contribué à la conception du cadre par la Commission. </w:t>
      </w:r>
    </w:p>
    <w:p w14:paraId="5C596015" w14:textId="64452238" w:rsidR="00265F0A" w:rsidRPr="00711662" w:rsidRDefault="00265F0A" w:rsidP="00265F0A">
      <w:pPr>
        <w:spacing w:line="360" w:lineRule="auto"/>
        <w:rPr>
          <w:rFonts w:cs="Arial"/>
          <w:sz w:val="24"/>
          <w:szCs w:val="24"/>
          <w:lang w:val="fr-BE"/>
        </w:rPr>
      </w:pPr>
      <w:r w:rsidRPr="00711662">
        <w:rPr>
          <w:rFonts w:cs="Arial"/>
          <w:sz w:val="24"/>
          <w:szCs w:val="24"/>
          <w:lang w:val="fr-BE"/>
        </w:rPr>
        <w:t>Contact : Haydn.</w:t>
      </w:r>
    </w:p>
    <w:p w14:paraId="6BC7E6CF" w14:textId="77777777" w:rsidR="00265F0A" w:rsidRPr="00711662" w:rsidRDefault="00265F0A" w:rsidP="00265F0A">
      <w:pPr>
        <w:keepNext/>
        <w:keepLines/>
        <w:spacing w:before="480" w:after="240"/>
        <w:outlineLvl w:val="0"/>
        <w:rPr>
          <w:b/>
          <w:bCs/>
          <w:color w:val="0A77B3"/>
          <w:sz w:val="28"/>
          <w:szCs w:val="28"/>
          <w:lang w:val="fr-BE"/>
        </w:rPr>
      </w:pPr>
      <w:bookmarkStart w:id="33" w:name="_Toc179464868"/>
      <w:bookmarkStart w:id="34" w:name="_Toc180402120"/>
      <w:bookmarkStart w:id="35" w:name="_Toc199268271"/>
      <w:r w:rsidRPr="00711662">
        <w:rPr>
          <w:b/>
          <w:bCs/>
          <w:color w:val="0A77B3"/>
          <w:sz w:val="28"/>
          <w:szCs w:val="28"/>
          <w:lang w:val="fr-BE"/>
        </w:rPr>
        <w:t>Budget de l'UE</w:t>
      </w:r>
      <w:bookmarkEnd w:id="33"/>
      <w:bookmarkEnd w:id="34"/>
      <w:bookmarkEnd w:id="35"/>
    </w:p>
    <w:p w14:paraId="2AC90CE4" w14:textId="1FC071DF" w:rsidR="00265F0A" w:rsidRPr="00711662" w:rsidRDefault="00E82532" w:rsidP="00265F0A">
      <w:pPr>
        <w:spacing w:line="360" w:lineRule="auto"/>
        <w:rPr>
          <w:sz w:val="24"/>
          <w:szCs w:val="24"/>
          <w:lang w:val="fr-BE"/>
        </w:rPr>
      </w:pPr>
      <w:r w:rsidRPr="00711662">
        <w:rPr>
          <w:sz w:val="24"/>
          <w:szCs w:val="24"/>
          <w:lang w:val="fr-BE"/>
        </w:rPr>
        <w:t xml:space="preserve">Voir </w:t>
      </w:r>
      <w:r w:rsidR="00264358" w:rsidRPr="00711662">
        <w:rPr>
          <w:rStyle w:val="BookTitle"/>
          <w:rFonts w:cs="Arial"/>
          <w:sz w:val="24"/>
          <w:szCs w:val="24"/>
          <w:lang w:val="fr-BE"/>
        </w:rPr>
        <w:t>DOC-AGA-25-06-06</w:t>
      </w:r>
    </w:p>
    <w:p w14:paraId="7E0059B2" w14:textId="77777777" w:rsidR="00265F0A" w:rsidRPr="00711662" w:rsidRDefault="00265F0A" w:rsidP="00265F0A">
      <w:pPr>
        <w:spacing w:line="360" w:lineRule="auto"/>
        <w:rPr>
          <w:rFonts w:cs="Arial"/>
          <w:sz w:val="24"/>
          <w:szCs w:val="24"/>
          <w:lang w:val="fr-BE"/>
        </w:rPr>
      </w:pPr>
      <w:r w:rsidRPr="00711662">
        <w:rPr>
          <w:rFonts w:cs="Arial"/>
          <w:sz w:val="24"/>
          <w:szCs w:val="24"/>
          <w:lang w:val="fr-BE"/>
        </w:rPr>
        <w:t>Contact : Haydn.</w:t>
      </w:r>
    </w:p>
    <w:p w14:paraId="6E7DFDD1" w14:textId="77777777" w:rsidR="00265F0A" w:rsidRPr="00711662" w:rsidRDefault="00265F0A" w:rsidP="00265F0A">
      <w:pPr>
        <w:keepNext/>
        <w:keepLines/>
        <w:spacing w:before="480" w:after="0"/>
        <w:outlineLvl w:val="0"/>
        <w:rPr>
          <w:b/>
          <w:bCs/>
          <w:color w:val="0A77B3"/>
          <w:sz w:val="28"/>
          <w:szCs w:val="28"/>
          <w:lang w:val="fr-BE"/>
        </w:rPr>
      </w:pPr>
      <w:bookmarkStart w:id="36" w:name="_Toc180402121"/>
      <w:bookmarkStart w:id="37" w:name="_Toc199268272"/>
      <w:r w:rsidRPr="00711662">
        <w:rPr>
          <w:b/>
          <w:bCs/>
          <w:color w:val="0A77B3"/>
          <w:sz w:val="28"/>
          <w:szCs w:val="28"/>
          <w:lang w:val="fr-BE"/>
        </w:rPr>
        <w:t>Égalité et non-discrimination</w:t>
      </w:r>
      <w:bookmarkEnd w:id="36"/>
      <w:bookmarkEnd w:id="37"/>
    </w:p>
    <w:p w14:paraId="727F3A60" w14:textId="77777777" w:rsidR="00265F0A" w:rsidRPr="00711662" w:rsidRDefault="00265F0A" w:rsidP="00265F0A">
      <w:pPr>
        <w:keepNext/>
        <w:keepLines/>
        <w:spacing w:before="200" w:after="240"/>
        <w:outlineLvl w:val="1"/>
        <w:rPr>
          <w:b/>
          <w:bCs/>
          <w:color w:val="0A77B3"/>
          <w:sz w:val="24"/>
          <w:szCs w:val="26"/>
          <w:lang w:val="fr-BE"/>
        </w:rPr>
      </w:pPr>
      <w:bookmarkStart w:id="38" w:name="_Toc179464869"/>
      <w:bookmarkStart w:id="39" w:name="_Toc180402122"/>
      <w:bookmarkStart w:id="40" w:name="_Toc199268273"/>
      <w:r w:rsidRPr="00711662">
        <w:rPr>
          <w:b/>
          <w:bCs/>
          <w:color w:val="0A77B3"/>
          <w:sz w:val="24"/>
          <w:szCs w:val="26"/>
          <w:lang w:val="fr-BE"/>
        </w:rPr>
        <w:t xml:space="preserve">Directive horizontale sur l'égalité de traitement </w:t>
      </w:r>
      <w:bookmarkEnd w:id="38"/>
      <w:bookmarkEnd w:id="39"/>
      <w:bookmarkEnd w:id="40"/>
    </w:p>
    <w:p w14:paraId="15EF7408" w14:textId="3D5380A2" w:rsidR="00265F0A" w:rsidRPr="00711662" w:rsidRDefault="6699771D" w:rsidP="00265F0A">
      <w:pPr>
        <w:spacing w:line="360" w:lineRule="auto"/>
        <w:rPr>
          <w:sz w:val="24"/>
          <w:szCs w:val="24"/>
          <w:lang w:val="fr-BE"/>
        </w:rPr>
      </w:pPr>
      <w:r w:rsidRPr="00711662">
        <w:rPr>
          <w:sz w:val="24"/>
          <w:szCs w:val="24"/>
          <w:lang w:val="fr-BE"/>
        </w:rPr>
        <w:t xml:space="preserve">En </w:t>
      </w:r>
      <w:r w:rsidR="4B5ADC8E" w:rsidRPr="00711662">
        <w:rPr>
          <w:sz w:val="24"/>
          <w:szCs w:val="24"/>
          <w:lang w:val="fr-BE"/>
        </w:rPr>
        <w:t>février 2025</w:t>
      </w:r>
      <w:r w:rsidRPr="00711662">
        <w:rPr>
          <w:sz w:val="24"/>
          <w:szCs w:val="24"/>
          <w:lang w:val="fr-BE"/>
        </w:rPr>
        <w:t xml:space="preserve">, la Commission européenne a annoncé son intention de retirer la </w:t>
      </w:r>
      <w:r w:rsidR="00265F0A" w:rsidRPr="00711662">
        <w:rPr>
          <w:color w:val="0000FF"/>
          <w:sz w:val="24"/>
          <w:szCs w:val="24"/>
          <w:u w:val="single"/>
          <w:lang w:val="fr-BE"/>
        </w:rPr>
        <w:t xml:space="preserve">proposition de directive horizontale sur l'égalité de traitement </w:t>
      </w:r>
      <w:r w:rsidR="621155C8" w:rsidRPr="00711662">
        <w:rPr>
          <w:sz w:val="24"/>
          <w:szCs w:val="24"/>
          <w:lang w:val="fr-BE"/>
        </w:rPr>
        <w:t>(</w:t>
      </w:r>
      <w:hyperlink r:id="rId39">
        <w:r w:rsidR="621155C8" w:rsidRPr="00711662">
          <w:rPr>
            <w:color w:val="0000FF"/>
            <w:sz w:val="24"/>
            <w:szCs w:val="24"/>
            <w:u w:val="single"/>
            <w:lang w:val="fr-BE"/>
          </w:rPr>
          <w:t>voir le dernier texte</w:t>
        </w:r>
      </w:hyperlink>
      <w:r w:rsidR="621155C8" w:rsidRPr="00711662">
        <w:rPr>
          <w:sz w:val="24"/>
          <w:szCs w:val="24"/>
          <w:lang w:val="fr-BE"/>
        </w:rPr>
        <w:t xml:space="preserve">). Le texte est </w:t>
      </w:r>
      <w:r w:rsidR="00265F0A" w:rsidRPr="00711662">
        <w:rPr>
          <w:sz w:val="24"/>
          <w:szCs w:val="24"/>
          <w:lang w:val="fr-BE"/>
        </w:rPr>
        <w:t>bloqué au Conseil de l'UE depuis 2008. Il faisait partie des priorités de l'</w:t>
      </w:r>
      <w:r w:rsidR="54B7B9F8" w:rsidRPr="00711662">
        <w:rPr>
          <w:sz w:val="24"/>
          <w:szCs w:val="24"/>
          <w:lang w:val="fr-BE"/>
        </w:rPr>
        <w:t xml:space="preserve">actuelle </w:t>
      </w:r>
      <w:r w:rsidR="00265F0A" w:rsidRPr="00711662">
        <w:rPr>
          <w:sz w:val="24"/>
          <w:szCs w:val="24"/>
          <w:lang w:val="fr-BE"/>
        </w:rPr>
        <w:t xml:space="preserve">présidence </w:t>
      </w:r>
      <w:r w:rsidR="54B7B9F8" w:rsidRPr="00711662">
        <w:rPr>
          <w:sz w:val="24"/>
          <w:szCs w:val="24"/>
          <w:lang w:val="fr-BE"/>
        </w:rPr>
        <w:t>polonaise</w:t>
      </w:r>
      <w:r w:rsidR="00265F0A" w:rsidRPr="00711662">
        <w:rPr>
          <w:sz w:val="24"/>
          <w:szCs w:val="24"/>
          <w:lang w:val="fr-BE"/>
        </w:rPr>
        <w:t xml:space="preserve">. </w:t>
      </w:r>
      <w:r w:rsidR="0F79B1E8" w:rsidRPr="00711662">
        <w:rPr>
          <w:sz w:val="24"/>
          <w:szCs w:val="24"/>
          <w:lang w:val="fr-BE"/>
        </w:rPr>
        <w:t>Cependant, l'</w:t>
      </w:r>
      <w:r w:rsidR="00265F0A" w:rsidRPr="00711662">
        <w:rPr>
          <w:sz w:val="24"/>
          <w:szCs w:val="24"/>
          <w:lang w:val="fr-BE"/>
        </w:rPr>
        <w:t xml:space="preserve">Allemagne, la Tchécoslovaquie et l'Italie bloquent </w:t>
      </w:r>
      <w:r w:rsidR="50C18CE5" w:rsidRPr="00711662">
        <w:rPr>
          <w:sz w:val="24"/>
          <w:szCs w:val="24"/>
          <w:lang w:val="fr-BE"/>
        </w:rPr>
        <w:t xml:space="preserve">toujours </w:t>
      </w:r>
      <w:r w:rsidR="00265F0A" w:rsidRPr="00711662">
        <w:rPr>
          <w:sz w:val="24"/>
          <w:szCs w:val="24"/>
          <w:lang w:val="fr-BE"/>
        </w:rPr>
        <w:t xml:space="preserve">l'adoption du texte. </w:t>
      </w:r>
    </w:p>
    <w:p w14:paraId="2806FBD6" w14:textId="77777777" w:rsidR="00747449" w:rsidRPr="00711662" w:rsidRDefault="0FE20B51" w:rsidP="7B0AD778">
      <w:pPr>
        <w:spacing w:line="360" w:lineRule="auto"/>
        <w:rPr>
          <w:sz w:val="24"/>
          <w:szCs w:val="24"/>
          <w:lang w:val="fr-BE"/>
        </w:rPr>
      </w:pPr>
      <w:r w:rsidRPr="00711662">
        <w:rPr>
          <w:sz w:val="24"/>
          <w:szCs w:val="24"/>
          <w:lang w:val="fr-BE"/>
        </w:rPr>
        <w:lastRenderedPageBreak/>
        <w:t xml:space="preserve">Nous </w:t>
      </w:r>
      <w:r w:rsidR="464F4F67" w:rsidRPr="00711662">
        <w:rPr>
          <w:sz w:val="24"/>
          <w:szCs w:val="24"/>
          <w:lang w:val="fr-BE"/>
        </w:rPr>
        <w:t xml:space="preserve">avons </w:t>
      </w:r>
      <w:hyperlink r:id="rId40">
        <w:r w:rsidR="464F4F67" w:rsidRPr="00711662">
          <w:rPr>
            <w:rStyle w:val="Hyperlink"/>
            <w:sz w:val="24"/>
            <w:szCs w:val="24"/>
            <w:lang w:val="fr-BE"/>
          </w:rPr>
          <w:t xml:space="preserve">travaillé avec d'autres réseaux d'égalité </w:t>
        </w:r>
      </w:hyperlink>
      <w:r w:rsidR="464F4F67" w:rsidRPr="00711662">
        <w:rPr>
          <w:sz w:val="24"/>
          <w:szCs w:val="24"/>
          <w:lang w:val="fr-BE"/>
        </w:rPr>
        <w:t>pour dénoncer l'intention de retirer le texte</w:t>
      </w:r>
      <w:r w:rsidR="2D61C4C6" w:rsidRPr="00711662">
        <w:rPr>
          <w:sz w:val="24"/>
          <w:szCs w:val="24"/>
          <w:lang w:val="fr-BE"/>
        </w:rPr>
        <w:t xml:space="preserve">, ainsi qu'avec le Parlement européen et la présidence polonaise. Les membres du FEPH d'Italie, de Tchécoslovaquie et d'Allemagne ont également </w:t>
      </w:r>
      <w:hyperlink r:id="rId41">
        <w:r w:rsidR="2D61C4C6" w:rsidRPr="00711662">
          <w:rPr>
            <w:rStyle w:val="Hyperlink"/>
            <w:sz w:val="24"/>
            <w:szCs w:val="24"/>
            <w:lang w:val="fr-BE"/>
          </w:rPr>
          <w:t>mené des actions de plaidoyer auprès de leur gouvernement</w:t>
        </w:r>
      </w:hyperlink>
      <w:r w:rsidR="2D61C4C6" w:rsidRPr="00711662">
        <w:rPr>
          <w:sz w:val="24"/>
          <w:szCs w:val="24"/>
          <w:lang w:val="fr-BE"/>
        </w:rPr>
        <w:t xml:space="preserve">. </w:t>
      </w:r>
    </w:p>
    <w:p w14:paraId="44C7CF47" w14:textId="6776A6BA" w:rsidR="0FE20B51" w:rsidRPr="00711662" w:rsidRDefault="00747449" w:rsidP="7B0AD778">
      <w:pPr>
        <w:spacing w:line="360" w:lineRule="auto"/>
        <w:rPr>
          <w:sz w:val="24"/>
          <w:szCs w:val="24"/>
          <w:lang w:val="fr-BE"/>
        </w:rPr>
      </w:pPr>
      <w:r w:rsidRPr="00711662">
        <w:rPr>
          <w:sz w:val="24"/>
          <w:szCs w:val="24"/>
          <w:lang w:val="fr-BE"/>
        </w:rPr>
        <w:t>La commission des libertés civiles du Parlement européen a envoyé une lettre s'opposant au retrait</w:t>
      </w:r>
      <w:r w:rsidR="006420F7" w:rsidRPr="00711662">
        <w:rPr>
          <w:sz w:val="24"/>
          <w:szCs w:val="24"/>
          <w:lang w:val="fr-BE"/>
        </w:rPr>
        <w:t>, et 11 États membres du Conseil ont exprimé publiquement leur opposition à cette décision</w:t>
      </w:r>
      <w:r w:rsidRPr="00711662">
        <w:rPr>
          <w:sz w:val="24"/>
          <w:szCs w:val="24"/>
          <w:lang w:val="fr-BE"/>
        </w:rPr>
        <w:t xml:space="preserve">. </w:t>
      </w:r>
      <w:r w:rsidR="2D61C4C6" w:rsidRPr="00711662">
        <w:rPr>
          <w:sz w:val="24"/>
          <w:szCs w:val="24"/>
          <w:lang w:val="fr-BE"/>
        </w:rPr>
        <w:t xml:space="preserve">Pourtant, à ce stade, il ne semble pas </w:t>
      </w:r>
      <w:r w:rsidR="006420F7" w:rsidRPr="00711662">
        <w:rPr>
          <w:sz w:val="24"/>
          <w:szCs w:val="24"/>
          <w:lang w:val="fr-BE"/>
        </w:rPr>
        <w:t xml:space="preserve">évident que </w:t>
      </w:r>
      <w:r w:rsidR="2D61C4C6" w:rsidRPr="00711662">
        <w:rPr>
          <w:sz w:val="24"/>
          <w:szCs w:val="24"/>
          <w:lang w:val="fr-BE"/>
        </w:rPr>
        <w:t xml:space="preserve">la Commission </w:t>
      </w:r>
      <w:r w:rsidR="006420F7" w:rsidRPr="00711662">
        <w:rPr>
          <w:sz w:val="24"/>
          <w:szCs w:val="24"/>
          <w:lang w:val="fr-BE"/>
        </w:rPr>
        <w:t xml:space="preserve">reviendra sur </w:t>
      </w:r>
      <w:r w:rsidR="2D61C4C6" w:rsidRPr="00711662">
        <w:rPr>
          <w:sz w:val="24"/>
          <w:szCs w:val="24"/>
          <w:lang w:val="fr-BE"/>
        </w:rPr>
        <w:t>sa décision</w:t>
      </w:r>
      <w:r w:rsidR="006420F7" w:rsidRPr="00711662">
        <w:rPr>
          <w:sz w:val="24"/>
          <w:szCs w:val="24"/>
          <w:lang w:val="fr-BE"/>
        </w:rPr>
        <w:t xml:space="preserve">, qui </w:t>
      </w:r>
      <w:r w:rsidR="0024718A" w:rsidRPr="00711662">
        <w:rPr>
          <w:sz w:val="24"/>
          <w:szCs w:val="24"/>
          <w:lang w:val="fr-BE"/>
        </w:rPr>
        <w:t>prendra effet après l'été</w:t>
      </w:r>
      <w:r w:rsidR="2D61C4C6" w:rsidRPr="00711662">
        <w:rPr>
          <w:sz w:val="24"/>
          <w:szCs w:val="24"/>
          <w:lang w:val="fr-BE"/>
        </w:rPr>
        <w:t xml:space="preserve">. </w:t>
      </w:r>
    </w:p>
    <w:p w14:paraId="1E4313D3" w14:textId="77777777" w:rsidR="00265F0A" w:rsidRPr="00711662" w:rsidRDefault="00265F0A" w:rsidP="00265F0A">
      <w:pPr>
        <w:spacing w:line="360" w:lineRule="auto"/>
        <w:rPr>
          <w:sz w:val="24"/>
          <w:szCs w:val="24"/>
          <w:lang w:val="fr-BE"/>
        </w:rPr>
      </w:pPr>
      <w:r w:rsidRPr="00711662">
        <w:rPr>
          <w:sz w:val="24"/>
          <w:szCs w:val="24"/>
          <w:lang w:val="fr-BE"/>
        </w:rPr>
        <w:t xml:space="preserve">Contact : Marine. </w:t>
      </w:r>
    </w:p>
    <w:p w14:paraId="0E5C52FB" w14:textId="77777777" w:rsidR="00265F0A" w:rsidRPr="00711662" w:rsidRDefault="00265F0A" w:rsidP="00265F0A">
      <w:pPr>
        <w:keepNext/>
        <w:keepLines/>
        <w:spacing w:before="200" w:after="240"/>
        <w:outlineLvl w:val="1"/>
        <w:rPr>
          <w:b/>
          <w:bCs/>
          <w:color w:val="0A77B3"/>
          <w:sz w:val="24"/>
          <w:szCs w:val="26"/>
          <w:lang w:val="fr-BE"/>
        </w:rPr>
      </w:pPr>
      <w:bookmarkStart w:id="41" w:name="_Toc179464870"/>
      <w:bookmarkStart w:id="42" w:name="_Toc180402123"/>
      <w:bookmarkStart w:id="43" w:name="_Toc199268274"/>
      <w:r w:rsidRPr="00711662">
        <w:rPr>
          <w:b/>
          <w:bCs/>
          <w:color w:val="0A77B3"/>
          <w:sz w:val="24"/>
          <w:szCs w:val="26"/>
          <w:lang w:val="fr-BE"/>
        </w:rPr>
        <w:t xml:space="preserve">Règlement sur la protection des adultes </w:t>
      </w:r>
      <w:bookmarkEnd w:id="41"/>
      <w:bookmarkEnd w:id="42"/>
      <w:bookmarkEnd w:id="43"/>
    </w:p>
    <w:p w14:paraId="29B1F974" w14:textId="5B5BA874" w:rsidR="00265F0A" w:rsidRPr="00711662" w:rsidRDefault="1B476461" w:rsidP="38402D5F">
      <w:pPr>
        <w:spacing w:line="360" w:lineRule="auto"/>
        <w:rPr>
          <w:sz w:val="24"/>
          <w:szCs w:val="24"/>
          <w:lang w:val="fr-BE"/>
        </w:rPr>
      </w:pPr>
      <w:r w:rsidRPr="00711662">
        <w:rPr>
          <w:sz w:val="24"/>
          <w:szCs w:val="24"/>
          <w:lang w:val="fr-BE"/>
        </w:rPr>
        <w:t xml:space="preserve">La </w:t>
      </w:r>
      <w:hyperlink r:id="rId42">
        <w:r w:rsidRPr="00711662">
          <w:rPr>
            <w:color w:val="0000FF"/>
            <w:sz w:val="24"/>
            <w:szCs w:val="24"/>
            <w:u w:val="single"/>
            <w:lang w:val="fr-BE"/>
          </w:rPr>
          <w:t xml:space="preserve">proposition de règlement et de décision du Conseil de </w:t>
        </w:r>
      </w:hyperlink>
      <w:r w:rsidRPr="00711662">
        <w:rPr>
          <w:sz w:val="24"/>
          <w:szCs w:val="24"/>
          <w:lang w:val="fr-BE"/>
        </w:rPr>
        <w:t xml:space="preserve">2023 régissant la "protection" transfrontalière des adultes est toujours en cours de négociation. Cette proposition est </w:t>
      </w:r>
      <w:r w:rsidRPr="00711662">
        <w:rPr>
          <w:b/>
          <w:bCs/>
          <w:sz w:val="24"/>
          <w:szCs w:val="24"/>
          <w:lang w:val="fr-BE"/>
        </w:rPr>
        <w:t xml:space="preserve">très préoccupante </w:t>
      </w:r>
      <w:r w:rsidRPr="00711662">
        <w:rPr>
          <w:sz w:val="24"/>
          <w:szCs w:val="24"/>
          <w:lang w:val="fr-BE"/>
        </w:rPr>
        <w:t xml:space="preserve">car elle reconnaît les régimes de privation de la capacité juridique et le placement en institution dans toute l'Union. Elle a été critiquée par deux experts de l'ONU et le comité CDPH a envoyé une lettre aux institutions européennes. Nous </w:t>
      </w:r>
      <w:r w:rsidRPr="00711662">
        <w:rPr>
          <w:color w:val="0000FF"/>
          <w:sz w:val="24"/>
          <w:szCs w:val="24"/>
          <w:u w:val="single"/>
          <w:lang w:val="fr-BE"/>
        </w:rPr>
        <w:t xml:space="preserve">avons publié nos amendements </w:t>
      </w:r>
      <w:r w:rsidRPr="00711662">
        <w:rPr>
          <w:sz w:val="24"/>
          <w:szCs w:val="24"/>
          <w:lang w:val="fr-BE"/>
        </w:rPr>
        <w:t xml:space="preserve">et reçu un </w:t>
      </w:r>
      <w:hyperlink r:id="rId43">
        <w:r w:rsidRPr="00711662">
          <w:rPr>
            <w:color w:val="0000FF"/>
            <w:sz w:val="24"/>
            <w:szCs w:val="24"/>
            <w:u w:val="single"/>
            <w:lang w:val="fr-BE"/>
          </w:rPr>
          <w:t xml:space="preserve">avis juridique </w:t>
        </w:r>
      </w:hyperlink>
      <w:r w:rsidRPr="00711662">
        <w:rPr>
          <w:sz w:val="24"/>
          <w:szCs w:val="24"/>
          <w:lang w:val="fr-BE"/>
        </w:rPr>
        <w:t xml:space="preserve">pour plaider en faveur de changements majeurs dans la proposition. </w:t>
      </w:r>
      <w:r w:rsidR="5588289F" w:rsidRPr="00711662">
        <w:rPr>
          <w:sz w:val="24"/>
          <w:szCs w:val="24"/>
          <w:lang w:val="fr-BE"/>
        </w:rPr>
        <w:t xml:space="preserve">Nous avons une </w:t>
      </w:r>
      <w:hyperlink r:id="rId44">
        <w:r w:rsidR="5588289F" w:rsidRPr="00711662">
          <w:rPr>
            <w:color w:val="0000FF"/>
            <w:sz w:val="24"/>
            <w:szCs w:val="24"/>
            <w:u w:val="single"/>
            <w:lang w:val="fr-BE"/>
          </w:rPr>
          <w:t xml:space="preserve">page de campagne sur </w:t>
        </w:r>
      </w:hyperlink>
      <w:r w:rsidR="5588289F" w:rsidRPr="00711662">
        <w:rPr>
          <w:sz w:val="24"/>
          <w:szCs w:val="24"/>
          <w:lang w:val="fr-BE"/>
        </w:rPr>
        <w:t xml:space="preserve">la proposition sur le site du FEPH. </w:t>
      </w:r>
    </w:p>
    <w:p w14:paraId="06E82C0C" w14:textId="6641DDFD" w:rsidR="00265F0A" w:rsidRPr="00711662" w:rsidRDefault="73B74C82" w:rsidP="00265F0A">
      <w:pPr>
        <w:spacing w:line="360" w:lineRule="auto"/>
        <w:rPr>
          <w:sz w:val="24"/>
          <w:szCs w:val="24"/>
          <w:lang w:val="fr-BE"/>
        </w:rPr>
      </w:pPr>
      <w:r w:rsidRPr="00711662">
        <w:rPr>
          <w:sz w:val="24"/>
          <w:szCs w:val="24"/>
          <w:lang w:val="fr-BE"/>
        </w:rPr>
        <w:t xml:space="preserve">Nous travaillons en étroite collaboration avec nos membres, notamment l'ENIL, Santé mentale Europe et Inclusion Europe, et nous rencontrons des membres du Parlement européen et des États membres à Bruxelles. </w:t>
      </w:r>
      <w:r w:rsidR="076052B1" w:rsidRPr="00711662">
        <w:rPr>
          <w:sz w:val="24"/>
          <w:szCs w:val="24"/>
          <w:lang w:val="fr-BE"/>
        </w:rPr>
        <w:t xml:space="preserve">Nous avons élaboré des </w:t>
      </w:r>
      <w:hyperlink r:id="rId45">
        <w:r w:rsidR="076052B1" w:rsidRPr="00711662">
          <w:rPr>
            <w:rStyle w:val="Hyperlink"/>
            <w:sz w:val="24"/>
            <w:szCs w:val="24"/>
            <w:lang w:val="fr-BE"/>
          </w:rPr>
          <w:t xml:space="preserve">amendements communs </w:t>
        </w:r>
      </w:hyperlink>
      <w:r w:rsidR="076052B1" w:rsidRPr="00711662">
        <w:rPr>
          <w:sz w:val="24"/>
          <w:szCs w:val="24"/>
          <w:lang w:val="fr-BE"/>
        </w:rPr>
        <w:t xml:space="preserve">(également avec AGE Platform et EUCAP) et une </w:t>
      </w:r>
      <w:hyperlink r:id="rId46">
        <w:r w:rsidR="076052B1" w:rsidRPr="00711662">
          <w:rPr>
            <w:rStyle w:val="Hyperlink"/>
            <w:sz w:val="24"/>
            <w:szCs w:val="24"/>
            <w:lang w:val="fr-BE"/>
          </w:rPr>
          <w:t xml:space="preserve">infographie </w:t>
        </w:r>
      </w:hyperlink>
      <w:r w:rsidR="076052B1" w:rsidRPr="00711662">
        <w:rPr>
          <w:sz w:val="24"/>
          <w:szCs w:val="24"/>
          <w:lang w:val="fr-BE"/>
        </w:rPr>
        <w:t>pour expliquer les problèmes.</w:t>
      </w:r>
    </w:p>
    <w:p w14:paraId="7074B82D" w14:textId="127FA648" w:rsidR="73B74C82" w:rsidRPr="00711662" w:rsidRDefault="73B74C82" w:rsidP="7B0AD778">
      <w:pPr>
        <w:spacing w:line="360" w:lineRule="auto"/>
        <w:rPr>
          <w:sz w:val="24"/>
          <w:szCs w:val="24"/>
          <w:lang w:val="fr-BE"/>
        </w:rPr>
      </w:pPr>
      <w:r w:rsidRPr="00711662">
        <w:rPr>
          <w:sz w:val="24"/>
          <w:szCs w:val="24"/>
          <w:lang w:val="fr-BE"/>
        </w:rPr>
        <w:t xml:space="preserve">Certaines de nos demandes ont été incluses dans les négociations du Conseil et du Parlement européen, mais les positions des deux institutions n'ont pas encore été formellement </w:t>
      </w:r>
      <w:r w:rsidR="25C866A6" w:rsidRPr="00711662">
        <w:rPr>
          <w:sz w:val="24"/>
          <w:szCs w:val="24"/>
          <w:lang w:val="fr-BE"/>
        </w:rPr>
        <w:t>adoptées</w:t>
      </w:r>
      <w:r w:rsidRPr="00711662">
        <w:rPr>
          <w:sz w:val="24"/>
          <w:szCs w:val="24"/>
          <w:lang w:val="fr-BE"/>
        </w:rPr>
        <w:t xml:space="preserve">. </w:t>
      </w:r>
    </w:p>
    <w:p w14:paraId="3EA73733" w14:textId="77777777" w:rsidR="00265F0A" w:rsidRPr="00711662" w:rsidRDefault="00265F0A" w:rsidP="00265F0A">
      <w:pPr>
        <w:spacing w:line="360" w:lineRule="auto"/>
        <w:rPr>
          <w:sz w:val="24"/>
          <w:szCs w:val="24"/>
          <w:lang w:val="fr-BE"/>
        </w:rPr>
      </w:pPr>
      <w:r w:rsidRPr="00711662">
        <w:rPr>
          <w:sz w:val="24"/>
          <w:szCs w:val="24"/>
          <w:lang w:val="fr-BE"/>
        </w:rPr>
        <w:t xml:space="preserve">Contact : Marine. </w:t>
      </w:r>
    </w:p>
    <w:p w14:paraId="2FFD77F2" w14:textId="77777777" w:rsidR="00265F0A" w:rsidRPr="00711662" w:rsidRDefault="00265F0A" w:rsidP="00265F0A">
      <w:pPr>
        <w:keepNext/>
        <w:keepLines/>
        <w:spacing w:before="200" w:after="240"/>
        <w:outlineLvl w:val="1"/>
        <w:rPr>
          <w:b/>
          <w:bCs/>
          <w:color w:val="0A77B3"/>
          <w:sz w:val="24"/>
          <w:szCs w:val="26"/>
          <w:lang w:val="fr-BE"/>
        </w:rPr>
      </w:pPr>
      <w:bookmarkStart w:id="44" w:name="_Toc180402124"/>
      <w:bookmarkStart w:id="45" w:name="_Toc199268275"/>
      <w:r w:rsidRPr="00711662">
        <w:rPr>
          <w:b/>
          <w:bCs/>
          <w:color w:val="0A77B3"/>
          <w:sz w:val="24"/>
          <w:szCs w:val="26"/>
          <w:lang w:val="fr-BE"/>
        </w:rPr>
        <w:lastRenderedPageBreak/>
        <w:t>Directive sur les droits des victimes</w:t>
      </w:r>
      <w:bookmarkEnd w:id="44"/>
      <w:bookmarkEnd w:id="45"/>
    </w:p>
    <w:p w14:paraId="29EF3F47" w14:textId="6F0F034E" w:rsidR="00265F0A" w:rsidRPr="00711662" w:rsidRDefault="00265F0A" w:rsidP="00265F0A">
      <w:pPr>
        <w:spacing w:line="360" w:lineRule="auto"/>
        <w:rPr>
          <w:sz w:val="24"/>
          <w:szCs w:val="24"/>
          <w:lang w:val="fr-BE"/>
        </w:rPr>
      </w:pPr>
      <w:r w:rsidRPr="00711662">
        <w:rPr>
          <w:sz w:val="24"/>
          <w:szCs w:val="24"/>
          <w:lang w:val="fr-BE"/>
        </w:rPr>
        <w:t xml:space="preserve">Le Conseil de l'UE et le Parlement européen ont adopté leur position sur la révision de la directive relative aux droits des victimes avant l'été. Les négociations interinstitutionnelles </w:t>
      </w:r>
      <w:r w:rsidR="52060F4A" w:rsidRPr="00711662">
        <w:rPr>
          <w:sz w:val="24"/>
          <w:szCs w:val="24"/>
          <w:lang w:val="fr-BE"/>
        </w:rPr>
        <w:t xml:space="preserve">(trilogue) ont commencé. </w:t>
      </w:r>
    </w:p>
    <w:p w14:paraId="5A5B61C1" w14:textId="77777777" w:rsidR="00265F0A" w:rsidRPr="00711662" w:rsidRDefault="00265F0A" w:rsidP="124EBE3E">
      <w:pPr>
        <w:spacing w:line="360" w:lineRule="auto"/>
        <w:rPr>
          <w:sz w:val="24"/>
          <w:szCs w:val="24"/>
          <w:lang w:val="fr-BE"/>
        </w:rPr>
      </w:pPr>
      <w:r w:rsidRPr="00711662">
        <w:rPr>
          <w:sz w:val="24"/>
          <w:szCs w:val="24"/>
          <w:lang w:val="fr-BE"/>
        </w:rPr>
        <w:t xml:space="preserve">Bien que le </w:t>
      </w:r>
      <w:hyperlink r:id="rId47">
        <w:r w:rsidRPr="00711662">
          <w:rPr>
            <w:color w:val="0000FF"/>
            <w:sz w:val="24"/>
            <w:szCs w:val="24"/>
            <w:u w:val="single"/>
            <w:lang w:val="fr-BE"/>
          </w:rPr>
          <w:t>Conseil ait affaibli la proposition de la Commission</w:t>
        </w:r>
      </w:hyperlink>
      <w:r w:rsidRPr="00711662">
        <w:rPr>
          <w:sz w:val="24"/>
          <w:szCs w:val="24"/>
          <w:lang w:val="fr-BE"/>
        </w:rPr>
        <w:t>, les dispositions spécifiques aux personnes handicapées n'ont pas été supprimées. Le FEPH suit les négociations sous la direction de Victims' Support Europe.</w:t>
      </w:r>
    </w:p>
    <w:p w14:paraId="23F8D468" w14:textId="77777777" w:rsidR="00E124E7" w:rsidRPr="00711662" w:rsidRDefault="00265F0A" w:rsidP="00E124E7">
      <w:pPr>
        <w:spacing w:line="360" w:lineRule="auto"/>
        <w:rPr>
          <w:sz w:val="24"/>
          <w:szCs w:val="24"/>
          <w:lang w:val="fr-BE"/>
        </w:rPr>
      </w:pPr>
      <w:r w:rsidRPr="00711662">
        <w:rPr>
          <w:sz w:val="24"/>
          <w:szCs w:val="24"/>
          <w:lang w:val="fr-BE"/>
        </w:rPr>
        <w:t xml:space="preserve">Contact : Marine. </w:t>
      </w:r>
    </w:p>
    <w:p w14:paraId="748B0CBC" w14:textId="77777777" w:rsidR="00E124E7" w:rsidRPr="00711662" w:rsidRDefault="2B76C34F" w:rsidP="00E124E7">
      <w:pPr>
        <w:keepNext/>
        <w:keepLines/>
        <w:spacing w:before="200" w:after="240"/>
        <w:outlineLvl w:val="1"/>
        <w:rPr>
          <w:b/>
          <w:bCs/>
          <w:color w:val="0A77B3"/>
          <w:sz w:val="24"/>
          <w:szCs w:val="26"/>
          <w:lang w:val="fr-BE"/>
        </w:rPr>
      </w:pPr>
      <w:bookmarkStart w:id="46" w:name="_Toc199268276"/>
      <w:r w:rsidRPr="00711662">
        <w:rPr>
          <w:b/>
          <w:bCs/>
          <w:color w:val="0A77B3"/>
          <w:sz w:val="24"/>
          <w:szCs w:val="26"/>
          <w:lang w:val="fr-BE"/>
        </w:rPr>
        <w:t xml:space="preserve">Stratégies d'égalité </w:t>
      </w:r>
      <w:bookmarkEnd w:id="46"/>
    </w:p>
    <w:p w14:paraId="76DD4616" w14:textId="77777777" w:rsidR="00E124E7" w:rsidRPr="00711662" w:rsidRDefault="2B76C34F" w:rsidP="00E124E7">
      <w:pPr>
        <w:spacing w:line="360" w:lineRule="auto"/>
        <w:rPr>
          <w:lang w:val="fr-BE"/>
        </w:rPr>
      </w:pPr>
      <w:r w:rsidRPr="00711662">
        <w:rPr>
          <w:lang w:val="fr-BE"/>
        </w:rPr>
        <w:t xml:space="preserve">La Commission européenne mène plusieurs consultations afin d'adopter de nouvelles stratégies en matière d'égalité pour l'après-2025 : </w:t>
      </w:r>
    </w:p>
    <w:p w14:paraId="200FA4D6" w14:textId="77777777" w:rsidR="00E124E7" w:rsidRPr="00711662" w:rsidRDefault="2B76C34F" w:rsidP="00E124E7">
      <w:pPr>
        <w:numPr>
          <w:ilvl w:val="0"/>
          <w:numId w:val="3"/>
        </w:numPr>
        <w:spacing w:line="360" w:lineRule="auto"/>
        <w:rPr>
          <w:b/>
          <w:bCs/>
          <w:color w:val="0A77B3"/>
          <w:sz w:val="24"/>
          <w:szCs w:val="24"/>
          <w:lang w:val="fr-BE"/>
        </w:rPr>
      </w:pPr>
      <w:hyperlink r:id="rId48">
        <w:r w:rsidRPr="00711662">
          <w:rPr>
            <w:rStyle w:val="Hyperlink"/>
            <w:rFonts w:eastAsia="Arial" w:cs="Arial"/>
            <w:lang w:val="fr-BE"/>
          </w:rPr>
          <w:t xml:space="preserve">Stratégie pour l'égalité LGBTIQ+ </w:t>
        </w:r>
      </w:hyperlink>
      <w:r w:rsidRPr="00711662">
        <w:rPr>
          <w:rFonts w:eastAsia="Arial" w:cs="Arial"/>
          <w:lang w:val="fr-BE"/>
        </w:rPr>
        <w:t>(date limite : 24 juin)</w:t>
      </w:r>
    </w:p>
    <w:p w14:paraId="5E7F2EC6" w14:textId="77777777" w:rsidR="00E124E7" w:rsidRPr="00711662" w:rsidRDefault="599111C8" w:rsidP="00E124E7">
      <w:pPr>
        <w:numPr>
          <w:ilvl w:val="0"/>
          <w:numId w:val="3"/>
        </w:numPr>
        <w:spacing w:line="360" w:lineRule="auto"/>
        <w:rPr>
          <w:b/>
          <w:bCs/>
          <w:color w:val="0A77B3"/>
          <w:sz w:val="24"/>
          <w:szCs w:val="24"/>
          <w:lang w:val="fr-BE"/>
        </w:rPr>
      </w:pPr>
      <w:hyperlink r:id="rId49">
        <w:r w:rsidRPr="00711662">
          <w:rPr>
            <w:rStyle w:val="Hyperlink"/>
            <w:rFonts w:eastAsia="Arial" w:cs="Arial"/>
            <w:lang w:val="fr-BE"/>
          </w:rPr>
          <w:t xml:space="preserve">Stratégie de lutte contre le racisme </w:t>
        </w:r>
      </w:hyperlink>
      <w:r w:rsidRPr="00711662">
        <w:rPr>
          <w:rFonts w:eastAsia="Arial" w:cs="Arial"/>
          <w:lang w:val="fr-BE"/>
        </w:rPr>
        <w:t>(date limite : 8 juillet)</w:t>
      </w:r>
    </w:p>
    <w:p w14:paraId="5BDA804D" w14:textId="77777777" w:rsidR="00F45FF2" w:rsidRPr="00711662" w:rsidRDefault="2B76C34F" w:rsidP="00E124E7">
      <w:pPr>
        <w:numPr>
          <w:ilvl w:val="0"/>
          <w:numId w:val="3"/>
        </w:numPr>
        <w:spacing w:line="360" w:lineRule="auto"/>
        <w:rPr>
          <w:b/>
          <w:bCs/>
          <w:color w:val="0A77B3"/>
          <w:sz w:val="24"/>
          <w:szCs w:val="24"/>
          <w:lang w:val="fr-BE"/>
        </w:rPr>
      </w:pPr>
      <w:hyperlink r:id="rId50">
        <w:r w:rsidRPr="00711662">
          <w:rPr>
            <w:rStyle w:val="Hyperlink"/>
            <w:rFonts w:eastAsia="Arial" w:cs="Arial"/>
            <w:lang w:val="fr-BE"/>
          </w:rPr>
          <w:t xml:space="preserve">Stratégie pour l'égalité entre les femmes et les hommes </w:t>
        </w:r>
      </w:hyperlink>
      <w:r w:rsidRPr="00711662">
        <w:rPr>
          <w:rFonts w:eastAsia="Arial" w:cs="Arial"/>
          <w:lang w:val="fr-BE"/>
        </w:rPr>
        <w:t>(date limite : 11 août)</w:t>
      </w:r>
    </w:p>
    <w:p w14:paraId="381CF901" w14:textId="77777777" w:rsidR="00F45FF2" w:rsidRPr="00711662" w:rsidRDefault="2B76C34F" w:rsidP="00F45FF2">
      <w:pPr>
        <w:spacing w:line="360" w:lineRule="auto"/>
        <w:ind w:left="360"/>
        <w:rPr>
          <w:b/>
          <w:bCs/>
          <w:color w:val="0A77B3"/>
          <w:sz w:val="24"/>
          <w:szCs w:val="24"/>
          <w:lang w:val="fr-BE"/>
        </w:rPr>
      </w:pPr>
      <w:r w:rsidRPr="00711662">
        <w:rPr>
          <w:lang w:val="fr-BE"/>
        </w:rPr>
        <w:t xml:space="preserve">La Commission organise également une consultation sur une </w:t>
      </w:r>
      <w:hyperlink r:id="rId51">
        <w:r w:rsidRPr="00711662">
          <w:rPr>
            <w:rStyle w:val="Hyperlink"/>
            <w:lang w:val="fr-BE"/>
          </w:rPr>
          <w:t>stratégie d'équité intergénérationnelle</w:t>
        </w:r>
      </w:hyperlink>
      <w:r w:rsidRPr="00711662">
        <w:rPr>
          <w:lang w:val="fr-BE"/>
        </w:rPr>
        <w:t xml:space="preserve">. </w:t>
      </w:r>
    </w:p>
    <w:p w14:paraId="0A3529FB" w14:textId="4936946C" w:rsidR="00F45FF2" w:rsidRPr="00711662" w:rsidRDefault="2B76C34F" w:rsidP="00F45FF2">
      <w:pPr>
        <w:spacing w:line="360" w:lineRule="auto"/>
        <w:ind w:left="360"/>
        <w:rPr>
          <w:lang w:val="fr-BE"/>
        </w:rPr>
      </w:pPr>
      <w:r w:rsidRPr="00711662">
        <w:rPr>
          <w:lang w:val="fr-BE"/>
        </w:rPr>
        <w:t>Nous avons pris contact avec nos partenaires pour apporter notre contribution à la consultation. Le comité des femmes du FE</w:t>
      </w:r>
      <w:r w:rsidR="00F22193">
        <w:rPr>
          <w:lang w:val="fr-BE"/>
        </w:rPr>
        <w:t>PH</w:t>
      </w:r>
      <w:r w:rsidRPr="00711662">
        <w:rPr>
          <w:lang w:val="fr-BE"/>
        </w:rPr>
        <w:t xml:space="preserve"> préparera des recommandations politiques spécifiques pour la stratégie sur l'égalité entre les hommes et les femmes. </w:t>
      </w:r>
    </w:p>
    <w:p w14:paraId="12BE4009" w14:textId="4DA9E7F9" w:rsidR="2B76C34F" w:rsidRPr="00711662" w:rsidRDefault="2B76C34F" w:rsidP="00F45FF2">
      <w:pPr>
        <w:spacing w:line="360" w:lineRule="auto"/>
        <w:ind w:left="360"/>
        <w:rPr>
          <w:lang w:val="fr-BE"/>
        </w:rPr>
      </w:pPr>
      <w:r w:rsidRPr="00711662">
        <w:rPr>
          <w:lang w:val="fr-BE"/>
        </w:rPr>
        <w:t xml:space="preserve">Contact : Marine et Giulia </w:t>
      </w:r>
    </w:p>
    <w:p w14:paraId="6C7361CE" w14:textId="77777777" w:rsidR="00265F0A" w:rsidRPr="00711662" w:rsidRDefault="00265F0A" w:rsidP="00265F0A">
      <w:pPr>
        <w:keepNext/>
        <w:keepLines/>
        <w:spacing w:before="200" w:after="240"/>
        <w:outlineLvl w:val="1"/>
        <w:rPr>
          <w:b/>
          <w:bCs/>
          <w:color w:val="0A77B3"/>
          <w:sz w:val="24"/>
          <w:szCs w:val="26"/>
          <w:lang w:val="fr-BE"/>
        </w:rPr>
      </w:pPr>
      <w:bookmarkStart w:id="47" w:name="_Toc179464871"/>
      <w:bookmarkStart w:id="48" w:name="_Toc180402125"/>
      <w:bookmarkStart w:id="49" w:name="_Toc199268277"/>
      <w:r w:rsidRPr="00711662">
        <w:rPr>
          <w:b/>
          <w:bCs/>
          <w:color w:val="0A77B3"/>
          <w:sz w:val="24"/>
          <w:szCs w:val="26"/>
          <w:lang w:val="fr-BE"/>
        </w:rPr>
        <w:t xml:space="preserve">Recommandation sur la prévention des pratiques préjudiciables aux femmes </w:t>
      </w:r>
      <w:bookmarkEnd w:id="47"/>
      <w:bookmarkEnd w:id="48"/>
      <w:bookmarkEnd w:id="49"/>
    </w:p>
    <w:p w14:paraId="217BFF91" w14:textId="699B5016" w:rsidR="00265F0A" w:rsidRPr="00711662" w:rsidRDefault="23FA7AB7" w:rsidP="38402D5F">
      <w:pPr>
        <w:spacing w:line="360" w:lineRule="auto"/>
        <w:rPr>
          <w:sz w:val="24"/>
          <w:szCs w:val="24"/>
          <w:lang w:val="fr-BE"/>
        </w:rPr>
      </w:pPr>
      <w:r w:rsidRPr="00711662">
        <w:rPr>
          <w:sz w:val="24"/>
          <w:szCs w:val="24"/>
          <w:lang w:val="fr-BE"/>
        </w:rPr>
        <w:t xml:space="preserve">La Commission avait pour objectif d'adopter une recommandation de la Commission sur la prévention des pratiques préjudiciables, y compris des questions telles que la stérilisation forcée, la grossesse forcée, les mutilations génitales féminines et le mariage forcé. Nous avons participé à plusieurs réunions de consultation. Cependant, il semble que l'adoption de la recommandation ait été suspendue. Il n'est pas clair </w:t>
      </w:r>
      <w:r w:rsidR="67399F42" w:rsidRPr="00711662">
        <w:rPr>
          <w:sz w:val="24"/>
          <w:szCs w:val="24"/>
          <w:lang w:val="fr-BE"/>
        </w:rPr>
        <w:t xml:space="preserve">si/quand </w:t>
      </w:r>
      <w:r w:rsidRPr="00711662">
        <w:rPr>
          <w:sz w:val="24"/>
          <w:szCs w:val="24"/>
          <w:lang w:val="fr-BE"/>
        </w:rPr>
        <w:t xml:space="preserve">la Commission reprendra le travail et l'adoptera. </w:t>
      </w:r>
    </w:p>
    <w:p w14:paraId="2D082E86" w14:textId="4022BCBE" w:rsidR="00265F0A" w:rsidRPr="00711662" w:rsidRDefault="00265F0A" w:rsidP="00265F0A">
      <w:pPr>
        <w:spacing w:line="360" w:lineRule="auto"/>
        <w:rPr>
          <w:sz w:val="24"/>
          <w:szCs w:val="24"/>
          <w:lang w:val="fr-BE"/>
        </w:rPr>
      </w:pPr>
      <w:r w:rsidRPr="00711662">
        <w:rPr>
          <w:sz w:val="24"/>
          <w:szCs w:val="24"/>
          <w:lang w:val="fr-BE"/>
        </w:rPr>
        <w:lastRenderedPageBreak/>
        <w:t xml:space="preserve">Contact : </w:t>
      </w:r>
      <w:r w:rsidR="6DEAFD2D" w:rsidRPr="00711662">
        <w:rPr>
          <w:sz w:val="24"/>
          <w:szCs w:val="24"/>
          <w:lang w:val="fr-BE"/>
        </w:rPr>
        <w:t>Giulia</w:t>
      </w:r>
    </w:p>
    <w:p w14:paraId="2DEDA425" w14:textId="77777777" w:rsidR="00265F0A" w:rsidRPr="00711662" w:rsidRDefault="00265F0A" w:rsidP="00265F0A">
      <w:pPr>
        <w:keepNext/>
        <w:keepLines/>
        <w:spacing w:before="480" w:after="240"/>
        <w:outlineLvl w:val="0"/>
        <w:rPr>
          <w:b/>
          <w:bCs/>
          <w:color w:val="0A77B3"/>
          <w:sz w:val="28"/>
          <w:szCs w:val="28"/>
          <w:lang w:val="fr-BE"/>
        </w:rPr>
      </w:pPr>
      <w:bookmarkStart w:id="50" w:name="_Toc179464872"/>
      <w:bookmarkStart w:id="51" w:name="_Toc180402126"/>
      <w:bookmarkStart w:id="52" w:name="_Toc199268278"/>
      <w:r w:rsidRPr="00711662">
        <w:rPr>
          <w:b/>
          <w:bCs/>
          <w:color w:val="0A77B3"/>
          <w:sz w:val="28"/>
          <w:szCs w:val="28"/>
          <w:lang w:val="fr-BE"/>
        </w:rPr>
        <w:t>Participation politique</w:t>
      </w:r>
      <w:bookmarkStart w:id="53" w:name="_Hlk74929593"/>
      <w:bookmarkEnd w:id="50"/>
      <w:bookmarkEnd w:id="51"/>
      <w:bookmarkEnd w:id="52"/>
    </w:p>
    <w:p w14:paraId="505170FD" w14:textId="36076384" w:rsidR="009257D1" w:rsidRPr="00711662" w:rsidRDefault="009257D1" w:rsidP="124EBE3E">
      <w:pPr>
        <w:spacing w:line="360" w:lineRule="auto"/>
        <w:rPr>
          <w:sz w:val="24"/>
          <w:szCs w:val="24"/>
          <w:lang w:val="fr-BE"/>
        </w:rPr>
      </w:pPr>
      <w:r w:rsidRPr="00711662">
        <w:rPr>
          <w:sz w:val="24"/>
          <w:szCs w:val="24"/>
          <w:lang w:val="fr-BE"/>
        </w:rPr>
        <w:t>La Commission européenne a annoncé l'</w:t>
      </w:r>
      <w:r w:rsidR="000D5398" w:rsidRPr="00711662">
        <w:rPr>
          <w:sz w:val="24"/>
          <w:szCs w:val="24"/>
          <w:lang w:val="fr-BE"/>
        </w:rPr>
        <w:t>adoption d'une stratégie intitulée "</w:t>
      </w:r>
      <w:r w:rsidR="000D5398" w:rsidRPr="00711662">
        <w:rPr>
          <w:b/>
          <w:bCs/>
          <w:sz w:val="24"/>
          <w:szCs w:val="24"/>
          <w:lang w:val="fr-BE"/>
        </w:rPr>
        <w:t>Bouclier de la démocratie</w:t>
      </w:r>
      <w:r w:rsidR="000D5398" w:rsidRPr="00711662">
        <w:rPr>
          <w:sz w:val="24"/>
          <w:szCs w:val="24"/>
          <w:lang w:val="fr-BE"/>
        </w:rPr>
        <w:t>" qui sera publiée à la fin de 2025. Le FEPH a contribué à l</w:t>
      </w:r>
      <w:hyperlink r:id="rId52" w:history="1">
        <w:r w:rsidR="000D5398" w:rsidRPr="00711662">
          <w:rPr>
            <w:rStyle w:val="Hyperlink"/>
            <w:sz w:val="24"/>
            <w:szCs w:val="24"/>
            <w:lang w:val="fr-BE"/>
          </w:rPr>
          <w:t xml:space="preserve">'appel à contribution </w:t>
        </w:r>
      </w:hyperlink>
      <w:r w:rsidR="00635C81" w:rsidRPr="00711662">
        <w:rPr>
          <w:sz w:val="24"/>
          <w:szCs w:val="24"/>
          <w:lang w:val="fr-BE"/>
        </w:rPr>
        <w:t>en collaboration avec Civil Society Europe.</w:t>
      </w:r>
    </w:p>
    <w:p w14:paraId="10BEF4A3" w14:textId="252A5930" w:rsidR="00265F0A" w:rsidRPr="00711662" w:rsidRDefault="006566FF" w:rsidP="124EBE3E">
      <w:pPr>
        <w:spacing w:line="360" w:lineRule="auto"/>
        <w:rPr>
          <w:sz w:val="24"/>
          <w:szCs w:val="24"/>
          <w:lang w:val="fr-BE"/>
        </w:rPr>
      </w:pPr>
      <w:r w:rsidRPr="00711662">
        <w:rPr>
          <w:sz w:val="24"/>
          <w:szCs w:val="24"/>
          <w:lang w:val="fr-BE"/>
        </w:rPr>
        <w:t xml:space="preserve">En ce qui concerne la législation en cours, </w:t>
      </w:r>
      <w:r w:rsidR="00265F0A" w:rsidRPr="00711662">
        <w:rPr>
          <w:sz w:val="24"/>
          <w:szCs w:val="24"/>
          <w:lang w:val="fr-BE"/>
        </w:rPr>
        <w:t xml:space="preserve">la Commission a publié en 2021 deux directives du Conseil concernant les droits électoraux des </w:t>
      </w:r>
      <w:r w:rsidR="00265F0A" w:rsidRPr="00711662">
        <w:rPr>
          <w:b/>
          <w:bCs/>
          <w:sz w:val="24"/>
          <w:szCs w:val="24"/>
          <w:lang w:val="fr-BE"/>
        </w:rPr>
        <w:t xml:space="preserve">citoyens européens mobiles </w:t>
      </w:r>
      <w:r w:rsidR="00265F0A" w:rsidRPr="00711662">
        <w:rPr>
          <w:sz w:val="24"/>
          <w:szCs w:val="24"/>
          <w:lang w:val="fr-BE"/>
        </w:rPr>
        <w:t xml:space="preserve">pour les </w:t>
      </w:r>
      <w:hyperlink r:id="rId53">
        <w:r w:rsidR="00265F0A" w:rsidRPr="00711662">
          <w:rPr>
            <w:color w:val="0000FF"/>
            <w:sz w:val="24"/>
            <w:szCs w:val="24"/>
            <w:u w:val="single"/>
            <w:lang w:val="fr-BE"/>
          </w:rPr>
          <w:t xml:space="preserve">élections du Parlement européen </w:t>
        </w:r>
      </w:hyperlink>
      <w:r w:rsidR="00265F0A" w:rsidRPr="00711662">
        <w:rPr>
          <w:sz w:val="24"/>
          <w:szCs w:val="24"/>
          <w:lang w:val="fr-BE"/>
        </w:rPr>
        <w:t xml:space="preserve">et les </w:t>
      </w:r>
      <w:hyperlink r:id="rId54">
        <w:r w:rsidR="00265F0A" w:rsidRPr="00711662">
          <w:rPr>
            <w:color w:val="0000FF"/>
            <w:sz w:val="24"/>
            <w:szCs w:val="24"/>
            <w:u w:val="single"/>
            <w:lang w:val="fr-BE"/>
          </w:rPr>
          <w:t>élections municipales</w:t>
        </w:r>
      </w:hyperlink>
      <w:r w:rsidR="00265F0A" w:rsidRPr="00711662">
        <w:rPr>
          <w:sz w:val="24"/>
          <w:szCs w:val="24"/>
          <w:lang w:val="fr-BE"/>
        </w:rPr>
        <w:t xml:space="preserve">. Le FEPH a diffusé un </w:t>
      </w:r>
      <w:hyperlink r:id="rId55">
        <w:r w:rsidR="00265F0A" w:rsidRPr="00711662">
          <w:rPr>
            <w:color w:val="0000FF"/>
            <w:sz w:val="24"/>
            <w:szCs w:val="24"/>
            <w:u w:val="single"/>
            <w:lang w:val="fr-BE"/>
          </w:rPr>
          <w:t>document de synthèse contenant des propositions d'amendements aux deux directives</w:t>
        </w:r>
      </w:hyperlink>
      <w:r w:rsidR="00265F0A" w:rsidRPr="00711662">
        <w:rPr>
          <w:sz w:val="24"/>
          <w:szCs w:val="24"/>
          <w:lang w:val="fr-BE"/>
        </w:rPr>
        <w:t>, soulignant le droit de vote et d'éligibilité des personnes handicapées, et renforçant les dispositions relatives à l'accessibilité. Seuls les États membres peuvent se mettre d'accord sur ces directives ; le Parlement n'est que consulté.</w:t>
      </w:r>
    </w:p>
    <w:p w14:paraId="08BBD8DA" w14:textId="77777777" w:rsidR="00265F0A" w:rsidRPr="00711662" w:rsidRDefault="00265F0A" w:rsidP="124EBE3E">
      <w:pPr>
        <w:spacing w:line="360" w:lineRule="auto"/>
        <w:rPr>
          <w:sz w:val="24"/>
          <w:szCs w:val="24"/>
          <w:lang w:val="fr-BE"/>
        </w:rPr>
      </w:pPr>
      <w:r w:rsidRPr="00711662">
        <w:rPr>
          <w:sz w:val="24"/>
          <w:szCs w:val="24"/>
          <w:lang w:val="fr-BE"/>
        </w:rPr>
        <w:t xml:space="preserve">Les États membres se sont mis d'accord sur un </w:t>
      </w:r>
      <w:hyperlink r:id="rId56">
        <w:r w:rsidRPr="00711662">
          <w:rPr>
            <w:color w:val="0000FF"/>
            <w:sz w:val="24"/>
            <w:szCs w:val="24"/>
            <w:u w:val="single"/>
            <w:lang w:val="fr-BE"/>
          </w:rPr>
          <w:t>texte de compromis concernant les élections du Parlement européen</w:t>
        </w:r>
      </w:hyperlink>
      <w:r w:rsidRPr="00711662">
        <w:rPr>
          <w:sz w:val="24"/>
          <w:szCs w:val="24"/>
          <w:lang w:val="fr-BE"/>
        </w:rPr>
        <w:t>, qu'ils ont à nouveau envoyé pour consultation au Parlement européen. Le texte stipule explicitement que les citoyens européens non nationaux handicapés doivent bénéficier des mêmes dispositions pour participer aux élections européennes (considérant 31) et doivent recevoir les informations de manière accessible (article 12).</w:t>
      </w:r>
    </w:p>
    <w:p w14:paraId="297AC930" w14:textId="77777777" w:rsidR="00265F0A" w:rsidRPr="00711662" w:rsidRDefault="00265F0A" w:rsidP="38402D5F">
      <w:pPr>
        <w:spacing w:line="360" w:lineRule="auto"/>
        <w:rPr>
          <w:sz w:val="24"/>
          <w:szCs w:val="24"/>
          <w:lang w:val="fr-BE"/>
        </w:rPr>
      </w:pPr>
      <w:r w:rsidRPr="00711662">
        <w:rPr>
          <w:sz w:val="24"/>
          <w:szCs w:val="24"/>
          <w:lang w:val="fr-BE"/>
        </w:rPr>
        <w:t xml:space="preserve">En ce qui concerne la proposition du Parlement européen 2022 pour une </w:t>
      </w:r>
      <w:hyperlink r:id="rId57">
        <w:r w:rsidRPr="00711662">
          <w:rPr>
            <w:b/>
            <w:bCs/>
            <w:color w:val="0000FF"/>
            <w:sz w:val="24"/>
            <w:szCs w:val="24"/>
            <w:u w:val="single"/>
            <w:lang w:val="fr-BE"/>
          </w:rPr>
          <w:t>nouvelle loi électorale de l'UE</w:t>
        </w:r>
      </w:hyperlink>
      <w:r w:rsidRPr="00711662">
        <w:rPr>
          <w:sz w:val="24"/>
          <w:szCs w:val="24"/>
          <w:lang w:val="fr-BE"/>
        </w:rPr>
        <w:t>, elle est toujours en discussion au Conseil de l'UE, mais aucun accord n'est attendu dans l'immédiat.</w:t>
      </w:r>
    </w:p>
    <w:p w14:paraId="6684ED6F" w14:textId="77777777" w:rsidR="00265F0A" w:rsidRPr="005A350B" w:rsidRDefault="00265F0A" w:rsidP="00265F0A">
      <w:pPr>
        <w:spacing w:line="360" w:lineRule="auto"/>
        <w:rPr>
          <w:sz w:val="24"/>
          <w:szCs w:val="24"/>
          <w:lang w:val="fr-BE"/>
        </w:rPr>
      </w:pPr>
      <w:r w:rsidRPr="005A350B">
        <w:rPr>
          <w:sz w:val="24"/>
          <w:szCs w:val="24"/>
          <w:lang w:val="fr-BE"/>
        </w:rPr>
        <w:t xml:space="preserve">Contact : Alejandro. </w:t>
      </w:r>
    </w:p>
    <w:p w14:paraId="1495A19B" w14:textId="77777777" w:rsidR="00265F0A" w:rsidRPr="005A350B" w:rsidRDefault="00265F0A" w:rsidP="00265F0A">
      <w:pPr>
        <w:keepNext/>
        <w:keepLines/>
        <w:spacing w:before="480" w:after="0"/>
        <w:outlineLvl w:val="0"/>
        <w:rPr>
          <w:b/>
          <w:color w:val="0A77B3"/>
          <w:sz w:val="28"/>
          <w:szCs w:val="28"/>
          <w:lang w:val="fr-BE"/>
        </w:rPr>
      </w:pPr>
      <w:bookmarkStart w:id="54" w:name="_Toc179464873"/>
      <w:bookmarkStart w:id="55" w:name="_Toc180402127"/>
      <w:bookmarkStart w:id="56" w:name="_Toc199268279"/>
      <w:bookmarkEnd w:id="53"/>
      <w:r w:rsidRPr="005A350B">
        <w:rPr>
          <w:b/>
          <w:color w:val="0A77B3"/>
          <w:sz w:val="28"/>
          <w:szCs w:val="28"/>
          <w:lang w:val="fr-BE"/>
        </w:rPr>
        <w:t>Politiques sociales</w:t>
      </w:r>
      <w:bookmarkEnd w:id="54"/>
      <w:bookmarkEnd w:id="55"/>
      <w:bookmarkEnd w:id="56"/>
    </w:p>
    <w:p w14:paraId="4B656876" w14:textId="77777777" w:rsidR="00265F0A" w:rsidRPr="005A350B" w:rsidRDefault="00265F0A" w:rsidP="00265F0A">
      <w:pPr>
        <w:keepNext/>
        <w:keepLines/>
        <w:spacing w:before="200" w:after="240"/>
        <w:outlineLvl w:val="1"/>
        <w:rPr>
          <w:b/>
          <w:color w:val="0A77B3"/>
          <w:sz w:val="24"/>
          <w:szCs w:val="26"/>
          <w:lang w:val="fr-BE"/>
        </w:rPr>
      </w:pPr>
      <w:bookmarkStart w:id="57" w:name="_Toc179464874"/>
      <w:bookmarkStart w:id="58" w:name="_Toc180402128"/>
      <w:bookmarkStart w:id="59" w:name="_Toc199268280"/>
      <w:bookmarkStart w:id="60" w:name="_Hlk179537232"/>
      <w:r w:rsidRPr="005A350B">
        <w:rPr>
          <w:b/>
          <w:color w:val="0A77B3"/>
          <w:sz w:val="24"/>
          <w:szCs w:val="26"/>
          <w:lang w:val="fr-BE"/>
        </w:rPr>
        <w:t>Directive européenne sur les stages</w:t>
      </w:r>
      <w:bookmarkEnd w:id="57"/>
      <w:bookmarkEnd w:id="58"/>
      <w:bookmarkEnd w:id="59"/>
    </w:p>
    <w:p w14:paraId="0C6556B4" w14:textId="77777777" w:rsidR="00265F0A" w:rsidRPr="00711662" w:rsidRDefault="00265F0A" w:rsidP="00265F0A">
      <w:pPr>
        <w:spacing w:line="360" w:lineRule="auto"/>
        <w:rPr>
          <w:b/>
          <w:bCs/>
          <w:color w:val="0070C0"/>
          <w:sz w:val="24"/>
          <w:szCs w:val="24"/>
          <w:lang w:val="fr-BE"/>
        </w:rPr>
      </w:pPr>
      <w:r w:rsidRPr="00711662">
        <w:rPr>
          <w:sz w:val="24"/>
          <w:szCs w:val="24"/>
          <w:lang w:val="fr-BE"/>
        </w:rPr>
        <w:t xml:space="preserve">En mars dernier, la Commission européenne a lancé une proposition de </w:t>
      </w:r>
      <w:hyperlink r:id="rId58" w:history="1">
        <w:r w:rsidRPr="00711662">
          <w:rPr>
            <w:color w:val="0000FF"/>
            <w:sz w:val="24"/>
            <w:szCs w:val="24"/>
            <w:u w:val="single"/>
            <w:lang w:val="fr-BE"/>
          </w:rPr>
          <w:t xml:space="preserve">directive sur l'amélioration et l'application des conditions de travail des stagiaires et la lutte contre les relations de travail régulières déguisées en stages </w:t>
        </w:r>
      </w:hyperlink>
      <w:r w:rsidRPr="00711662">
        <w:rPr>
          <w:sz w:val="24"/>
          <w:szCs w:val="24"/>
          <w:lang w:val="fr-BE"/>
        </w:rPr>
        <w:t xml:space="preserve">("directive sur les stages"). </w:t>
      </w:r>
    </w:p>
    <w:p w14:paraId="26BBF715" w14:textId="1C8B4D0E" w:rsidR="00265F0A" w:rsidRPr="00711662" w:rsidRDefault="00265F0A" w:rsidP="124EBE3E">
      <w:pPr>
        <w:spacing w:line="360" w:lineRule="auto"/>
        <w:rPr>
          <w:sz w:val="24"/>
          <w:szCs w:val="24"/>
          <w:lang w:val="fr-BE"/>
        </w:rPr>
      </w:pPr>
      <w:r w:rsidRPr="00711662">
        <w:rPr>
          <w:sz w:val="24"/>
          <w:szCs w:val="24"/>
          <w:lang w:val="fr-BE"/>
        </w:rPr>
        <w:lastRenderedPageBreak/>
        <w:t xml:space="preserve">Le FEPH a analysé la directive et défini un certain nombre de priorités pour les amendements, y compris la prise en compte des problèmes rencontrés par les stagiaires pour accéder à des aménagements raisonnables, et la menace de perdre l'allocation d'invalidité même si l'on ne reçoit qu'une petite bourse/salaire en tant que stagiaire. Nous </w:t>
      </w:r>
      <w:r w:rsidR="0006433B" w:rsidRPr="00711662">
        <w:rPr>
          <w:sz w:val="24"/>
          <w:szCs w:val="24"/>
          <w:lang w:val="fr-BE"/>
        </w:rPr>
        <w:t xml:space="preserve">avons travaillé </w:t>
      </w:r>
      <w:r w:rsidRPr="00711662">
        <w:rPr>
          <w:sz w:val="24"/>
          <w:szCs w:val="24"/>
          <w:lang w:val="fr-BE"/>
        </w:rPr>
        <w:t xml:space="preserve">avec le Forum européen de la Jeunesse </w:t>
      </w:r>
      <w:r w:rsidR="0006433B" w:rsidRPr="00711662">
        <w:rPr>
          <w:sz w:val="24"/>
          <w:szCs w:val="24"/>
          <w:lang w:val="fr-BE"/>
        </w:rPr>
        <w:t xml:space="preserve">pour </w:t>
      </w:r>
      <w:r w:rsidRPr="00711662">
        <w:rPr>
          <w:sz w:val="24"/>
          <w:szCs w:val="24"/>
          <w:lang w:val="fr-BE"/>
        </w:rPr>
        <w:t xml:space="preserve">intégrer nos amendements dans leur position de plaidoyer. </w:t>
      </w:r>
    </w:p>
    <w:p w14:paraId="7221DAE9" w14:textId="186853F9" w:rsidR="00CC3CFA" w:rsidRPr="00711662" w:rsidRDefault="00D16BF7" w:rsidP="124EBE3E">
      <w:pPr>
        <w:spacing w:line="360" w:lineRule="auto"/>
        <w:rPr>
          <w:sz w:val="24"/>
          <w:szCs w:val="24"/>
          <w:lang w:val="fr-BE"/>
        </w:rPr>
      </w:pPr>
      <w:r w:rsidRPr="00711662">
        <w:rPr>
          <w:sz w:val="24"/>
          <w:szCs w:val="24"/>
          <w:lang w:val="fr-BE"/>
        </w:rPr>
        <w:t>Le FEPH a rencontré les principaux députés européens concernés et</w:t>
      </w:r>
      <w:r w:rsidR="00CC3CFA" w:rsidRPr="00711662">
        <w:rPr>
          <w:sz w:val="24"/>
          <w:szCs w:val="24"/>
          <w:lang w:val="fr-BE"/>
        </w:rPr>
        <w:t xml:space="preserve">, à ce stade, des amendements ont été déposés </w:t>
      </w:r>
      <w:r w:rsidR="00D61355" w:rsidRPr="00711662">
        <w:rPr>
          <w:sz w:val="24"/>
          <w:szCs w:val="24"/>
          <w:lang w:val="fr-BE"/>
        </w:rPr>
        <w:t xml:space="preserve">dans le rapport du Parlement. De nombreuses références aux personnes handicapées et les </w:t>
      </w:r>
      <w:r w:rsidR="004A3C08" w:rsidRPr="00711662">
        <w:rPr>
          <w:sz w:val="24"/>
          <w:szCs w:val="24"/>
          <w:lang w:val="fr-BE"/>
        </w:rPr>
        <w:t xml:space="preserve">amendements proposés par le FEPH </w:t>
      </w:r>
      <w:r w:rsidR="00D61355" w:rsidRPr="00711662">
        <w:rPr>
          <w:sz w:val="24"/>
          <w:szCs w:val="24"/>
          <w:lang w:val="fr-BE"/>
        </w:rPr>
        <w:t>ont été inclus</w:t>
      </w:r>
      <w:r w:rsidR="004A3C08" w:rsidRPr="00711662">
        <w:rPr>
          <w:sz w:val="24"/>
          <w:szCs w:val="24"/>
          <w:lang w:val="fr-BE"/>
        </w:rPr>
        <w:t>,</w:t>
      </w:r>
      <w:r w:rsidR="00D61355" w:rsidRPr="00711662">
        <w:rPr>
          <w:sz w:val="24"/>
          <w:szCs w:val="24"/>
          <w:lang w:val="fr-BE"/>
        </w:rPr>
        <w:t xml:space="preserve"> à </w:t>
      </w:r>
      <w:r w:rsidR="004A3C08" w:rsidRPr="00711662">
        <w:rPr>
          <w:sz w:val="24"/>
          <w:szCs w:val="24"/>
          <w:lang w:val="fr-BE"/>
        </w:rPr>
        <w:t xml:space="preserve">l'exception de notre </w:t>
      </w:r>
      <w:r w:rsidR="00A9796F" w:rsidRPr="00711662">
        <w:rPr>
          <w:sz w:val="24"/>
          <w:szCs w:val="24"/>
          <w:lang w:val="fr-BE"/>
        </w:rPr>
        <w:t xml:space="preserve">demande pour que le statut de stagiaire dans l'UE n'ait pas d'impact sur </w:t>
      </w:r>
      <w:r w:rsidR="007150B7" w:rsidRPr="00711662">
        <w:rPr>
          <w:sz w:val="24"/>
          <w:szCs w:val="24"/>
          <w:lang w:val="fr-BE"/>
        </w:rPr>
        <w:t>les droits à l'allocation d'invalidité pour les personnes handicapées, qui a été considérée comme dépassant le champ d'application juridique de la directive.</w:t>
      </w:r>
    </w:p>
    <w:p w14:paraId="443D475B" w14:textId="718E1347" w:rsidR="00265F0A" w:rsidRPr="00711662" w:rsidRDefault="00265F0A" w:rsidP="00265F0A">
      <w:pPr>
        <w:spacing w:line="360" w:lineRule="auto"/>
        <w:rPr>
          <w:sz w:val="24"/>
          <w:szCs w:val="24"/>
          <w:lang w:val="fr-BE"/>
        </w:rPr>
      </w:pPr>
      <w:r w:rsidRPr="00711662">
        <w:rPr>
          <w:sz w:val="24"/>
          <w:szCs w:val="24"/>
          <w:lang w:val="fr-BE"/>
        </w:rPr>
        <w:t xml:space="preserve">Contact : Haydn </w:t>
      </w:r>
      <w:r w:rsidR="00B05CB5" w:rsidRPr="00711662">
        <w:rPr>
          <w:sz w:val="24"/>
          <w:szCs w:val="24"/>
          <w:lang w:val="fr-BE"/>
        </w:rPr>
        <w:t>et Loredana</w:t>
      </w:r>
      <w:r w:rsidRPr="00711662">
        <w:rPr>
          <w:sz w:val="24"/>
          <w:szCs w:val="24"/>
          <w:lang w:val="fr-BE"/>
        </w:rPr>
        <w:t>.</w:t>
      </w:r>
    </w:p>
    <w:p w14:paraId="7DE752FC" w14:textId="77777777" w:rsidR="00265F0A" w:rsidRPr="00711662" w:rsidRDefault="00265F0A" w:rsidP="00265F0A">
      <w:pPr>
        <w:keepNext/>
        <w:keepLines/>
        <w:spacing w:before="200" w:after="240"/>
        <w:outlineLvl w:val="1"/>
        <w:rPr>
          <w:b/>
          <w:bCs/>
          <w:color w:val="0A77B3"/>
          <w:sz w:val="24"/>
          <w:szCs w:val="26"/>
          <w:lang w:val="fr-BE"/>
        </w:rPr>
      </w:pPr>
      <w:bookmarkStart w:id="61" w:name="_Toc179464875"/>
      <w:bookmarkStart w:id="62" w:name="_Toc180402129"/>
      <w:bookmarkStart w:id="63" w:name="_Toc199268281"/>
      <w:bookmarkEnd w:id="60"/>
      <w:r w:rsidRPr="00711662">
        <w:rPr>
          <w:b/>
          <w:bCs/>
          <w:color w:val="0A77B3"/>
          <w:sz w:val="24"/>
          <w:szCs w:val="26"/>
          <w:lang w:val="fr-BE"/>
        </w:rPr>
        <w:t>Processus du semestre européen</w:t>
      </w:r>
      <w:bookmarkEnd w:id="61"/>
      <w:bookmarkEnd w:id="62"/>
      <w:bookmarkEnd w:id="63"/>
    </w:p>
    <w:p w14:paraId="2E678116" w14:textId="77777777" w:rsidR="00265F0A" w:rsidRPr="00711662" w:rsidRDefault="00265F0A" w:rsidP="00265F0A">
      <w:pPr>
        <w:spacing w:line="360" w:lineRule="auto"/>
        <w:rPr>
          <w:sz w:val="24"/>
          <w:szCs w:val="24"/>
          <w:lang w:val="fr-BE"/>
        </w:rPr>
      </w:pPr>
      <w:r w:rsidRPr="00711662">
        <w:rPr>
          <w:sz w:val="24"/>
          <w:szCs w:val="24"/>
          <w:lang w:val="fr-BE"/>
        </w:rPr>
        <w:t>Le semestre européen est un examen annuel des politiques sociales et économiques des États membres par la Commission européenne.</w:t>
      </w:r>
    </w:p>
    <w:p w14:paraId="53D0066D" w14:textId="5077CA00" w:rsidR="00265F0A" w:rsidRPr="00711662" w:rsidRDefault="1B476461" w:rsidP="38402D5F">
      <w:pPr>
        <w:spacing w:line="360" w:lineRule="auto"/>
        <w:rPr>
          <w:sz w:val="24"/>
          <w:szCs w:val="24"/>
          <w:lang w:val="fr-BE"/>
        </w:rPr>
      </w:pPr>
      <w:r w:rsidRPr="00711662">
        <w:rPr>
          <w:sz w:val="24"/>
          <w:szCs w:val="24"/>
          <w:lang w:val="fr-BE"/>
        </w:rPr>
        <w:t xml:space="preserve">En décembre dernier, comme chaque année, le FEPH a envoyé des informations et des recommandations aux responsables du Semestre européen de la Commission qui travaillent sur un certain nombre d'États membres de l'UE. Les États membres sur lesquels nous nous sommes concentrés sont la Belgique, la Bulgarie, le </w:t>
      </w:r>
      <w:r w:rsidR="0F641448" w:rsidRPr="00711662">
        <w:rPr>
          <w:sz w:val="24"/>
          <w:szCs w:val="24"/>
          <w:lang w:val="fr-BE"/>
        </w:rPr>
        <w:t>Danemark, l'</w:t>
      </w:r>
      <w:r w:rsidRPr="00711662">
        <w:rPr>
          <w:sz w:val="24"/>
          <w:szCs w:val="24"/>
          <w:lang w:val="fr-BE"/>
        </w:rPr>
        <w:t xml:space="preserve">Estonie, la Grèce, l'Irlande, la </w:t>
      </w:r>
      <w:r w:rsidR="09719A6B" w:rsidRPr="00711662">
        <w:rPr>
          <w:sz w:val="24"/>
          <w:szCs w:val="24"/>
          <w:lang w:val="fr-BE"/>
        </w:rPr>
        <w:t xml:space="preserve">Lituanie, le Portugal, la </w:t>
      </w:r>
      <w:r w:rsidRPr="00711662">
        <w:rPr>
          <w:sz w:val="24"/>
          <w:szCs w:val="24"/>
          <w:lang w:val="fr-BE"/>
        </w:rPr>
        <w:t xml:space="preserve">Roumanie </w:t>
      </w:r>
      <w:r w:rsidR="09719A6B" w:rsidRPr="00711662">
        <w:rPr>
          <w:sz w:val="24"/>
          <w:szCs w:val="24"/>
          <w:lang w:val="fr-BE"/>
        </w:rPr>
        <w:t>et la Suède</w:t>
      </w:r>
      <w:r w:rsidRPr="00711662">
        <w:rPr>
          <w:sz w:val="24"/>
          <w:szCs w:val="24"/>
          <w:lang w:val="fr-BE"/>
        </w:rPr>
        <w:t xml:space="preserve">. </w:t>
      </w:r>
    </w:p>
    <w:p w14:paraId="6E9370D7" w14:textId="5E334AFA" w:rsidR="00265F0A" w:rsidRPr="00711662" w:rsidRDefault="1B476461" w:rsidP="38402D5F">
      <w:pPr>
        <w:spacing w:line="360" w:lineRule="auto"/>
        <w:rPr>
          <w:sz w:val="24"/>
          <w:szCs w:val="24"/>
          <w:lang w:val="fr-BE"/>
        </w:rPr>
      </w:pPr>
      <w:r w:rsidRPr="00711662">
        <w:rPr>
          <w:sz w:val="24"/>
          <w:szCs w:val="24"/>
          <w:lang w:val="fr-BE"/>
        </w:rPr>
        <w:t xml:space="preserve">En mai 2024, les rapports par pays et les recommandations par pays de la Commission aux États membres </w:t>
      </w:r>
      <w:r w:rsidR="09719A6B" w:rsidRPr="00711662">
        <w:rPr>
          <w:sz w:val="24"/>
          <w:szCs w:val="24"/>
          <w:lang w:val="fr-BE"/>
        </w:rPr>
        <w:t xml:space="preserve">sont lancés et le FEPH publiera une analyse de </w:t>
      </w:r>
      <w:r w:rsidR="6552E487" w:rsidRPr="00711662">
        <w:rPr>
          <w:sz w:val="24"/>
          <w:szCs w:val="24"/>
          <w:lang w:val="fr-BE"/>
        </w:rPr>
        <w:t>ce qu'ils contiennent, comme nous le faisons chaque année</w:t>
      </w:r>
      <w:r w:rsidRPr="00711662">
        <w:rPr>
          <w:sz w:val="24"/>
          <w:szCs w:val="24"/>
          <w:lang w:val="fr-BE"/>
        </w:rPr>
        <w:t xml:space="preserve">. </w:t>
      </w:r>
    </w:p>
    <w:p w14:paraId="2F31D6C2" w14:textId="2C0F7C31" w:rsidR="00CA1126" w:rsidRPr="00711662" w:rsidRDefault="00265F0A" w:rsidP="00265F0A">
      <w:pPr>
        <w:spacing w:before="200" w:line="360" w:lineRule="auto"/>
        <w:rPr>
          <w:sz w:val="24"/>
          <w:szCs w:val="24"/>
          <w:lang w:val="fr-BE"/>
        </w:rPr>
      </w:pPr>
      <w:r w:rsidRPr="00711662">
        <w:rPr>
          <w:sz w:val="24"/>
          <w:szCs w:val="24"/>
          <w:lang w:val="fr-BE"/>
        </w:rPr>
        <w:t>Contact : Haydn</w:t>
      </w:r>
    </w:p>
    <w:p w14:paraId="1963A084" w14:textId="3B6F6CC8" w:rsidR="007E2963" w:rsidRPr="00711662" w:rsidRDefault="00B05CB5" w:rsidP="007E2963">
      <w:pPr>
        <w:pStyle w:val="Heading2"/>
        <w:spacing w:line="360" w:lineRule="auto"/>
        <w:rPr>
          <w:lang w:val="fr-BE"/>
        </w:rPr>
      </w:pPr>
      <w:bookmarkStart w:id="64" w:name="_Toc199268282"/>
      <w:r w:rsidRPr="00711662">
        <w:rPr>
          <w:lang w:val="fr-BE"/>
        </w:rPr>
        <w:lastRenderedPageBreak/>
        <w:t>Directive sur les marchés publics</w:t>
      </w:r>
      <w:bookmarkEnd w:id="64"/>
    </w:p>
    <w:p w14:paraId="68E9DF3B" w14:textId="662A4533" w:rsidR="00B05CB5" w:rsidRPr="00711662" w:rsidRDefault="00427689" w:rsidP="007E2963">
      <w:pPr>
        <w:spacing w:line="360" w:lineRule="auto"/>
        <w:rPr>
          <w:sz w:val="24"/>
          <w:szCs w:val="24"/>
          <w:lang w:val="fr-BE"/>
        </w:rPr>
      </w:pPr>
      <w:r w:rsidRPr="00711662">
        <w:rPr>
          <w:sz w:val="24"/>
          <w:szCs w:val="24"/>
          <w:lang w:val="fr-BE"/>
        </w:rPr>
        <w:t xml:space="preserve">La Commission européenne envisage de réviser la directive de l'UE établissant les règles relatives aux marchés publics. </w:t>
      </w:r>
      <w:r w:rsidR="005618C8" w:rsidRPr="00711662">
        <w:rPr>
          <w:sz w:val="24"/>
          <w:szCs w:val="24"/>
          <w:lang w:val="fr-BE"/>
        </w:rPr>
        <w:t>Si elle donne suite à ce projet, la directive sera révisée en 2026.</w:t>
      </w:r>
    </w:p>
    <w:p w14:paraId="1B02D453" w14:textId="2965FE2C" w:rsidR="00427689" w:rsidRPr="00711662" w:rsidRDefault="00CF08EA" w:rsidP="00C404A1">
      <w:pPr>
        <w:spacing w:line="360" w:lineRule="auto"/>
        <w:rPr>
          <w:sz w:val="24"/>
          <w:szCs w:val="24"/>
          <w:lang w:val="fr-BE"/>
        </w:rPr>
      </w:pPr>
      <w:r w:rsidRPr="00711662">
        <w:rPr>
          <w:sz w:val="24"/>
          <w:szCs w:val="24"/>
          <w:lang w:val="fr-BE"/>
        </w:rPr>
        <w:t>Une consultation en ligne a eu lieu, à laquelle le FE</w:t>
      </w:r>
      <w:r w:rsidR="00F22193">
        <w:rPr>
          <w:sz w:val="24"/>
          <w:szCs w:val="24"/>
          <w:lang w:val="fr-BE"/>
        </w:rPr>
        <w:t>PH</w:t>
      </w:r>
      <w:r w:rsidRPr="00711662">
        <w:rPr>
          <w:sz w:val="24"/>
          <w:szCs w:val="24"/>
          <w:lang w:val="fr-BE"/>
        </w:rPr>
        <w:t xml:space="preserve"> a participé. Les principaux points que nous avons soulevés </w:t>
      </w:r>
      <w:r w:rsidR="00720A11" w:rsidRPr="00711662">
        <w:rPr>
          <w:sz w:val="24"/>
          <w:szCs w:val="24"/>
          <w:lang w:val="fr-BE"/>
        </w:rPr>
        <w:t>et qui devraient être abordés dans le cadre de la révision de la directive sont les suivants :</w:t>
      </w:r>
    </w:p>
    <w:p w14:paraId="0DCCADAD" w14:textId="28D432B2" w:rsidR="00720A11" w:rsidRPr="00711662" w:rsidRDefault="00F167DA" w:rsidP="00C404A1">
      <w:pPr>
        <w:numPr>
          <w:ilvl w:val="0"/>
          <w:numId w:val="31"/>
        </w:numPr>
        <w:spacing w:line="360" w:lineRule="auto"/>
        <w:rPr>
          <w:sz w:val="24"/>
          <w:szCs w:val="24"/>
          <w:lang w:val="fr-BE"/>
        </w:rPr>
      </w:pPr>
      <w:r w:rsidRPr="00711662">
        <w:rPr>
          <w:sz w:val="24"/>
          <w:szCs w:val="24"/>
          <w:lang w:val="fr-BE"/>
        </w:rPr>
        <w:t>La procédure de passation des marchés publics n'est pas adaptée à la fourniture de services favorisant l'autonomie et le respect des choix personnels.</w:t>
      </w:r>
    </w:p>
    <w:p w14:paraId="47A3B066" w14:textId="041FCDD7" w:rsidR="00F167DA" w:rsidRPr="00711662" w:rsidRDefault="00E003B6" w:rsidP="00C404A1">
      <w:pPr>
        <w:numPr>
          <w:ilvl w:val="0"/>
          <w:numId w:val="31"/>
        </w:numPr>
        <w:spacing w:line="360" w:lineRule="auto"/>
        <w:rPr>
          <w:sz w:val="24"/>
          <w:szCs w:val="24"/>
          <w:lang w:val="fr-BE"/>
        </w:rPr>
      </w:pPr>
      <w:r w:rsidRPr="00711662">
        <w:rPr>
          <w:sz w:val="24"/>
          <w:szCs w:val="24"/>
          <w:lang w:val="fr-BE"/>
        </w:rPr>
        <w:t xml:space="preserve">Révision nécessaire des contrats réservés aux ateliers protégés de </w:t>
      </w:r>
      <w:r w:rsidR="00E40C9C" w:rsidRPr="00711662">
        <w:rPr>
          <w:sz w:val="24"/>
          <w:szCs w:val="24"/>
          <w:lang w:val="fr-BE"/>
        </w:rPr>
        <w:t xml:space="preserve">faible qualité, sans respect du salaire minimum, des contrats de travail </w:t>
      </w:r>
      <w:r w:rsidR="00A20585" w:rsidRPr="00711662">
        <w:rPr>
          <w:sz w:val="24"/>
          <w:szCs w:val="24"/>
          <w:lang w:val="fr-BE"/>
        </w:rPr>
        <w:t>et de la progression de carrière vers le marché du travail ouvert.</w:t>
      </w:r>
    </w:p>
    <w:p w14:paraId="4DA7D0D2" w14:textId="19DD0D4E" w:rsidR="00A20585" w:rsidRPr="00711662" w:rsidRDefault="00A20585" w:rsidP="00C404A1">
      <w:pPr>
        <w:numPr>
          <w:ilvl w:val="0"/>
          <w:numId w:val="31"/>
        </w:numPr>
        <w:spacing w:line="360" w:lineRule="auto"/>
        <w:rPr>
          <w:sz w:val="24"/>
          <w:szCs w:val="24"/>
          <w:lang w:val="fr-BE"/>
        </w:rPr>
      </w:pPr>
      <w:r w:rsidRPr="00711662">
        <w:rPr>
          <w:sz w:val="24"/>
          <w:szCs w:val="24"/>
          <w:lang w:val="fr-BE"/>
        </w:rPr>
        <w:t xml:space="preserve">Possibilité d'obtenir des </w:t>
      </w:r>
      <w:r w:rsidR="00DA6570" w:rsidRPr="00711662">
        <w:rPr>
          <w:sz w:val="24"/>
          <w:szCs w:val="24"/>
          <w:lang w:val="fr-BE"/>
        </w:rPr>
        <w:t xml:space="preserve">points supplémentaires dans la </w:t>
      </w:r>
      <w:r w:rsidR="007A3F54" w:rsidRPr="00711662">
        <w:rPr>
          <w:sz w:val="24"/>
          <w:szCs w:val="24"/>
          <w:lang w:val="fr-BE"/>
        </w:rPr>
        <w:t xml:space="preserve">procédure de passation des marchés, au-delà des contrats réservés, pour les entreprises du marché du travail ouvert </w:t>
      </w:r>
      <w:r w:rsidR="00BB3CF4" w:rsidRPr="00711662">
        <w:rPr>
          <w:sz w:val="24"/>
          <w:szCs w:val="24"/>
          <w:lang w:val="fr-BE"/>
        </w:rPr>
        <w:t>qui font preuve d'</w:t>
      </w:r>
      <w:r w:rsidR="00CE653B" w:rsidRPr="00711662">
        <w:rPr>
          <w:sz w:val="24"/>
          <w:szCs w:val="24"/>
          <w:lang w:val="fr-BE"/>
        </w:rPr>
        <w:t>inclusion de travailleurs handicapés</w:t>
      </w:r>
      <w:r w:rsidR="00BB3CF4" w:rsidRPr="00711662">
        <w:rPr>
          <w:sz w:val="24"/>
          <w:szCs w:val="24"/>
          <w:lang w:val="fr-BE"/>
        </w:rPr>
        <w:t>.</w:t>
      </w:r>
    </w:p>
    <w:p w14:paraId="460D474B" w14:textId="62900233" w:rsidR="00CE653B" w:rsidRPr="00711662" w:rsidRDefault="00CE653B" w:rsidP="00C404A1">
      <w:pPr>
        <w:numPr>
          <w:ilvl w:val="0"/>
          <w:numId w:val="31"/>
        </w:numPr>
        <w:spacing w:line="360" w:lineRule="auto"/>
        <w:rPr>
          <w:sz w:val="24"/>
          <w:szCs w:val="24"/>
          <w:lang w:val="fr-BE"/>
        </w:rPr>
      </w:pPr>
      <w:r w:rsidRPr="00711662">
        <w:rPr>
          <w:sz w:val="24"/>
          <w:szCs w:val="24"/>
          <w:lang w:val="fr-BE"/>
        </w:rPr>
        <w:t xml:space="preserve">Amélioration de la </w:t>
      </w:r>
      <w:r w:rsidR="00B033D4" w:rsidRPr="00711662">
        <w:rPr>
          <w:sz w:val="24"/>
          <w:szCs w:val="24"/>
          <w:lang w:val="fr-BE"/>
        </w:rPr>
        <w:t xml:space="preserve">mise en œuvre de la nécessité d'"acheter accessible" par le biais des marchés publics, et mise en place de </w:t>
      </w:r>
      <w:r w:rsidR="00C404A1" w:rsidRPr="00711662">
        <w:rPr>
          <w:sz w:val="24"/>
          <w:szCs w:val="24"/>
          <w:lang w:val="fr-BE"/>
        </w:rPr>
        <w:t>mécanismes de plainte et de recours efficaces en cas de non-respect de cette règle.</w:t>
      </w:r>
    </w:p>
    <w:p w14:paraId="64CB35ED" w14:textId="77777777" w:rsidR="00265F0A" w:rsidRPr="00711662" w:rsidRDefault="00265F0A" w:rsidP="00265F0A">
      <w:pPr>
        <w:keepNext/>
        <w:keepLines/>
        <w:spacing w:before="480" w:after="0"/>
        <w:outlineLvl w:val="0"/>
        <w:rPr>
          <w:b/>
          <w:bCs/>
          <w:color w:val="0A77B3"/>
          <w:sz w:val="28"/>
          <w:szCs w:val="28"/>
          <w:lang w:val="fr-BE"/>
        </w:rPr>
      </w:pPr>
      <w:bookmarkStart w:id="65" w:name="_Toc179464876"/>
      <w:bookmarkStart w:id="66" w:name="_Toc180402130"/>
      <w:bookmarkStart w:id="67" w:name="_Toc199268283"/>
      <w:r w:rsidRPr="00711662">
        <w:rPr>
          <w:b/>
          <w:bCs/>
          <w:color w:val="0A77B3"/>
          <w:sz w:val="28"/>
          <w:szCs w:val="28"/>
          <w:lang w:val="fr-BE"/>
        </w:rPr>
        <w:t>Accessibilité</w:t>
      </w:r>
      <w:bookmarkEnd w:id="65"/>
      <w:bookmarkEnd w:id="66"/>
      <w:bookmarkEnd w:id="67"/>
    </w:p>
    <w:p w14:paraId="62E0AF45" w14:textId="77777777" w:rsidR="00265F0A" w:rsidRPr="00711662" w:rsidRDefault="00265F0A" w:rsidP="00265F0A">
      <w:pPr>
        <w:keepNext/>
        <w:keepLines/>
        <w:spacing w:before="200" w:after="0"/>
        <w:outlineLvl w:val="1"/>
        <w:rPr>
          <w:b/>
          <w:bCs/>
          <w:color w:val="0A77B3"/>
          <w:sz w:val="24"/>
          <w:szCs w:val="26"/>
          <w:lang w:val="fr-BE"/>
        </w:rPr>
      </w:pPr>
      <w:bookmarkStart w:id="68" w:name="_Toc180402131"/>
      <w:bookmarkStart w:id="69" w:name="_Toc199268284"/>
      <w:bookmarkStart w:id="70" w:name="_Toc179464877"/>
      <w:r w:rsidRPr="00711662">
        <w:rPr>
          <w:b/>
          <w:bCs/>
          <w:color w:val="0A77B3"/>
          <w:sz w:val="24"/>
          <w:szCs w:val="24"/>
          <w:lang w:val="fr-BE"/>
        </w:rPr>
        <w:t>Acte européen sur l'accessibilité</w:t>
      </w:r>
      <w:bookmarkEnd w:id="68"/>
      <w:bookmarkEnd w:id="69"/>
      <w:r w:rsidRPr="00711662">
        <w:rPr>
          <w:lang w:val="fr-BE"/>
        </w:rPr>
        <w:br/>
      </w:r>
      <w:bookmarkEnd w:id="70"/>
    </w:p>
    <w:p w14:paraId="7A8EB379" w14:textId="19D1AA0B" w:rsidR="00265F0A" w:rsidRPr="00711662" w:rsidRDefault="1B476461" w:rsidP="38402D5F">
      <w:pPr>
        <w:spacing w:line="360" w:lineRule="auto"/>
        <w:rPr>
          <w:sz w:val="24"/>
          <w:szCs w:val="24"/>
          <w:lang w:val="fr-BE"/>
        </w:rPr>
      </w:pPr>
      <w:r w:rsidRPr="00711662">
        <w:rPr>
          <w:sz w:val="24"/>
          <w:szCs w:val="24"/>
          <w:lang w:val="fr-BE"/>
        </w:rPr>
        <w:t xml:space="preserve">Selon la Commission européenne, des procédures d'infraction sont en cours contre la </w:t>
      </w:r>
      <w:r w:rsidR="3CC903D7" w:rsidRPr="00711662">
        <w:rPr>
          <w:sz w:val="24"/>
          <w:szCs w:val="24"/>
          <w:lang w:val="fr-BE"/>
        </w:rPr>
        <w:t xml:space="preserve">plupart des </w:t>
      </w:r>
      <w:r w:rsidRPr="00711662">
        <w:rPr>
          <w:sz w:val="24"/>
          <w:szCs w:val="24"/>
          <w:lang w:val="fr-BE"/>
        </w:rPr>
        <w:t xml:space="preserve">États membres. Outre ceux qui ont dépassé le délai de transposition de 2022 ou qui n'ont pas communiqué toutes les mesures, la Commission a lancé, en juillet 2024, des procédures supplémentaires contre l'Allemagne, la Croatie, les Pays-Bas, la Suède et la Slovénie pour défaut de transposition. En outre, la </w:t>
      </w:r>
      <w:hyperlink r:id="rId59" w:history="1">
        <w:r w:rsidRPr="00711662">
          <w:rPr>
            <w:rStyle w:val="Hyperlink"/>
            <w:sz w:val="24"/>
            <w:szCs w:val="24"/>
            <w:lang w:val="fr-BE"/>
          </w:rPr>
          <w:t xml:space="preserve">Commission a assigné la Bulgarie devant la Cour de justice de l'Union européenne </w:t>
        </w:r>
      </w:hyperlink>
      <w:r w:rsidRPr="00711662">
        <w:rPr>
          <w:sz w:val="24"/>
          <w:szCs w:val="24"/>
          <w:lang w:val="fr-BE"/>
        </w:rPr>
        <w:t xml:space="preserve">pour défaut de transposition de la directive. </w:t>
      </w:r>
      <w:r w:rsidR="67815AF3" w:rsidRPr="00711662">
        <w:rPr>
          <w:sz w:val="24"/>
          <w:szCs w:val="24"/>
          <w:lang w:val="fr-BE"/>
        </w:rPr>
        <w:t>En mars 2025</w:t>
      </w:r>
      <w:hyperlink r:id="rId60" w:history="1">
        <w:r w:rsidR="67815AF3" w:rsidRPr="00711662">
          <w:rPr>
            <w:rStyle w:val="Hyperlink"/>
            <w:sz w:val="24"/>
            <w:szCs w:val="24"/>
            <w:lang w:val="fr-BE"/>
          </w:rPr>
          <w:t xml:space="preserve">, la </w:t>
        </w:r>
        <w:r w:rsidR="67815AF3" w:rsidRPr="00711662">
          <w:rPr>
            <w:rStyle w:val="Hyperlink"/>
            <w:sz w:val="24"/>
            <w:szCs w:val="24"/>
            <w:lang w:val="fr-BE"/>
          </w:rPr>
          <w:lastRenderedPageBreak/>
          <w:t xml:space="preserve">Commission a lancé des procédures supplémentaires contre la Grèce </w:t>
        </w:r>
      </w:hyperlink>
      <w:r w:rsidR="67815AF3" w:rsidRPr="00711662">
        <w:rPr>
          <w:sz w:val="24"/>
          <w:szCs w:val="24"/>
          <w:lang w:val="fr-BE"/>
        </w:rPr>
        <w:t xml:space="preserve">pour défaut de transposition. </w:t>
      </w:r>
    </w:p>
    <w:p w14:paraId="4F88227D" w14:textId="77777777" w:rsidR="00265F0A" w:rsidRPr="00711662" w:rsidRDefault="00265F0A" w:rsidP="00265F0A">
      <w:pPr>
        <w:spacing w:line="360" w:lineRule="auto"/>
        <w:rPr>
          <w:sz w:val="24"/>
          <w:szCs w:val="24"/>
          <w:lang w:val="fr-BE"/>
        </w:rPr>
      </w:pPr>
      <w:r w:rsidRPr="00711662">
        <w:rPr>
          <w:sz w:val="24"/>
          <w:szCs w:val="24"/>
          <w:lang w:val="fr-BE"/>
        </w:rPr>
        <w:t xml:space="preserve">Parallèlement, la Commission effectue un contrôle d'exhaustivité et de conformité pour vérifier que les mesures nationales notifiées satisfont aux exigences de la loi. </w:t>
      </w:r>
    </w:p>
    <w:p w14:paraId="34A0073A" w14:textId="77777777" w:rsidR="00265F0A" w:rsidRPr="00711662" w:rsidRDefault="00265F0A" w:rsidP="00265F0A">
      <w:pPr>
        <w:spacing w:line="360" w:lineRule="auto"/>
        <w:rPr>
          <w:sz w:val="24"/>
          <w:szCs w:val="24"/>
          <w:lang w:val="fr-BE"/>
        </w:rPr>
      </w:pPr>
      <w:r w:rsidRPr="00711662">
        <w:rPr>
          <w:sz w:val="24"/>
          <w:szCs w:val="24"/>
          <w:lang w:val="fr-BE"/>
        </w:rPr>
        <w:t xml:space="preserve">Le secrétariat du FEPH a soutenu les membres du FEPH par le biais de réunions de soutien par les pairs, et d'après ce que nous savons, la plupart des pays ont adopté une approche minimaliste en ce qui concerne la loi sur l'accessibilité au niveau national. </w:t>
      </w:r>
    </w:p>
    <w:p w14:paraId="672412A5" w14:textId="1B459E21" w:rsidR="5A3FD78A" w:rsidRPr="00711662" w:rsidRDefault="5A3FD78A" w:rsidP="69BD9D7B">
      <w:pPr>
        <w:spacing w:line="360" w:lineRule="auto"/>
        <w:rPr>
          <w:sz w:val="24"/>
          <w:szCs w:val="24"/>
          <w:lang w:val="fr-BE"/>
        </w:rPr>
      </w:pPr>
      <w:r w:rsidRPr="00711662">
        <w:rPr>
          <w:sz w:val="24"/>
          <w:szCs w:val="24"/>
          <w:lang w:val="fr-BE"/>
        </w:rPr>
        <w:t xml:space="preserve">L'Acte européen sur l'accessibilité entre en vigueur le 28 juin. </w:t>
      </w:r>
      <w:r w:rsidR="00DC022B" w:rsidRPr="00711662">
        <w:rPr>
          <w:sz w:val="24"/>
          <w:szCs w:val="24"/>
          <w:lang w:val="fr-BE"/>
        </w:rPr>
        <w:t xml:space="preserve">La Commission a pour objectif de mettre en place le groupe de travail prévu par la loi sur l'accessibilité </w:t>
      </w:r>
      <w:r w:rsidR="00CE3D94" w:rsidRPr="00711662">
        <w:rPr>
          <w:sz w:val="24"/>
          <w:szCs w:val="24"/>
          <w:lang w:val="fr-BE"/>
        </w:rPr>
        <w:t>en 2025</w:t>
      </w:r>
      <w:r w:rsidRPr="00711662">
        <w:rPr>
          <w:sz w:val="24"/>
          <w:szCs w:val="24"/>
          <w:lang w:val="fr-BE"/>
        </w:rPr>
        <w:t xml:space="preserve">. </w:t>
      </w:r>
    </w:p>
    <w:p w14:paraId="7A421289" w14:textId="77777777" w:rsidR="00265F0A" w:rsidRPr="00711662" w:rsidRDefault="00265F0A" w:rsidP="00265F0A">
      <w:pPr>
        <w:spacing w:line="360" w:lineRule="auto"/>
        <w:rPr>
          <w:sz w:val="24"/>
          <w:szCs w:val="24"/>
          <w:lang w:val="fr-BE"/>
        </w:rPr>
      </w:pPr>
      <w:r w:rsidRPr="00711662">
        <w:rPr>
          <w:sz w:val="24"/>
          <w:szCs w:val="24"/>
          <w:lang w:val="fr-BE"/>
        </w:rPr>
        <w:t>Contact : Daniel.</w:t>
      </w:r>
    </w:p>
    <w:p w14:paraId="53CE0323" w14:textId="77777777" w:rsidR="00265F0A" w:rsidRPr="00711662" w:rsidRDefault="00265F0A" w:rsidP="00265F0A">
      <w:pPr>
        <w:spacing w:line="360" w:lineRule="auto"/>
        <w:rPr>
          <w:sz w:val="24"/>
          <w:szCs w:val="24"/>
          <w:lang w:val="fr-BE"/>
        </w:rPr>
      </w:pPr>
      <w:r w:rsidRPr="00711662">
        <w:rPr>
          <w:sz w:val="24"/>
          <w:szCs w:val="24"/>
          <w:lang w:val="fr-BE"/>
        </w:rPr>
        <w:t xml:space="preserve">Parallèlement, les organismes européens de normalisation ont commencé à travailler sur le </w:t>
      </w:r>
      <w:hyperlink r:id="rId61" w:history="1">
        <w:r w:rsidRPr="00711662">
          <w:rPr>
            <w:color w:val="0000FF"/>
            <w:sz w:val="24"/>
            <w:szCs w:val="24"/>
            <w:u w:val="single"/>
            <w:lang w:val="fr-BE"/>
          </w:rPr>
          <w:t xml:space="preserve">mandat européen 587 </w:t>
        </w:r>
      </w:hyperlink>
      <w:r w:rsidRPr="00711662">
        <w:rPr>
          <w:sz w:val="24"/>
          <w:szCs w:val="24"/>
          <w:lang w:val="fr-BE"/>
        </w:rPr>
        <w:t>pour développer et mettre à jour six normes afin de soutenir la mise en œuvre de la loi. A cet égard, le FEPH et l'ANEC (organisation de consommateurs dans la normalisation) ont créé une équipe de projet pour coordonner nos actions concernant les normes de la loi sur l'accessibilité. Veuillez contacter le secrétariat du FEPH si vous souhaitez vous impliquer :</w:t>
      </w:r>
    </w:p>
    <w:p w14:paraId="215B28D0" w14:textId="1BCAB35A" w:rsidR="00265F0A" w:rsidRPr="00711662" w:rsidRDefault="00265F0A" w:rsidP="00265F0A">
      <w:pPr>
        <w:numPr>
          <w:ilvl w:val="0"/>
          <w:numId w:val="22"/>
        </w:numPr>
        <w:spacing w:line="360" w:lineRule="auto"/>
        <w:rPr>
          <w:sz w:val="24"/>
          <w:szCs w:val="24"/>
          <w:lang w:val="fr-BE"/>
        </w:rPr>
      </w:pPr>
      <w:r w:rsidRPr="00711662">
        <w:rPr>
          <w:sz w:val="24"/>
          <w:szCs w:val="24"/>
          <w:lang w:val="fr-BE"/>
        </w:rPr>
        <w:t>Révision de la norme EN 301 549 sur l'accessibilité des TIC : Alejandro</w:t>
      </w:r>
      <w:r w:rsidR="00CE3D94" w:rsidRPr="00711662">
        <w:rPr>
          <w:sz w:val="24"/>
          <w:szCs w:val="24"/>
          <w:lang w:val="fr-BE"/>
        </w:rPr>
        <w:t xml:space="preserve">. </w:t>
      </w:r>
    </w:p>
    <w:p w14:paraId="413977E6" w14:textId="5D9E4505" w:rsidR="00265F0A" w:rsidRPr="00711662" w:rsidRDefault="00265F0A" w:rsidP="00265F0A">
      <w:pPr>
        <w:numPr>
          <w:ilvl w:val="0"/>
          <w:numId w:val="22"/>
        </w:numPr>
        <w:spacing w:line="360" w:lineRule="auto"/>
        <w:rPr>
          <w:sz w:val="24"/>
          <w:szCs w:val="24"/>
          <w:lang w:val="fr-BE"/>
        </w:rPr>
      </w:pPr>
      <w:r w:rsidRPr="00711662">
        <w:rPr>
          <w:sz w:val="24"/>
          <w:szCs w:val="24"/>
          <w:lang w:val="fr-BE"/>
        </w:rPr>
        <w:t>Révision de la norme EN 17210 sur l'accessibilité de l'environnement bâti : Marie</w:t>
      </w:r>
      <w:r w:rsidR="00CE3D94" w:rsidRPr="00711662">
        <w:rPr>
          <w:sz w:val="24"/>
          <w:szCs w:val="24"/>
          <w:lang w:val="fr-BE"/>
        </w:rPr>
        <w:t xml:space="preserve">. </w:t>
      </w:r>
    </w:p>
    <w:p w14:paraId="54B97F35" w14:textId="77777777" w:rsidR="00265F0A" w:rsidRPr="00711662" w:rsidRDefault="00265F0A" w:rsidP="00265F0A">
      <w:pPr>
        <w:numPr>
          <w:ilvl w:val="0"/>
          <w:numId w:val="22"/>
        </w:numPr>
        <w:spacing w:line="360" w:lineRule="auto"/>
        <w:rPr>
          <w:sz w:val="24"/>
          <w:szCs w:val="24"/>
          <w:lang w:val="fr-BE"/>
        </w:rPr>
      </w:pPr>
      <w:r w:rsidRPr="00711662">
        <w:rPr>
          <w:sz w:val="24"/>
          <w:szCs w:val="24"/>
          <w:lang w:val="fr-BE"/>
        </w:rPr>
        <w:t>Révision de la norme EN 17161 sur l'accessibilité selon une approche de conception pour tous : Roberta.</w:t>
      </w:r>
    </w:p>
    <w:p w14:paraId="6B51E71F" w14:textId="77777777" w:rsidR="00265F0A" w:rsidRPr="00711662" w:rsidRDefault="00265F0A" w:rsidP="00265F0A">
      <w:pPr>
        <w:numPr>
          <w:ilvl w:val="0"/>
          <w:numId w:val="22"/>
        </w:numPr>
        <w:spacing w:line="360" w:lineRule="auto"/>
        <w:rPr>
          <w:sz w:val="24"/>
          <w:szCs w:val="24"/>
          <w:lang w:val="fr-BE"/>
        </w:rPr>
      </w:pPr>
      <w:r w:rsidRPr="00711662">
        <w:rPr>
          <w:sz w:val="24"/>
          <w:szCs w:val="24"/>
          <w:lang w:val="fr-BE"/>
        </w:rPr>
        <w:t>Nouvelle norme sur les services d'assistance (services à la clientèle) : Roberta.</w:t>
      </w:r>
    </w:p>
    <w:p w14:paraId="401C8C6B" w14:textId="77777777" w:rsidR="00265F0A" w:rsidRPr="00711662" w:rsidRDefault="00265F0A" w:rsidP="00265F0A">
      <w:pPr>
        <w:numPr>
          <w:ilvl w:val="0"/>
          <w:numId w:val="22"/>
        </w:numPr>
        <w:spacing w:line="360" w:lineRule="auto"/>
        <w:rPr>
          <w:sz w:val="24"/>
          <w:szCs w:val="24"/>
          <w:lang w:val="fr-BE"/>
        </w:rPr>
      </w:pPr>
      <w:r w:rsidRPr="00711662">
        <w:rPr>
          <w:sz w:val="24"/>
          <w:szCs w:val="24"/>
          <w:lang w:val="fr-BE"/>
        </w:rPr>
        <w:t>Nouvelle norme sur l'information non numérique (par exemple l'information imprimée) : Roberta.</w:t>
      </w:r>
    </w:p>
    <w:p w14:paraId="2243BDF7" w14:textId="2C1C20B5" w:rsidR="00265F0A" w:rsidRPr="00711662" w:rsidRDefault="00265F0A" w:rsidP="00265F0A">
      <w:pPr>
        <w:numPr>
          <w:ilvl w:val="0"/>
          <w:numId w:val="22"/>
        </w:numPr>
        <w:spacing w:line="360" w:lineRule="auto"/>
        <w:rPr>
          <w:sz w:val="24"/>
          <w:szCs w:val="24"/>
          <w:lang w:val="fr-BE"/>
        </w:rPr>
      </w:pPr>
      <w:r w:rsidRPr="00711662">
        <w:rPr>
          <w:sz w:val="24"/>
          <w:szCs w:val="24"/>
          <w:lang w:val="fr-BE"/>
        </w:rPr>
        <w:t xml:space="preserve">Nouvelle norme sur la communication accessible </w:t>
      </w:r>
      <w:r w:rsidR="00F45FF2" w:rsidRPr="00711662">
        <w:rPr>
          <w:sz w:val="24"/>
          <w:szCs w:val="24"/>
          <w:lang w:val="fr-BE"/>
        </w:rPr>
        <w:t xml:space="preserve">du </w:t>
      </w:r>
      <w:r w:rsidRPr="00711662">
        <w:rPr>
          <w:sz w:val="24"/>
          <w:szCs w:val="24"/>
          <w:lang w:val="fr-BE"/>
        </w:rPr>
        <w:t xml:space="preserve">numéro d'urgence européen 112 : Daniel. </w:t>
      </w:r>
    </w:p>
    <w:p w14:paraId="1BDB5F16" w14:textId="74184B4F" w:rsidR="00265F0A" w:rsidRPr="00711662" w:rsidRDefault="00265F0A" w:rsidP="00265F0A">
      <w:pPr>
        <w:keepNext/>
        <w:keepLines/>
        <w:spacing w:before="200" w:after="240"/>
        <w:outlineLvl w:val="1"/>
        <w:rPr>
          <w:b/>
          <w:bCs/>
          <w:color w:val="0A77B3"/>
          <w:sz w:val="24"/>
          <w:szCs w:val="24"/>
          <w:lang w:val="fr-BE"/>
        </w:rPr>
      </w:pPr>
      <w:bookmarkStart w:id="71" w:name="_Toc179464878"/>
      <w:bookmarkStart w:id="72" w:name="_Toc180402132"/>
      <w:bookmarkStart w:id="73" w:name="_Toc199268285"/>
      <w:r w:rsidRPr="00711662">
        <w:rPr>
          <w:b/>
          <w:bCs/>
          <w:color w:val="0A77B3"/>
          <w:sz w:val="24"/>
          <w:szCs w:val="24"/>
          <w:lang w:val="fr-BE"/>
        </w:rPr>
        <w:lastRenderedPageBreak/>
        <w:t xml:space="preserve">Règlement de </w:t>
      </w:r>
      <w:r w:rsidR="4A9D9E81" w:rsidRPr="00711662">
        <w:rPr>
          <w:b/>
          <w:bCs/>
          <w:color w:val="0A77B3"/>
          <w:sz w:val="24"/>
          <w:szCs w:val="24"/>
          <w:lang w:val="fr-BE"/>
        </w:rPr>
        <w:t>normalisation</w:t>
      </w:r>
      <w:bookmarkEnd w:id="71"/>
      <w:bookmarkEnd w:id="72"/>
      <w:bookmarkEnd w:id="73"/>
    </w:p>
    <w:p w14:paraId="49DB84DE" w14:textId="6CA0B6A8" w:rsidR="00265F0A" w:rsidRPr="00711662" w:rsidRDefault="00265F0A" w:rsidP="00265F0A">
      <w:pPr>
        <w:spacing w:line="360" w:lineRule="auto"/>
        <w:rPr>
          <w:sz w:val="24"/>
          <w:szCs w:val="24"/>
          <w:lang w:val="fr-BE"/>
        </w:rPr>
      </w:pPr>
      <w:r w:rsidRPr="00711662">
        <w:rPr>
          <w:sz w:val="24"/>
          <w:szCs w:val="24"/>
          <w:lang w:val="fr-BE"/>
        </w:rPr>
        <w:t xml:space="preserve">En 2023, la Commission européenne a lancé un appel à contribution pour évaluer la mise en œuvre du </w:t>
      </w:r>
      <w:hyperlink r:id="rId62">
        <w:r w:rsidRPr="00711662">
          <w:rPr>
            <w:color w:val="0000FF"/>
            <w:sz w:val="24"/>
            <w:szCs w:val="24"/>
            <w:u w:val="single"/>
            <w:lang w:val="fr-BE"/>
          </w:rPr>
          <w:t xml:space="preserve">règlement 1025/2012 </w:t>
        </w:r>
      </w:hyperlink>
      <w:r w:rsidRPr="00711662">
        <w:rPr>
          <w:sz w:val="24"/>
          <w:szCs w:val="24"/>
          <w:lang w:val="fr-BE"/>
        </w:rPr>
        <w:t xml:space="preserve">qui fixe le cadre de l'élaboration des normes dans l'Union européenne, y compris la participation des organisations de la société civile. Le FEPH a contribué à </w:t>
      </w:r>
      <w:hyperlink r:id="rId63">
        <w:r w:rsidRPr="00711662">
          <w:rPr>
            <w:color w:val="0000FF"/>
            <w:sz w:val="24"/>
            <w:szCs w:val="24"/>
            <w:u w:val="single"/>
            <w:lang w:val="fr-BE"/>
          </w:rPr>
          <w:t>l'appel à contribution</w:t>
        </w:r>
      </w:hyperlink>
      <w:r w:rsidRPr="00711662">
        <w:rPr>
          <w:sz w:val="24"/>
          <w:szCs w:val="24"/>
          <w:lang w:val="fr-BE"/>
        </w:rPr>
        <w:t xml:space="preserve">, attirant l'attention sur les lacunes existantes et appelant à la révision de ce règlement. Une consultation publique a eu lieu avant l'été et le FEPH y a répondu. Les résultats de la consultation publique sont attendus prochainement, et le rapport d'évaluation avant la fin de l'année </w:t>
      </w:r>
      <w:r w:rsidR="3B1DCB39" w:rsidRPr="00711662">
        <w:rPr>
          <w:sz w:val="24"/>
          <w:szCs w:val="24"/>
          <w:lang w:val="fr-BE"/>
        </w:rPr>
        <w:t xml:space="preserve">2025. La Commission européenne prévoit de réviser le règlement en 2026. </w:t>
      </w:r>
    </w:p>
    <w:p w14:paraId="05850322" w14:textId="77777777" w:rsidR="00265F0A" w:rsidRPr="00711662" w:rsidRDefault="00265F0A" w:rsidP="00265F0A">
      <w:pPr>
        <w:spacing w:after="0" w:line="360" w:lineRule="auto"/>
        <w:rPr>
          <w:sz w:val="24"/>
          <w:szCs w:val="24"/>
          <w:lang w:val="fr-BE"/>
        </w:rPr>
      </w:pPr>
      <w:r w:rsidRPr="00711662">
        <w:rPr>
          <w:sz w:val="24"/>
          <w:szCs w:val="24"/>
          <w:lang w:val="fr-BE"/>
        </w:rPr>
        <w:t>Contact : Alejandro.</w:t>
      </w:r>
    </w:p>
    <w:p w14:paraId="5AD5D198" w14:textId="77777777" w:rsidR="00265F0A" w:rsidRPr="00711662" w:rsidRDefault="00265F0A" w:rsidP="00265F0A">
      <w:pPr>
        <w:keepNext/>
        <w:keepLines/>
        <w:spacing w:before="480" w:after="0"/>
        <w:outlineLvl w:val="0"/>
        <w:rPr>
          <w:b/>
          <w:bCs/>
          <w:color w:val="0A77B3"/>
          <w:sz w:val="28"/>
          <w:szCs w:val="28"/>
          <w:lang w:val="fr-BE"/>
        </w:rPr>
      </w:pPr>
      <w:bookmarkStart w:id="74" w:name="_Toc179464879"/>
      <w:bookmarkStart w:id="75" w:name="_Toc180402133"/>
      <w:bookmarkStart w:id="76" w:name="_Toc199268286"/>
      <w:r w:rsidRPr="00711662">
        <w:rPr>
          <w:b/>
          <w:bCs/>
          <w:color w:val="0A77B3"/>
          <w:sz w:val="28"/>
          <w:szCs w:val="28"/>
          <w:lang w:val="fr-BE"/>
        </w:rPr>
        <w:t>Green Deal</w:t>
      </w:r>
      <w:bookmarkEnd w:id="74"/>
      <w:bookmarkEnd w:id="75"/>
      <w:bookmarkEnd w:id="76"/>
    </w:p>
    <w:p w14:paraId="57D68E6E" w14:textId="77777777" w:rsidR="00265F0A" w:rsidRPr="00711662" w:rsidRDefault="00265F0A" w:rsidP="00265F0A">
      <w:pPr>
        <w:keepNext/>
        <w:keepLines/>
        <w:spacing w:before="200" w:after="0"/>
        <w:outlineLvl w:val="1"/>
        <w:rPr>
          <w:b/>
          <w:bCs/>
          <w:color w:val="0A77B3"/>
          <w:sz w:val="24"/>
          <w:szCs w:val="24"/>
          <w:lang w:val="fr-BE"/>
        </w:rPr>
      </w:pPr>
      <w:bookmarkStart w:id="77" w:name="_Toc179464880"/>
      <w:bookmarkStart w:id="78" w:name="_Toc180402134"/>
      <w:bookmarkStart w:id="79" w:name="_Toc199268287"/>
      <w:r w:rsidRPr="00711662">
        <w:rPr>
          <w:b/>
          <w:bCs/>
          <w:color w:val="0A77B3"/>
          <w:sz w:val="24"/>
          <w:szCs w:val="24"/>
          <w:lang w:val="fr-BE"/>
        </w:rPr>
        <w:t>Directive sur la performance énergétique des bâtiments</w:t>
      </w:r>
      <w:bookmarkEnd w:id="77"/>
      <w:bookmarkEnd w:id="78"/>
      <w:bookmarkEnd w:id="79"/>
      <w:r w:rsidRPr="00711662">
        <w:rPr>
          <w:lang w:val="fr-BE"/>
        </w:rPr>
        <w:br/>
      </w:r>
    </w:p>
    <w:p w14:paraId="5D230679" w14:textId="710FEFF7" w:rsidR="00265F0A" w:rsidRPr="00711662" w:rsidRDefault="32838ECF" w:rsidP="38402D5F">
      <w:pPr>
        <w:spacing w:line="360" w:lineRule="auto"/>
        <w:rPr>
          <w:sz w:val="24"/>
          <w:szCs w:val="24"/>
          <w:lang w:val="fr-BE"/>
        </w:rPr>
      </w:pPr>
      <w:r w:rsidRPr="00711662">
        <w:rPr>
          <w:sz w:val="24"/>
          <w:szCs w:val="24"/>
          <w:lang w:val="fr-BE"/>
        </w:rPr>
        <w:t xml:space="preserve">La transposition est en cours, voir notre </w:t>
      </w:r>
      <w:hyperlink r:id="rId64">
        <w:r w:rsidR="00265F0A" w:rsidRPr="00711662">
          <w:rPr>
            <w:color w:val="0000FF"/>
            <w:sz w:val="24"/>
            <w:szCs w:val="24"/>
            <w:u w:val="single"/>
            <w:lang w:val="fr-BE"/>
          </w:rPr>
          <w:t xml:space="preserve">EDF Toolkit </w:t>
        </w:r>
      </w:hyperlink>
      <w:r w:rsidR="2529EAB5" w:rsidRPr="00711662">
        <w:rPr>
          <w:sz w:val="24"/>
          <w:szCs w:val="24"/>
          <w:lang w:val="fr-BE"/>
        </w:rPr>
        <w:t>.</w:t>
      </w:r>
    </w:p>
    <w:p w14:paraId="1D392A7C" w14:textId="4287F2A2" w:rsidR="46BF52F7" w:rsidRPr="00711662" w:rsidRDefault="46BF52F7" w:rsidP="38402D5F">
      <w:pPr>
        <w:spacing w:line="360" w:lineRule="auto"/>
        <w:rPr>
          <w:sz w:val="24"/>
          <w:szCs w:val="24"/>
          <w:lang w:val="fr-BE"/>
        </w:rPr>
      </w:pPr>
      <w:r w:rsidRPr="00711662">
        <w:rPr>
          <w:sz w:val="24"/>
          <w:szCs w:val="24"/>
          <w:lang w:val="fr-BE"/>
        </w:rPr>
        <w:t>Le FEPH a écrit aux autorités compétentes des 27 pays de l'UE, leur communiquant la boîte à outils et leur demandant de consulter nos membres nationaux au cours de la transposition. 8 ont répondu, 3 établissant des liens avec les membres du FEPH et 1 confirmant que les organisations de personnes handicapées ont été impliquées dans leur planification.</w:t>
      </w:r>
    </w:p>
    <w:p w14:paraId="7C2A86C9" w14:textId="677108A7" w:rsidR="00265F0A" w:rsidRPr="00711662" w:rsidRDefault="00265F0A" w:rsidP="00265F0A">
      <w:pPr>
        <w:spacing w:line="360" w:lineRule="auto"/>
        <w:rPr>
          <w:sz w:val="24"/>
          <w:szCs w:val="24"/>
          <w:lang w:val="fr-BE"/>
        </w:rPr>
      </w:pPr>
      <w:r w:rsidRPr="00711662">
        <w:rPr>
          <w:sz w:val="24"/>
          <w:szCs w:val="24"/>
          <w:lang w:val="fr-BE"/>
        </w:rPr>
        <w:t xml:space="preserve">Contact : Marie </w:t>
      </w:r>
      <w:r w:rsidR="00B05CB5" w:rsidRPr="00711662">
        <w:rPr>
          <w:sz w:val="24"/>
          <w:szCs w:val="24"/>
          <w:lang w:val="fr-BE"/>
        </w:rPr>
        <w:t>et Gordon</w:t>
      </w:r>
      <w:r w:rsidRPr="00711662">
        <w:rPr>
          <w:sz w:val="24"/>
          <w:szCs w:val="24"/>
          <w:lang w:val="fr-BE"/>
        </w:rPr>
        <w:t>.</w:t>
      </w:r>
    </w:p>
    <w:p w14:paraId="0681CB6D" w14:textId="77777777" w:rsidR="00265F0A" w:rsidRPr="00711662" w:rsidRDefault="00265F0A" w:rsidP="00265F0A">
      <w:pPr>
        <w:keepNext/>
        <w:keepLines/>
        <w:spacing w:before="480" w:after="0"/>
        <w:outlineLvl w:val="0"/>
        <w:rPr>
          <w:b/>
          <w:bCs/>
          <w:color w:val="0A77B3"/>
          <w:sz w:val="28"/>
          <w:szCs w:val="28"/>
          <w:lang w:val="fr-BE"/>
        </w:rPr>
      </w:pPr>
      <w:bookmarkStart w:id="80" w:name="_Toc179464881"/>
      <w:bookmarkStart w:id="81" w:name="_Toc180402135"/>
      <w:bookmarkStart w:id="82" w:name="_Toc199268288"/>
      <w:r w:rsidRPr="00711662">
        <w:rPr>
          <w:b/>
          <w:bCs/>
          <w:color w:val="0A77B3"/>
          <w:sz w:val="28"/>
          <w:szCs w:val="28"/>
          <w:lang w:val="fr-BE"/>
        </w:rPr>
        <w:t>Transition numérique</w:t>
      </w:r>
      <w:bookmarkEnd w:id="80"/>
      <w:bookmarkEnd w:id="81"/>
      <w:bookmarkEnd w:id="82"/>
    </w:p>
    <w:p w14:paraId="3C65D88F" w14:textId="77777777" w:rsidR="00265F0A" w:rsidRPr="00711662" w:rsidRDefault="00265F0A" w:rsidP="00265F0A">
      <w:pPr>
        <w:keepNext/>
        <w:keepLines/>
        <w:spacing w:before="200" w:after="240"/>
        <w:outlineLvl w:val="1"/>
        <w:rPr>
          <w:b/>
          <w:bCs/>
          <w:color w:val="0A77B3"/>
          <w:sz w:val="24"/>
          <w:szCs w:val="26"/>
          <w:lang w:val="fr-BE"/>
        </w:rPr>
      </w:pPr>
      <w:bookmarkStart w:id="83" w:name="_Toc179464883"/>
      <w:bookmarkStart w:id="84" w:name="_Toc180402136"/>
      <w:bookmarkStart w:id="85" w:name="_Toc199268289"/>
      <w:r w:rsidRPr="00711662">
        <w:rPr>
          <w:b/>
          <w:bCs/>
          <w:color w:val="0A77B3"/>
          <w:sz w:val="24"/>
          <w:szCs w:val="26"/>
          <w:lang w:val="fr-BE"/>
        </w:rPr>
        <w:t>Euro numérique</w:t>
      </w:r>
      <w:bookmarkEnd w:id="83"/>
      <w:bookmarkEnd w:id="84"/>
      <w:bookmarkEnd w:id="85"/>
    </w:p>
    <w:p w14:paraId="2A31B620" w14:textId="1C01120E" w:rsidR="00265F0A" w:rsidRPr="00711662" w:rsidRDefault="00265F0A" w:rsidP="38402D5F">
      <w:pPr>
        <w:spacing w:line="360" w:lineRule="auto"/>
        <w:rPr>
          <w:rFonts w:cs="Arial"/>
          <w:sz w:val="24"/>
          <w:szCs w:val="24"/>
          <w:lang w:val="fr-BE"/>
        </w:rPr>
      </w:pPr>
      <w:hyperlink r:id="rId65">
        <w:r w:rsidRPr="00711662">
          <w:rPr>
            <w:rFonts w:cs="Arial"/>
            <w:color w:val="0000FF"/>
            <w:sz w:val="24"/>
            <w:szCs w:val="24"/>
            <w:u w:val="single"/>
            <w:lang w:val="fr-BE"/>
          </w:rPr>
          <w:t xml:space="preserve">La proposition législative pour la création d'un euro numérique </w:t>
        </w:r>
      </w:hyperlink>
      <w:r w:rsidRPr="00711662">
        <w:rPr>
          <w:rFonts w:cs="Arial"/>
          <w:sz w:val="24"/>
          <w:szCs w:val="24"/>
          <w:lang w:val="fr-BE"/>
        </w:rPr>
        <w:t xml:space="preserve">a été présentée en juin 2023. L'objectif de cette proposition est d'établir un cadre juridique qui permettrait la création d'un euro numérique, un moyen de paiement qui compléterait les billets de banque en euros, les pièces de monnaie et les options privées numériques (comme les cartes de crédit ou les applications mobiles).  </w:t>
      </w:r>
    </w:p>
    <w:p w14:paraId="5024AABD" w14:textId="7694EB2A" w:rsidR="00265F0A" w:rsidRPr="00711662" w:rsidRDefault="00265F0A" w:rsidP="00265F0A">
      <w:pPr>
        <w:spacing w:line="360" w:lineRule="auto"/>
        <w:rPr>
          <w:sz w:val="24"/>
          <w:szCs w:val="24"/>
          <w:lang w:val="fr-BE"/>
        </w:rPr>
      </w:pPr>
      <w:r w:rsidRPr="00711662">
        <w:rPr>
          <w:sz w:val="24"/>
          <w:szCs w:val="24"/>
          <w:lang w:val="fr-BE"/>
        </w:rPr>
        <w:lastRenderedPageBreak/>
        <w:t xml:space="preserve">Du point de vue des personnes handicapées, la proposition de la Commission prévoit l'obligation de rendre l'euro numérique accessible aux personnes handicapées, conformément aux exigences de la loi européenne sur l'accessibilité. Le FEPH suivra les négociations pour s'assurer que cette disposition est maintenue. </w:t>
      </w:r>
      <w:r w:rsidR="65E9EFBC" w:rsidRPr="00711662">
        <w:rPr>
          <w:sz w:val="24"/>
          <w:szCs w:val="24"/>
          <w:lang w:val="fr-BE"/>
        </w:rPr>
        <w:t xml:space="preserve">En mai 2025, les négociations n'en sont qu'à leurs débuts, le nouveau Parlement européen </w:t>
      </w:r>
      <w:r w:rsidR="25238248" w:rsidRPr="00711662">
        <w:rPr>
          <w:sz w:val="24"/>
          <w:szCs w:val="24"/>
          <w:lang w:val="fr-BE"/>
        </w:rPr>
        <w:t xml:space="preserve">devant encore adopter sa position. </w:t>
      </w:r>
    </w:p>
    <w:p w14:paraId="29B6E895" w14:textId="77777777" w:rsidR="00265F0A" w:rsidRPr="00711662" w:rsidRDefault="00265F0A" w:rsidP="00265F0A">
      <w:pPr>
        <w:spacing w:line="360" w:lineRule="auto"/>
        <w:rPr>
          <w:sz w:val="24"/>
          <w:szCs w:val="24"/>
          <w:lang w:val="fr-BE"/>
        </w:rPr>
      </w:pPr>
      <w:r w:rsidRPr="00711662">
        <w:rPr>
          <w:sz w:val="24"/>
          <w:szCs w:val="24"/>
          <w:lang w:val="fr-BE"/>
        </w:rPr>
        <w:t>Parallèlement, le secrétariat du FEPH a été en contact avec la Banque centrale européenne et a envoyé des contacts d'experts en accessibilité, ainsi que des recommandations préparées en collaboration avec le groupe d'experts en TIC du FEPH pour définir la norme (connue sous le nom de "rulebook") qui définira les aspects techniques de l'euro numérique.</w:t>
      </w:r>
    </w:p>
    <w:p w14:paraId="69056063" w14:textId="77777777" w:rsidR="00265F0A" w:rsidRPr="00711662" w:rsidRDefault="00265F0A" w:rsidP="00265F0A">
      <w:pPr>
        <w:spacing w:line="360" w:lineRule="auto"/>
        <w:rPr>
          <w:sz w:val="24"/>
          <w:szCs w:val="24"/>
          <w:lang w:val="fr-BE"/>
        </w:rPr>
      </w:pPr>
      <w:r w:rsidRPr="00711662">
        <w:rPr>
          <w:sz w:val="24"/>
          <w:szCs w:val="24"/>
          <w:lang w:val="fr-BE"/>
        </w:rPr>
        <w:t>Contact : Daniel.</w:t>
      </w:r>
    </w:p>
    <w:p w14:paraId="0E4FA204" w14:textId="77777777" w:rsidR="00265F0A" w:rsidRPr="00711662" w:rsidRDefault="00265F0A" w:rsidP="00265F0A">
      <w:pPr>
        <w:keepNext/>
        <w:keepLines/>
        <w:spacing w:before="480" w:after="0"/>
        <w:outlineLvl w:val="0"/>
        <w:rPr>
          <w:b/>
          <w:bCs/>
          <w:color w:val="0A77B3"/>
          <w:sz w:val="28"/>
          <w:szCs w:val="28"/>
          <w:lang w:val="fr-BE"/>
        </w:rPr>
      </w:pPr>
      <w:bookmarkStart w:id="86" w:name="_Toc179464885"/>
      <w:bookmarkStart w:id="87" w:name="_Toc180402137"/>
      <w:bookmarkStart w:id="88" w:name="_Toc199268290"/>
      <w:r w:rsidRPr="00711662">
        <w:rPr>
          <w:b/>
          <w:bCs/>
          <w:color w:val="0A77B3"/>
          <w:sz w:val="28"/>
          <w:szCs w:val="28"/>
          <w:lang w:val="fr-BE"/>
        </w:rPr>
        <w:t>Transport</w:t>
      </w:r>
      <w:bookmarkEnd w:id="86"/>
      <w:bookmarkEnd w:id="87"/>
      <w:bookmarkEnd w:id="88"/>
    </w:p>
    <w:p w14:paraId="20072415" w14:textId="77777777" w:rsidR="00265F0A" w:rsidRPr="00711662" w:rsidRDefault="00265F0A" w:rsidP="00265F0A">
      <w:pPr>
        <w:keepNext/>
        <w:keepLines/>
        <w:spacing w:before="200" w:after="240"/>
        <w:outlineLvl w:val="1"/>
        <w:rPr>
          <w:b/>
          <w:bCs/>
          <w:color w:val="0A77B3"/>
          <w:sz w:val="24"/>
          <w:szCs w:val="26"/>
          <w:lang w:val="fr-BE"/>
        </w:rPr>
      </w:pPr>
      <w:bookmarkStart w:id="89" w:name="_Toc179464886"/>
      <w:bookmarkStart w:id="90" w:name="_Toc180402138"/>
      <w:bookmarkStart w:id="91" w:name="_Toc199268291"/>
      <w:r w:rsidRPr="00711662">
        <w:rPr>
          <w:b/>
          <w:bCs/>
          <w:color w:val="0A77B3"/>
          <w:sz w:val="24"/>
          <w:szCs w:val="26"/>
          <w:lang w:val="fr-BE"/>
        </w:rPr>
        <w:t>Droits des passagers</w:t>
      </w:r>
      <w:bookmarkEnd w:id="89"/>
      <w:bookmarkEnd w:id="90"/>
      <w:bookmarkEnd w:id="91"/>
    </w:p>
    <w:p w14:paraId="4D000F0C" w14:textId="77777777" w:rsidR="00265F0A" w:rsidRPr="00711662" w:rsidRDefault="00265F0A" w:rsidP="00265F0A">
      <w:pPr>
        <w:spacing w:line="360" w:lineRule="auto"/>
        <w:rPr>
          <w:sz w:val="24"/>
          <w:szCs w:val="24"/>
          <w:lang w:val="fr-BE"/>
        </w:rPr>
      </w:pPr>
      <w:bookmarkStart w:id="92" w:name="_Hlk159510626"/>
      <w:r w:rsidRPr="00711662">
        <w:rPr>
          <w:sz w:val="24"/>
          <w:szCs w:val="24"/>
          <w:lang w:val="fr-BE"/>
        </w:rPr>
        <w:t>En novembre dernier, la Commission européenne a présenté deux propositions législatives sur les droits des passagers :</w:t>
      </w:r>
    </w:p>
    <w:p w14:paraId="164E1BE6" w14:textId="77777777" w:rsidR="00265F0A" w:rsidRPr="00711662" w:rsidRDefault="00265F0A" w:rsidP="00265F0A">
      <w:pPr>
        <w:numPr>
          <w:ilvl w:val="0"/>
          <w:numId w:val="11"/>
        </w:numPr>
        <w:spacing w:line="360" w:lineRule="auto"/>
        <w:rPr>
          <w:sz w:val="24"/>
          <w:szCs w:val="24"/>
          <w:lang w:val="fr-BE"/>
        </w:rPr>
      </w:pPr>
      <w:hyperlink r:id="rId66" w:history="1">
        <w:r w:rsidRPr="00711662">
          <w:rPr>
            <w:color w:val="0000FF"/>
            <w:sz w:val="24"/>
            <w:szCs w:val="24"/>
            <w:u w:val="single"/>
            <w:lang w:val="fr-BE"/>
          </w:rPr>
          <w:t>Proposition de règlement visant à mieux faire respecter les droits des passagers</w:t>
        </w:r>
      </w:hyperlink>
      <w:r w:rsidRPr="00711662">
        <w:rPr>
          <w:sz w:val="24"/>
          <w:szCs w:val="24"/>
          <w:lang w:val="fr-BE"/>
        </w:rPr>
        <w:t xml:space="preserve">, qui introduit des modifications ciblées aux règlements existants en matière de droits des passagers dans les domaines aérien, ferroviaire, maritime, des autobus et des autocars, afin d'améliorer le respect de ces règlements par les transporteurs et les gestionnaires d'infrastructures (terminaux d'autobus, aéroports, gares ferroviaires). La proposition inclut également des amendements ciblés au règlement 1107/2006 afin d'améliorer la protection des passagers handicapés lorsqu'ils voyagent par avion. </w:t>
      </w:r>
    </w:p>
    <w:p w14:paraId="4D91068B" w14:textId="77777777" w:rsidR="00265F0A" w:rsidRPr="00711662" w:rsidRDefault="00265F0A" w:rsidP="00265F0A">
      <w:pPr>
        <w:numPr>
          <w:ilvl w:val="0"/>
          <w:numId w:val="11"/>
        </w:numPr>
        <w:spacing w:line="360" w:lineRule="auto"/>
        <w:rPr>
          <w:sz w:val="24"/>
          <w:szCs w:val="24"/>
          <w:lang w:val="fr-BE"/>
        </w:rPr>
      </w:pPr>
      <w:hyperlink r:id="rId67" w:history="1">
        <w:r w:rsidRPr="00711662">
          <w:rPr>
            <w:color w:val="0000FF"/>
            <w:sz w:val="24"/>
            <w:szCs w:val="24"/>
            <w:u w:val="single"/>
            <w:lang w:val="fr-BE"/>
          </w:rPr>
          <w:t>Proposition de règlement sur les droits des passagers lors de voyages multimodaux</w:t>
        </w:r>
      </w:hyperlink>
      <w:r w:rsidRPr="00711662">
        <w:rPr>
          <w:sz w:val="24"/>
          <w:szCs w:val="24"/>
          <w:lang w:val="fr-BE"/>
        </w:rPr>
        <w:t xml:space="preserve">, qui vise à fixer un niveau minimum de protection des passagers lors de voyages multimodaux. Cela comprend, entre autres, l'indemnisation en cas de retard ou d'annulation et l'assistance aux personnes handicapées. Il y a voyage multimodal lorsque les passagers combinent au moins deux modes de transport collectif pour </w:t>
      </w:r>
      <w:r w:rsidRPr="00711662">
        <w:rPr>
          <w:sz w:val="24"/>
          <w:szCs w:val="24"/>
          <w:lang w:val="fr-BE"/>
        </w:rPr>
        <w:lastRenderedPageBreak/>
        <w:t>atteindre une certaine destination. Par exemple, un billet unique qui comprend un train de Bruxelles à l'aéroport de Paris et, de là, un vol vers un pays en dehors de l'UE.</w:t>
      </w:r>
    </w:p>
    <w:bookmarkEnd w:id="92"/>
    <w:p w14:paraId="2BB2CE75" w14:textId="3240F873" w:rsidR="00265F0A" w:rsidRPr="00711662" w:rsidRDefault="00265F0A" w:rsidP="6F81FCA3">
      <w:pPr>
        <w:spacing w:line="360" w:lineRule="auto"/>
        <w:rPr>
          <w:sz w:val="24"/>
          <w:szCs w:val="24"/>
          <w:lang w:val="fr-BE"/>
        </w:rPr>
      </w:pPr>
      <w:r w:rsidRPr="00711662">
        <w:rPr>
          <w:sz w:val="24"/>
          <w:szCs w:val="24"/>
          <w:lang w:val="fr-BE"/>
        </w:rPr>
        <w:t xml:space="preserve">En février 2024, le FEPH a publié </w:t>
      </w:r>
      <w:hyperlink r:id="rId68">
        <w:r w:rsidRPr="00711662">
          <w:rPr>
            <w:color w:val="0000FF"/>
            <w:sz w:val="24"/>
            <w:szCs w:val="24"/>
            <w:u w:val="single"/>
            <w:lang w:val="fr-BE"/>
          </w:rPr>
          <w:t xml:space="preserve">une analyse des deux propositions législatives </w:t>
        </w:r>
      </w:hyperlink>
      <w:r w:rsidRPr="00711662">
        <w:rPr>
          <w:sz w:val="24"/>
          <w:szCs w:val="24"/>
          <w:lang w:val="fr-BE"/>
        </w:rPr>
        <w:t xml:space="preserve">et a rédigé des </w:t>
      </w:r>
      <w:hyperlink r:id="rId69">
        <w:r w:rsidRPr="00711662">
          <w:rPr>
            <w:rStyle w:val="Hyperlink"/>
            <w:sz w:val="24"/>
            <w:szCs w:val="24"/>
            <w:lang w:val="fr-BE"/>
          </w:rPr>
          <w:t xml:space="preserve">propositions d'amendements </w:t>
        </w:r>
      </w:hyperlink>
      <w:r w:rsidRPr="00711662">
        <w:rPr>
          <w:sz w:val="24"/>
          <w:szCs w:val="24"/>
          <w:lang w:val="fr-BE"/>
        </w:rPr>
        <w:t xml:space="preserve">pour guider nos actions de plaidoyer dans les négociations interinstitutionnelles à venir. </w:t>
      </w:r>
      <w:r w:rsidR="21A4DCEA" w:rsidRPr="00711662">
        <w:rPr>
          <w:sz w:val="24"/>
          <w:szCs w:val="24"/>
          <w:lang w:val="fr-BE"/>
        </w:rPr>
        <w:t xml:space="preserve">La commission des transports du Parlement a invité le FEPH à une audition parlementaire en novembre </w:t>
      </w:r>
      <w:r w:rsidR="3A19A31E" w:rsidRPr="00711662">
        <w:rPr>
          <w:sz w:val="24"/>
          <w:szCs w:val="24"/>
          <w:lang w:val="fr-BE"/>
        </w:rPr>
        <w:t>2024</w:t>
      </w:r>
      <w:r w:rsidR="43CB1101" w:rsidRPr="00711662">
        <w:rPr>
          <w:sz w:val="24"/>
          <w:szCs w:val="24"/>
          <w:lang w:val="fr-BE"/>
        </w:rPr>
        <w:t>.</w:t>
      </w:r>
    </w:p>
    <w:p w14:paraId="027051FD" w14:textId="79ED5A65" w:rsidR="00265F0A" w:rsidRPr="00711662" w:rsidRDefault="3D29D1C2" w:rsidP="124EBE3E">
      <w:pPr>
        <w:spacing w:line="360" w:lineRule="auto"/>
        <w:rPr>
          <w:sz w:val="24"/>
          <w:szCs w:val="24"/>
          <w:lang w:val="fr-BE"/>
        </w:rPr>
      </w:pPr>
      <w:r w:rsidRPr="00711662">
        <w:rPr>
          <w:sz w:val="24"/>
          <w:szCs w:val="24"/>
          <w:lang w:val="fr-BE"/>
        </w:rPr>
        <w:t xml:space="preserve">Le FEPH </w:t>
      </w:r>
      <w:r w:rsidR="7E4EFF3D" w:rsidRPr="00711662">
        <w:rPr>
          <w:sz w:val="24"/>
          <w:szCs w:val="24"/>
          <w:lang w:val="fr-BE"/>
        </w:rPr>
        <w:t xml:space="preserve">s'est engagé auprès du </w:t>
      </w:r>
      <w:r w:rsidRPr="00711662">
        <w:rPr>
          <w:sz w:val="24"/>
          <w:szCs w:val="24"/>
          <w:lang w:val="fr-BE"/>
        </w:rPr>
        <w:t xml:space="preserve">Conseil et du Parlement européen </w:t>
      </w:r>
      <w:r w:rsidR="4715BF8E" w:rsidRPr="00711662">
        <w:rPr>
          <w:sz w:val="24"/>
          <w:szCs w:val="24"/>
          <w:lang w:val="fr-BE"/>
        </w:rPr>
        <w:t xml:space="preserve">pour expliquer ses amendements. </w:t>
      </w:r>
      <w:r w:rsidRPr="00711662">
        <w:rPr>
          <w:sz w:val="24"/>
          <w:szCs w:val="24"/>
          <w:lang w:val="fr-BE"/>
        </w:rPr>
        <w:t xml:space="preserve">Alors que la </w:t>
      </w:r>
      <w:hyperlink r:id="rId70">
        <w:r w:rsidRPr="00711662">
          <w:rPr>
            <w:rStyle w:val="Hyperlink"/>
            <w:sz w:val="24"/>
            <w:szCs w:val="24"/>
            <w:lang w:val="fr-BE"/>
          </w:rPr>
          <w:t xml:space="preserve">position du Conseil </w:t>
        </w:r>
        <w:r w:rsidR="7B6DAF96" w:rsidRPr="00711662">
          <w:rPr>
            <w:rStyle w:val="Hyperlink"/>
            <w:sz w:val="24"/>
            <w:szCs w:val="24"/>
            <w:lang w:val="fr-BE"/>
          </w:rPr>
          <w:t xml:space="preserve">a complètement </w:t>
        </w:r>
        <w:r w:rsidR="15E3A091" w:rsidRPr="00711662">
          <w:rPr>
            <w:rStyle w:val="Hyperlink"/>
            <w:sz w:val="24"/>
            <w:szCs w:val="24"/>
            <w:lang w:val="fr-BE"/>
          </w:rPr>
          <w:t xml:space="preserve">affaibli </w:t>
        </w:r>
        <w:r w:rsidR="7B6DAF96" w:rsidRPr="00711662">
          <w:rPr>
            <w:rStyle w:val="Hyperlink"/>
            <w:sz w:val="24"/>
            <w:szCs w:val="24"/>
            <w:lang w:val="fr-BE"/>
          </w:rPr>
          <w:t xml:space="preserve">les </w:t>
        </w:r>
        <w:r w:rsidR="6FDD41BF" w:rsidRPr="00711662">
          <w:rPr>
            <w:rStyle w:val="Hyperlink"/>
            <w:sz w:val="24"/>
            <w:szCs w:val="24"/>
            <w:lang w:val="fr-BE"/>
          </w:rPr>
          <w:t>dispositions relatives</w:t>
        </w:r>
        <w:r w:rsidR="7B6DAF96" w:rsidRPr="00711662">
          <w:rPr>
            <w:rStyle w:val="Hyperlink"/>
            <w:sz w:val="24"/>
            <w:szCs w:val="24"/>
            <w:lang w:val="fr-BE"/>
          </w:rPr>
          <w:t xml:space="preserve"> au handicap </w:t>
        </w:r>
        <w:r w:rsidR="6FDD41BF" w:rsidRPr="00711662">
          <w:rPr>
            <w:rStyle w:val="Hyperlink"/>
            <w:sz w:val="24"/>
            <w:szCs w:val="24"/>
            <w:lang w:val="fr-BE"/>
          </w:rPr>
          <w:t>dans sa position</w:t>
        </w:r>
      </w:hyperlink>
      <w:r w:rsidR="7B6DAF96" w:rsidRPr="00711662">
        <w:rPr>
          <w:sz w:val="24"/>
          <w:szCs w:val="24"/>
          <w:lang w:val="fr-BE"/>
        </w:rPr>
        <w:t xml:space="preserve">, le </w:t>
      </w:r>
      <w:r w:rsidR="4D9FD5D8" w:rsidRPr="00711662">
        <w:rPr>
          <w:sz w:val="24"/>
          <w:szCs w:val="24"/>
          <w:lang w:val="fr-BE"/>
        </w:rPr>
        <w:t xml:space="preserve">Parlement s'est montré plus réceptif aux préoccupations du FEPH. </w:t>
      </w:r>
      <w:hyperlink r:id="rId71">
        <w:r w:rsidR="4D9FD5D8" w:rsidRPr="00711662">
          <w:rPr>
            <w:rStyle w:val="Hyperlink"/>
            <w:sz w:val="24"/>
            <w:szCs w:val="24"/>
            <w:lang w:val="fr-BE"/>
          </w:rPr>
          <w:t xml:space="preserve">Plusieurs </w:t>
        </w:r>
        <w:r w:rsidR="66C488B6" w:rsidRPr="00711662">
          <w:rPr>
            <w:rStyle w:val="Hyperlink"/>
            <w:sz w:val="24"/>
            <w:szCs w:val="24"/>
            <w:lang w:val="fr-BE"/>
          </w:rPr>
          <w:t xml:space="preserve">amendements </w:t>
        </w:r>
        <w:r w:rsidR="4D9FD5D8" w:rsidRPr="00711662">
          <w:rPr>
            <w:rStyle w:val="Hyperlink"/>
            <w:sz w:val="24"/>
            <w:szCs w:val="24"/>
            <w:lang w:val="fr-BE"/>
          </w:rPr>
          <w:t xml:space="preserve">du FEPH </w:t>
        </w:r>
        <w:r w:rsidR="09FA5ABA" w:rsidRPr="00711662">
          <w:rPr>
            <w:rStyle w:val="Hyperlink"/>
            <w:sz w:val="24"/>
            <w:szCs w:val="24"/>
            <w:lang w:val="fr-BE"/>
          </w:rPr>
          <w:t xml:space="preserve">ont déjà </w:t>
        </w:r>
        <w:r w:rsidR="4D9FD5D8" w:rsidRPr="00711662">
          <w:rPr>
            <w:rStyle w:val="Hyperlink"/>
            <w:sz w:val="24"/>
            <w:szCs w:val="24"/>
            <w:lang w:val="fr-BE"/>
          </w:rPr>
          <w:t>été déposés par des députés européens</w:t>
        </w:r>
        <w:r w:rsidR="33079BBE" w:rsidRPr="00711662">
          <w:rPr>
            <w:rStyle w:val="Hyperlink"/>
            <w:sz w:val="24"/>
            <w:szCs w:val="24"/>
            <w:lang w:val="fr-BE"/>
          </w:rPr>
          <w:t xml:space="preserve">, </w:t>
        </w:r>
      </w:hyperlink>
      <w:r w:rsidR="33079BBE" w:rsidRPr="00711662">
        <w:rPr>
          <w:sz w:val="24"/>
          <w:szCs w:val="24"/>
          <w:lang w:val="fr-BE"/>
        </w:rPr>
        <w:t xml:space="preserve">suggérant une position plus forte </w:t>
      </w:r>
      <w:r w:rsidR="431EB8D2" w:rsidRPr="00711662">
        <w:rPr>
          <w:sz w:val="24"/>
          <w:szCs w:val="24"/>
          <w:lang w:val="fr-BE"/>
        </w:rPr>
        <w:t xml:space="preserve">que celle du Conseil </w:t>
      </w:r>
      <w:r w:rsidR="33079BBE" w:rsidRPr="00711662">
        <w:rPr>
          <w:sz w:val="24"/>
          <w:szCs w:val="24"/>
          <w:lang w:val="fr-BE"/>
        </w:rPr>
        <w:t xml:space="preserve">en ce qui concerne les droits des PMR.  </w:t>
      </w:r>
      <w:r w:rsidR="13A950C1" w:rsidRPr="00711662">
        <w:rPr>
          <w:sz w:val="24"/>
          <w:szCs w:val="24"/>
          <w:lang w:val="fr-BE"/>
        </w:rPr>
        <w:t xml:space="preserve">Une fois que le Parlement aura adopté sa position de </w:t>
      </w:r>
      <w:r w:rsidR="006B6C67" w:rsidRPr="00711662">
        <w:rPr>
          <w:sz w:val="24"/>
          <w:szCs w:val="24"/>
          <w:lang w:val="fr-BE"/>
        </w:rPr>
        <w:t xml:space="preserve">négociation </w:t>
      </w:r>
      <w:r w:rsidR="00DAF2D1" w:rsidRPr="00711662">
        <w:rPr>
          <w:sz w:val="24"/>
          <w:szCs w:val="24"/>
          <w:lang w:val="fr-BE"/>
        </w:rPr>
        <w:t>cet été 2025</w:t>
      </w:r>
      <w:r w:rsidR="13A950C1" w:rsidRPr="00711662">
        <w:rPr>
          <w:sz w:val="24"/>
          <w:szCs w:val="24"/>
          <w:lang w:val="fr-BE"/>
        </w:rPr>
        <w:t xml:space="preserve">, le </w:t>
      </w:r>
      <w:r w:rsidR="6D801AA5" w:rsidRPr="00711662">
        <w:rPr>
          <w:sz w:val="24"/>
          <w:szCs w:val="24"/>
          <w:lang w:val="fr-BE"/>
        </w:rPr>
        <w:t xml:space="preserve">processus co-législatif commencera. </w:t>
      </w:r>
    </w:p>
    <w:p w14:paraId="09AE8026" w14:textId="7D8F6504" w:rsidR="00265F0A" w:rsidRPr="00711662" w:rsidRDefault="00265F0A" w:rsidP="00265F0A">
      <w:pPr>
        <w:spacing w:line="360" w:lineRule="auto"/>
        <w:rPr>
          <w:sz w:val="24"/>
          <w:szCs w:val="24"/>
          <w:lang w:val="fr-BE"/>
        </w:rPr>
      </w:pPr>
      <w:r w:rsidRPr="00711662">
        <w:rPr>
          <w:sz w:val="24"/>
          <w:szCs w:val="24"/>
          <w:lang w:val="fr-BE"/>
        </w:rPr>
        <w:t xml:space="preserve">Contact : Daniel. </w:t>
      </w:r>
    </w:p>
    <w:p w14:paraId="0676DA7F" w14:textId="77777777" w:rsidR="00265F0A" w:rsidRPr="00711662" w:rsidRDefault="00265F0A" w:rsidP="00265F0A">
      <w:pPr>
        <w:keepNext/>
        <w:keepLines/>
        <w:spacing w:before="200" w:after="0"/>
        <w:outlineLvl w:val="1"/>
        <w:rPr>
          <w:b/>
          <w:bCs/>
          <w:color w:val="0A77B3"/>
          <w:sz w:val="24"/>
          <w:szCs w:val="26"/>
          <w:lang w:val="fr-BE"/>
        </w:rPr>
      </w:pPr>
      <w:bookmarkStart w:id="93" w:name="_Toc179464889"/>
      <w:bookmarkStart w:id="94" w:name="_Toc180402141"/>
      <w:bookmarkStart w:id="95" w:name="_Toc199268292"/>
      <w:bookmarkStart w:id="96" w:name="_Hlk198899619"/>
      <w:r w:rsidRPr="00711662">
        <w:rPr>
          <w:b/>
          <w:bCs/>
          <w:color w:val="0A77B3"/>
          <w:sz w:val="24"/>
          <w:szCs w:val="26"/>
          <w:lang w:val="fr-BE"/>
        </w:rPr>
        <w:t>Accessibilité des chemins de fer (STI-PRM)</w:t>
      </w:r>
      <w:bookmarkEnd w:id="93"/>
      <w:bookmarkEnd w:id="94"/>
      <w:bookmarkEnd w:id="95"/>
    </w:p>
    <w:bookmarkEnd w:id="96"/>
    <w:p w14:paraId="18A8DF74" w14:textId="77777777" w:rsidR="00265F0A" w:rsidRPr="00711662" w:rsidRDefault="00265F0A" w:rsidP="00265F0A">
      <w:pPr>
        <w:rPr>
          <w:lang w:val="fr-BE"/>
        </w:rPr>
      </w:pPr>
    </w:p>
    <w:p w14:paraId="21912A27" w14:textId="77777777" w:rsidR="00265F0A" w:rsidRPr="00711662" w:rsidRDefault="00265F0A" w:rsidP="00265F0A">
      <w:pPr>
        <w:spacing w:line="360" w:lineRule="auto"/>
        <w:rPr>
          <w:sz w:val="24"/>
          <w:szCs w:val="24"/>
          <w:lang w:val="fr-BE"/>
        </w:rPr>
      </w:pPr>
      <w:r w:rsidRPr="00711662">
        <w:rPr>
          <w:sz w:val="24"/>
          <w:szCs w:val="24"/>
          <w:lang w:val="fr-BE"/>
        </w:rPr>
        <w:t xml:space="preserve">Le 20 août 2024, la Commission européenne a officiellement demandé à l'Agence ferroviaire européenne (ERA) de réviser la </w:t>
      </w:r>
      <w:hyperlink r:id="rId72" w:history="1">
        <w:r w:rsidRPr="00711662">
          <w:rPr>
            <w:color w:val="0000FF"/>
            <w:sz w:val="24"/>
            <w:szCs w:val="24"/>
            <w:u w:val="single"/>
            <w:lang w:val="fr-BE"/>
          </w:rPr>
          <w:t xml:space="preserve">STI-PRM </w:t>
        </w:r>
      </w:hyperlink>
      <w:r w:rsidRPr="00711662">
        <w:rPr>
          <w:sz w:val="24"/>
          <w:szCs w:val="24"/>
          <w:lang w:val="fr-BE"/>
        </w:rPr>
        <w:t xml:space="preserve">(Spécifications techniques d'interopérabilité relatives à l'accessibilité pour les passagers à mobilité réduite), une réglementation européenne qui fixe des exigences minimales en matière d'accessibilité pour les gares et le matériel roulant. </w:t>
      </w:r>
    </w:p>
    <w:p w14:paraId="590AD8CF" w14:textId="49BE988B" w:rsidR="00265F0A" w:rsidRPr="00711662" w:rsidRDefault="00265F0A" w:rsidP="00265F0A">
      <w:pPr>
        <w:spacing w:line="360" w:lineRule="auto"/>
        <w:rPr>
          <w:sz w:val="24"/>
          <w:szCs w:val="24"/>
          <w:lang w:val="fr-BE"/>
        </w:rPr>
      </w:pPr>
      <w:r w:rsidRPr="00711662">
        <w:rPr>
          <w:sz w:val="24"/>
          <w:szCs w:val="24"/>
          <w:lang w:val="fr-BE"/>
        </w:rPr>
        <w:t xml:space="preserve">EDF </w:t>
      </w:r>
      <w:r w:rsidR="0117C0FC" w:rsidRPr="00711662">
        <w:rPr>
          <w:sz w:val="24"/>
          <w:szCs w:val="24"/>
          <w:lang w:val="fr-BE"/>
        </w:rPr>
        <w:t xml:space="preserve">a commencé à participer aux </w:t>
      </w:r>
      <w:r w:rsidRPr="00711662">
        <w:rPr>
          <w:sz w:val="24"/>
          <w:szCs w:val="24"/>
          <w:lang w:val="fr-BE"/>
        </w:rPr>
        <w:t xml:space="preserve">réunions techniques de l'ERA </w:t>
      </w:r>
      <w:r w:rsidR="3EEDE9CE" w:rsidRPr="00711662">
        <w:rPr>
          <w:sz w:val="24"/>
          <w:szCs w:val="24"/>
          <w:lang w:val="fr-BE"/>
        </w:rPr>
        <w:t>l'année dernière</w:t>
      </w:r>
      <w:r w:rsidRPr="00711662">
        <w:rPr>
          <w:sz w:val="24"/>
          <w:szCs w:val="24"/>
          <w:lang w:val="fr-BE"/>
        </w:rPr>
        <w:t xml:space="preserve">, qui dureront 4 ans et devraient aboutir à une proposition de texte révisé qui sera formellement adoptée par la Commission européenne. L'une des priorités de ce cycle de révision sera d'aborder la question de l'accès de plain-pied entre la plate-forme et le train, l'une des principales demandes du FEPH. </w:t>
      </w:r>
    </w:p>
    <w:p w14:paraId="642F1B57" w14:textId="3A94517C" w:rsidR="00265F0A" w:rsidRPr="00711662" w:rsidRDefault="58BC94AE" w:rsidP="6F81FCA3">
      <w:pPr>
        <w:spacing w:line="360" w:lineRule="auto"/>
        <w:rPr>
          <w:sz w:val="24"/>
          <w:szCs w:val="24"/>
          <w:lang w:val="fr-BE"/>
        </w:rPr>
      </w:pPr>
      <w:r w:rsidRPr="00711662">
        <w:rPr>
          <w:sz w:val="24"/>
          <w:szCs w:val="24"/>
          <w:lang w:val="fr-BE"/>
        </w:rPr>
        <w:t xml:space="preserve">Pour soutenir le FEPH dans les </w:t>
      </w:r>
      <w:r w:rsidR="3EA1E6AE" w:rsidRPr="00711662">
        <w:rPr>
          <w:sz w:val="24"/>
          <w:szCs w:val="24"/>
          <w:lang w:val="fr-BE"/>
        </w:rPr>
        <w:t xml:space="preserve">discussions sur l'EER, le FEPH a nommé un expert, </w:t>
      </w:r>
      <w:r w:rsidR="12B0C313" w:rsidRPr="6F81FCA3">
        <w:rPr>
          <w:sz w:val="24"/>
          <w:szCs w:val="24"/>
          <w:lang w:val="de-CH"/>
        </w:rPr>
        <w:t>René Kälin, président de l'</w:t>
      </w:r>
      <w:r w:rsidR="4FB401CC" w:rsidRPr="6F81FCA3">
        <w:rPr>
          <w:sz w:val="24"/>
          <w:szCs w:val="24"/>
          <w:lang w:val="de-CH"/>
        </w:rPr>
        <w:t>Association Celebral Suisse</w:t>
      </w:r>
      <w:r w:rsidR="29326C55" w:rsidRPr="6F81FCA3">
        <w:rPr>
          <w:sz w:val="24"/>
          <w:szCs w:val="24"/>
          <w:lang w:val="de-CH"/>
        </w:rPr>
        <w:t xml:space="preserve">, qui est membre de l'organisation suisse des </w:t>
      </w:r>
      <w:r w:rsidR="29326C55" w:rsidRPr="6F81FCA3">
        <w:rPr>
          <w:sz w:val="24"/>
          <w:szCs w:val="24"/>
          <w:lang w:val="de-CH"/>
        </w:rPr>
        <w:lastRenderedPageBreak/>
        <w:t xml:space="preserve">personnes handicapées (Agile). </w:t>
      </w:r>
      <w:r w:rsidR="00265F0A" w:rsidRPr="00711662">
        <w:rPr>
          <w:sz w:val="24"/>
          <w:szCs w:val="24"/>
          <w:lang w:val="fr-BE"/>
        </w:rPr>
        <w:t xml:space="preserve">Pour se préparer à cette révision, le FEPH est en train de </w:t>
      </w:r>
      <w:r w:rsidR="11DAA1D7" w:rsidRPr="00711662">
        <w:rPr>
          <w:sz w:val="24"/>
          <w:szCs w:val="24"/>
          <w:lang w:val="fr-BE"/>
        </w:rPr>
        <w:t xml:space="preserve">finaliser </w:t>
      </w:r>
      <w:r w:rsidR="00265F0A" w:rsidRPr="00711662">
        <w:rPr>
          <w:sz w:val="24"/>
          <w:szCs w:val="24"/>
          <w:lang w:val="fr-BE"/>
        </w:rPr>
        <w:t xml:space="preserve">un document de position avec des </w:t>
      </w:r>
      <w:r w:rsidR="6533EF8F" w:rsidRPr="00711662">
        <w:rPr>
          <w:sz w:val="24"/>
          <w:szCs w:val="24"/>
          <w:lang w:val="fr-BE"/>
        </w:rPr>
        <w:t xml:space="preserve">demandes </w:t>
      </w:r>
      <w:r w:rsidR="00265F0A" w:rsidRPr="00711662">
        <w:rPr>
          <w:sz w:val="24"/>
          <w:szCs w:val="24"/>
          <w:lang w:val="fr-BE"/>
        </w:rPr>
        <w:t>spécifiques</w:t>
      </w:r>
      <w:r w:rsidR="587AD485" w:rsidRPr="00711662">
        <w:rPr>
          <w:sz w:val="24"/>
          <w:szCs w:val="24"/>
          <w:lang w:val="fr-BE"/>
        </w:rPr>
        <w:t xml:space="preserve">. Ce document devrait guider les priorités du FEPH lors des discussions techniques qui débuteront en septembre 2025. </w:t>
      </w:r>
    </w:p>
    <w:p w14:paraId="0F397623" w14:textId="07EE6D31" w:rsidR="00265F0A" w:rsidRPr="00711662" w:rsidRDefault="00265F0A" w:rsidP="6F81FCA3">
      <w:pPr>
        <w:spacing w:line="360" w:lineRule="auto"/>
        <w:rPr>
          <w:sz w:val="24"/>
          <w:szCs w:val="24"/>
          <w:lang w:val="fr-BE"/>
        </w:rPr>
      </w:pPr>
      <w:r w:rsidRPr="00711662">
        <w:rPr>
          <w:lang w:val="fr-BE"/>
        </w:rPr>
        <w:t>Contact : Daniel.</w:t>
      </w:r>
    </w:p>
    <w:p w14:paraId="2A75D609" w14:textId="77777777" w:rsidR="00265F0A" w:rsidRPr="00711662" w:rsidRDefault="00265F0A" w:rsidP="00265F0A">
      <w:pPr>
        <w:keepNext/>
        <w:keepLines/>
        <w:spacing w:before="480" w:after="0"/>
        <w:outlineLvl w:val="0"/>
        <w:rPr>
          <w:b/>
          <w:bCs/>
          <w:color w:val="0A77B3"/>
          <w:sz w:val="28"/>
          <w:szCs w:val="28"/>
          <w:lang w:val="fr-BE"/>
        </w:rPr>
      </w:pPr>
      <w:bookmarkStart w:id="97" w:name="_Toc179464890"/>
      <w:bookmarkStart w:id="98" w:name="_Toc180402142"/>
      <w:bookmarkStart w:id="99" w:name="_Toc199268293"/>
      <w:r w:rsidRPr="00711662">
        <w:rPr>
          <w:b/>
          <w:bCs/>
          <w:color w:val="0A77B3"/>
          <w:sz w:val="28"/>
          <w:szCs w:val="28"/>
          <w:lang w:val="fr-BE"/>
        </w:rPr>
        <w:t>Santé</w:t>
      </w:r>
      <w:bookmarkEnd w:id="97"/>
      <w:bookmarkEnd w:id="98"/>
      <w:bookmarkEnd w:id="99"/>
    </w:p>
    <w:p w14:paraId="05A0EF64" w14:textId="77777777" w:rsidR="00265F0A" w:rsidRPr="00711662" w:rsidRDefault="00265F0A" w:rsidP="124EBE3E">
      <w:pPr>
        <w:keepNext/>
        <w:keepLines/>
        <w:spacing w:before="200" w:after="240" w:line="360" w:lineRule="auto"/>
        <w:outlineLvl w:val="1"/>
        <w:rPr>
          <w:b/>
          <w:bCs/>
          <w:color w:val="0A77B3"/>
          <w:sz w:val="24"/>
          <w:szCs w:val="24"/>
          <w:lang w:val="fr-BE"/>
        </w:rPr>
      </w:pPr>
      <w:bookmarkStart w:id="100" w:name="_Toc179464893"/>
      <w:bookmarkStart w:id="101" w:name="_Toc180402143"/>
      <w:bookmarkStart w:id="102" w:name="_Toc199268294"/>
      <w:r w:rsidRPr="00711662">
        <w:rPr>
          <w:b/>
          <w:bCs/>
          <w:color w:val="0A77B3"/>
          <w:sz w:val="24"/>
          <w:szCs w:val="24"/>
          <w:lang w:val="fr-BE"/>
        </w:rPr>
        <w:t>Conseil de l'Europe - retrait du projet de protocole additionnel à la Convention d'Oviedo (sur le traitement involontaire et le placement en psychiatrie)</w:t>
      </w:r>
      <w:bookmarkEnd w:id="100"/>
      <w:bookmarkEnd w:id="101"/>
      <w:bookmarkEnd w:id="102"/>
    </w:p>
    <w:p w14:paraId="0A0C73D2" w14:textId="5FFD84FC" w:rsidR="00265F0A" w:rsidRPr="00711662" w:rsidRDefault="00265F0A" w:rsidP="124EBE3E">
      <w:pPr>
        <w:spacing w:line="360" w:lineRule="auto"/>
        <w:rPr>
          <w:sz w:val="24"/>
          <w:szCs w:val="24"/>
          <w:lang w:val="fr-BE"/>
        </w:rPr>
      </w:pPr>
      <w:r w:rsidRPr="00711662">
        <w:rPr>
          <w:sz w:val="24"/>
          <w:szCs w:val="24"/>
          <w:lang w:val="fr-BE"/>
        </w:rPr>
        <w:t xml:space="preserve">En 2022, le Comité des Ministres a temporairement suspendu l'adoption du projet de Protocole additionnel à la Convention d'Oviedo concernant le traitement involontaire et le placement en psychiatrie. </w:t>
      </w:r>
      <w:r w:rsidR="2760DE8C" w:rsidRPr="00711662">
        <w:rPr>
          <w:sz w:val="24"/>
          <w:szCs w:val="24"/>
          <w:lang w:val="fr-BE"/>
        </w:rPr>
        <w:t xml:space="preserve">Cette pause fait suite aux pressions exercées par le FEPH et les partenaires de notre campagne "Retirer Oviedo", ainsi qu'aux critiques formulées par les organes de l'ONU et du Conseil de l'Europe, y compris le Comité de la Convention relative aux droits des personnes handicapées. </w:t>
      </w:r>
      <w:r w:rsidRPr="00711662">
        <w:rPr>
          <w:sz w:val="24"/>
          <w:szCs w:val="24"/>
          <w:lang w:val="fr-BE"/>
        </w:rPr>
        <w:t xml:space="preserve">Pendant cette pause, le Comité de bioéthique a été chargé de préparer un projet de </w:t>
      </w:r>
      <w:r w:rsidR="113C9CBB" w:rsidRPr="00711662">
        <w:rPr>
          <w:sz w:val="24"/>
          <w:szCs w:val="24"/>
          <w:lang w:val="fr-BE"/>
        </w:rPr>
        <w:t>recommandation sur le respect de l'autonomie dans les soins de santé mentale</w:t>
      </w:r>
      <w:r w:rsidRPr="00711662">
        <w:rPr>
          <w:sz w:val="24"/>
          <w:szCs w:val="24"/>
          <w:lang w:val="fr-BE"/>
        </w:rPr>
        <w:t xml:space="preserve">, entre autres. Le document se concentre à juste titre sur l'autonomie dans les soins de santé mentale, et nous soutenons son adoption à la place du projet de protocole additionnel. </w:t>
      </w:r>
    </w:p>
    <w:p w14:paraId="6DF2C6E0" w14:textId="4B2A23B0" w:rsidR="00265F0A" w:rsidRPr="00711662" w:rsidRDefault="00265F0A" w:rsidP="59F76138">
      <w:pPr>
        <w:spacing w:line="360" w:lineRule="auto"/>
        <w:rPr>
          <w:sz w:val="24"/>
          <w:szCs w:val="24"/>
          <w:lang w:val="fr-BE"/>
        </w:rPr>
      </w:pPr>
      <w:r w:rsidRPr="00711662">
        <w:rPr>
          <w:sz w:val="24"/>
          <w:szCs w:val="24"/>
          <w:lang w:val="fr-BE"/>
        </w:rPr>
        <w:t xml:space="preserve">La pause </w:t>
      </w:r>
      <w:r w:rsidR="37BCFB09" w:rsidRPr="00711662">
        <w:rPr>
          <w:sz w:val="24"/>
          <w:szCs w:val="24"/>
          <w:lang w:val="fr-BE"/>
        </w:rPr>
        <w:t xml:space="preserve">se terminant en </w:t>
      </w:r>
      <w:r w:rsidRPr="00711662">
        <w:rPr>
          <w:sz w:val="24"/>
          <w:szCs w:val="24"/>
          <w:lang w:val="fr-BE"/>
        </w:rPr>
        <w:t xml:space="preserve">décembre 2024, le Comité des Ministres </w:t>
      </w:r>
      <w:r w:rsidR="2E710C35" w:rsidRPr="00711662">
        <w:rPr>
          <w:sz w:val="24"/>
          <w:szCs w:val="24"/>
          <w:lang w:val="fr-BE"/>
        </w:rPr>
        <w:t xml:space="preserve">a décidé de faire avancer les </w:t>
      </w:r>
      <w:r w:rsidRPr="00711662">
        <w:rPr>
          <w:sz w:val="24"/>
          <w:szCs w:val="24"/>
          <w:lang w:val="fr-BE"/>
        </w:rPr>
        <w:t xml:space="preserve">travaux sur le projet de Protocole additionnel </w:t>
      </w:r>
      <w:r w:rsidR="6AB1C68A" w:rsidRPr="00711662">
        <w:rPr>
          <w:sz w:val="24"/>
          <w:szCs w:val="24"/>
          <w:lang w:val="fr-BE"/>
        </w:rPr>
        <w:t xml:space="preserve">en transmettant le dossier à l'Assemblée parlementaire du Conseil de l'Europe </w:t>
      </w:r>
      <w:r w:rsidR="00ED09FC" w:rsidRPr="00711662">
        <w:rPr>
          <w:sz w:val="24"/>
          <w:szCs w:val="24"/>
          <w:lang w:val="fr-BE"/>
        </w:rPr>
        <w:t xml:space="preserve">(APCE) </w:t>
      </w:r>
      <w:r w:rsidR="6AB1C68A" w:rsidRPr="00711662">
        <w:rPr>
          <w:sz w:val="24"/>
          <w:szCs w:val="24"/>
          <w:lang w:val="fr-BE"/>
        </w:rPr>
        <w:t>pour avis</w:t>
      </w:r>
      <w:r w:rsidRPr="00711662">
        <w:rPr>
          <w:sz w:val="24"/>
          <w:szCs w:val="24"/>
          <w:lang w:val="fr-BE"/>
        </w:rPr>
        <w:t xml:space="preserve">. </w:t>
      </w:r>
      <w:r w:rsidR="06090F96" w:rsidRPr="00711662">
        <w:rPr>
          <w:sz w:val="24"/>
          <w:szCs w:val="24"/>
          <w:lang w:val="fr-BE"/>
        </w:rPr>
        <w:t xml:space="preserve">Le FEPH a engagé des partenaires de </w:t>
      </w:r>
      <w:r w:rsidR="2E760EE4" w:rsidRPr="00711662">
        <w:rPr>
          <w:sz w:val="24"/>
          <w:szCs w:val="24"/>
          <w:lang w:val="fr-BE"/>
        </w:rPr>
        <w:t xml:space="preserve">campagne </w:t>
      </w:r>
      <w:r w:rsidR="06090F96" w:rsidRPr="00711662">
        <w:rPr>
          <w:sz w:val="24"/>
          <w:szCs w:val="24"/>
          <w:lang w:val="fr-BE"/>
        </w:rPr>
        <w:t xml:space="preserve">pour cibler les membres de l'APCE afin de les inciter à émettre un avis négatif, tout en soutenant le projet de </w:t>
      </w:r>
      <w:r w:rsidR="6C094E52" w:rsidRPr="00711662">
        <w:rPr>
          <w:sz w:val="24"/>
          <w:szCs w:val="24"/>
          <w:lang w:val="fr-BE"/>
        </w:rPr>
        <w:t xml:space="preserve">Recommandation </w:t>
      </w:r>
      <w:r w:rsidR="06090F96" w:rsidRPr="00711662">
        <w:rPr>
          <w:sz w:val="24"/>
          <w:szCs w:val="24"/>
          <w:lang w:val="fr-BE"/>
        </w:rPr>
        <w:t xml:space="preserve">sur le respect de l'autonomie dans les </w:t>
      </w:r>
      <w:r w:rsidR="640A5606" w:rsidRPr="00711662">
        <w:rPr>
          <w:sz w:val="24"/>
          <w:szCs w:val="24"/>
          <w:lang w:val="fr-BE"/>
        </w:rPr>
        <w:t>soins de santé</w:t>
      </w:r>
      <w:r w:rsidR="06090F96" w:rsidRPr="00711662">
        <w:rPr>
          <w:sz w:val="24"/>
          <w:szCs w:val="24"/>
          <w:lang w:val="fr-BE"/>
        </w:rPr>
        <w:t xml:space="preserve"> mentale</w:t>
      </w:r>
      <w:r w:rsidR="640A5606" w:rsidRPr="00711662">
        <w:rPr>
          <w:sz w:val="24"/>
          <w:szCs w:val="24"/>
          <w:lang w:val="fr-BE"/>
        </w:rPr>
        <w:t xml:space="preserve">. </w:t>
      </w:r>
      <w:r w:rsidR="6E7729AC" w:rsidRPr="00711662">
        <w:rPr>
          <w:sz w:val="24"/>
          <w:szCs w:val="24"/>
          <w:lang w:val="fr-BE"/>
        </w:rPr>
        <w:t>Au moins 12 délégations nationales ont été contactées par l'intermédiaire des membres et partenaires du FEPH et de Santé Mentale Europe. Le Vice-président du FEPH</w:t>
      </w:r>
      <w:r w:rsidR="15A45CE2" w:rsidRPr="00711662">
        <w:rPr>
          <w:sz w:val="24"/>
          <w:szCs w:val="24"/>
          <w:lang w:val="fr-BE"/>
        </w:rPr>
        <w:t>, John Partick Clarke</w:t>
      </w:r>
      <w:r w:rsidR="29D12E9E" w:rsidRPr="00711662">
        <w:rPr>
          <w:sz w:val="24"/>
          <w:szCs w:val="24"/>
          <w:lang w:val="fr-BE"/>
        </w:rPr>
        <w:t xml:space="preserve">, a également </w:t>
      </w:r>
      <w:r w:rsidR="15A45CE2" w:rsidRPr="00711662">
        <w:rPr>
          <w:sz w:val="24"/>
          <w:szCs w:val="24"/>
          <w:lang w:val="fr-BE"/>
        </w:rPr>
        <w:t xml:space="preserve">été </w:t>
      </w:r>
      <w:r w:rsidR="29D12E9E" w:rsidRPr="00711662">
        <w:rPr>
          <w:sz w:val="24"/>
          <w:szCs w:val="24"/>
          <w:lang w:val="fr-BE"/>
        </w:rPr>
        <w:t xml:space="preserve">invité à présenter notre position à la Commission compétente de l'APCE le 16 mai 2025. </w:t>
      </w:r>
    </w:p>
    <w:p w14:paraId="2920CFDF" w14:textId="2C6135CA" w:rsidR="00265F0A" w:rsidRPr="00711662" w:rsidRDefault="29D12E9E" w:rsidP="59F76138">
      <w:pPr>
        <w:spacing w:line="360" w:lineRule="auto"/>
        <w:rPr>
          <w:sz w:val="24"/>
          <w:szCs w:val="24"/>
          <w:lang w:val="fr-BE"/>
        </w:rPr>
      </w:pPr>
      <w:r w:rsidRPr="00711662">
        <w:rPr>
          <w:sz w:val="24"/>
          <w:szCs w:val="24"/>
          <w:lang w:val="fr-BE"/>
        </w:rPr>
        <w:t xml:space="preserve">Le FEPH continue de soutenir les actions de sensibilisation des membres auprès des délégations nationales de l'APCE en vue de leur avis, qui devrait être rendu après juin 2025. </w:t>
      </w:r>
      <w:r w:rsidR="4EC60974" w:rsidRPr="00711662">
        <w:rPr>
          <w:sz w:val="24"/>
          <w:szCs w:val="24"/>
          <w:lang w:val="fr-BE"/>
        </w:rPr>
        <w:lastRenderedPageBreak/>
        <w:t xml:space="preserve">Après leur avis, </w:t>
      </w:r>
      <w:r w:rsidR="5C6E3CDD" w:rsidRPr="00711662">
        <w:rPr>
          <w:sz w:val="24"/>
          <w:szCs w:val="24"/>
          <w:lang w:val="fr-BE"/>
        </w:rPr>
        <w:t>le</w:t>
      </w:r>
      <w:r w:rsidR="4EC60974" w:rsidRPr="00711662">
        <w:rPr>
          <w:sz w:val="24"/>
          <w:szCs w:val="24"/>
          <w:lang w:val="fr-BE"/>
        </w:rPr>
        <w:t xml:space="preserve"> FEPH se concentrera à nouveau sur le </w:t>
      </w:r>
      <w:r w:rsidR="007F6A23" w:rsidRPr="00711662">
        <w:rPr>
          <w:sz w:val="24"/>
          <w:szCs w:val="24"/>
          <w:lang w:val="fr-BE"/>
        </w:rPr>
        <w:t xml:space="preserve">Comité des Ministres avant leur décision finale sur le Protocole. </w:t>
      </w:r>
    </w:p>
    <w:p w14:paraId="1AC40460" w14:textId="362EFBCF" w:rsidR="00265F0A" w:rsidRPr="00711662" w:rsidRDefault="00265F0A" w:rsidP="00265F0A">
      <w:pPr>
        <w:spacing w:line="360" w:lineRule="auto"/>
        <w:rPr>
          <w:sz w:val="24"/>
          <w:szCs w:val="24"/>
          <w:lang w:val="fr-BE"/>
        </w:rPr>
      </w:pPr>
      <w:r w:rsidRPr="00711662">
        <w:rPr>
          <w:sz w:val="24"/>
          <w:szCs w:val="24"/>
          <w:lang w:val="fr-BE"/>
        </w:rPr>
        <w:t xml:space="preserve"> Pour plus d'informations sur l'appel à l'action, consultez le </w:t>
      </w:r>
      <w:hyperlink r:id="rId73">
        <w:r w:rsidRPr="00711662">
          <w:rPr>
            <w:color w:val="0000FF"/>
            <w:sz w:val="24"/>
            <w:szCs w:val="24"/>
            <w:u w:val="single"/>
            <w:lang w:val="fr-BE"/>
          </w:rPr>
          <w:t>site de la campagne #WithdrawOviedo</w:t>
        </w:r>
      </w:hyperlink>
      <w:r w:rsidRPr="00711662">
        <w:rPr>
          <w:sz w:val="24"/>
          <w:szCs w:val="24"/>
          <w:lang w:val="fr-BE"/>
        </w:rPr>
        <w:t xml:space="preserve">. </w:t>
      </w:r>
    </w:p>
    <w:p w14:paraId="6CE89C7B" w14:textId="77777777" w:rsidR="00265F0A" w:rsidRPr="00711662" w:rsidRDefault="00265F0A" w:rsidP="00265F0A">
      <w:pPr>
        <w:spacing w:line="360" w:lineRule="auto"/>
        <w:rPr>
          <w:sz w:val="24"/>
          <w:szCs w:val="24"/>
          <w:lang w:val="fr-BE"/>
        </w:rPr>
      </w:pPr>
      <w:r w:rsidRPr="00711662">
        <w:rPr>
          <w:sz w:val="24"/>
          <w:szCs w:val="24"/>
          <w:lang w:val="fr-BE"/>
        </w:rPr>
        <w:t>Contact : Markaya.</w:t>
      </w:r>
    </w:p>
    <w:p w14:paraId="061A092E" w14:textId="39F86724" w:rsidR="1B877000" w:rsidRPr="00711662" w:rsidRDefault="00470817" w:rsidP="00470817">
      <w:pPr>
        <w:keepNext/>
        <w:keepLines/>
        <w:spacing w:before="200" w:after="0"/>
        <w:outlineLvl w:val="1"/>
        <w:rPr>
          <w:b/>
          <w:bCs/>
          <w:color w:val="0A77B3"/>
          <w:sz w:val="24"/>
          <w:szCs w:val="26"/>
          <w:lang w:val="fr-BE"/>
        </w:rPr>
      </w:pPr>
      <w:bookmarkStart w:id="103" w:name="_Toc199268295"/>
      <w:r w:rsidRPr="00711662">
        <w:rPr>
          <w:b/>
          <w:bCs/>
          <w:color w:val="0A77B3"/>
          <w:sz w:val="24"/>
          <w:szCs w:val="26"/>
          <w:lang w:val="fr-BE"/>
        </w:rPr>
        <w:t>Évaluation des</w:t>
      </w:r>
      <w:r w:rsidR="008D0DAE" w:rsidRPr="00711662">
        <w:rPr>
          <w:b/>
          <w:bCs/>
          <w:color w:val="0A77B3"/>
          <w:sz w:val="24"/>
          <w:szCs w:val="26"/>
          <w:lang w:val="fr-BE"/>
        </w:rPr>
        <w:t xml:space="preserve"> règlements de </w:t>
      </w:r>
      <w:r w:rsidRPr="00711662">
        <w:rPr>
          <w:b/>
          <w:bCs/>
          <w:color w:val="0A77B3"/>
          <w:sz w:val="24"/>
          <w:szCs w:val="26"/>
          <w:lang w:val="fr-BE"/>
        </w:rPr>
        <w:t xml:space="preserve">l'UE </w:t>
      </w:r>
      <w:r w:rsidR="008D0DAE" w:rsidRPr="00711662">
        <w:rPr>
          <w:b/>
          <w:bCs/>
          <w:color w:val="0A77B3"/>
          <w:sz w:val="24"/>
          <w:szCs w:val="26"/>
          <w:lang w:val="fr-BE"/>
        </w:rPr>
        <w:t xml:space="preserve">sur les </w:t>
      </w:r>
      <w:r w:rsidRPr="00711662">
        <w:rPr>
          <w:b/>
          <w:bCs/>
          <w:color w:val="0A77B3"/>
          <w:sz w:val="24"/>
          <w:szCs w:val="26"/>
          <w:lang w:val="fr-BE"/>
        </w:rPr>
        <w:t>dispositifs médicaux</w:t>
      </w:r>
      <w:bookmarkEnd w:id="103"/>
    </w:p>
    <w:p w14:paraId="02C27797" w14:textId="589980B9" w:rsidR="00470817" w:rsidRPr="00711662" w:rsidRDefault="008D0DAE" w:rsidP="00470817">
      <w:pPr>
        <w:spacing w:line="360" w:lineRule="auto"/>
        <w:rPr>
          <w:sz w:val="24"/>
          <w:szCs w:val="24"/>
          <w:lang w:val="fr-BE"/>
        </w:rPr>
      </w:pPr>
      <w:r w:rsidRPr="00711662">
        <w:rPr>
          <w:sz w:val="24"/>
          <w:szCs w:val="24"/>
          <w:lang w:val="fr-BE"/>
        </w:rPr>
        <w:t xml:space="preserve">Les règlements </w:t>
      </w:r>
      <w:hyperlink r:id="rId74" w:history="1">
        <w:r w:rsidRPr="00711662">
          <w:rPr>
            <w:rStyle w:val="Hyperlink"/>
            <w:sz w:val="24"/>
            <w:szCs w:val="24"/>
            <w:lang w:val="fr-BE"/>
          </w:rPr>
          <w:t xml:space="preserve">2017/745 </w:t>
        </w:r>
      </w:hyperlink>
      <w:r w:rsidRPr="00711662">
        <w:rPr>
          <w:sz w:val="24"/>
          <w:szCs w:val="24"/>
          <w:lang w:val="fr-BE"/>
        </w:rPr>
        <w:t xml:space="preserve">et </w:t>
      </w:r>
      <w:hyperlink r:id="rId75" w:history="1">
        <w:r w:rsidRPr="00711662">
          <w:rPr>
            <w:rStyle w:val="Hyperlink"/>
            <w:sz w:val="24"/>
            <w:szCs w:val="24"/>
            <w:lang w:val="fr-BE"/>
          </w:rPr>
          <w:t xml:space="preserve">2017/746 </w:t>
        </w:r>
      </w:hyperlink>
      <w:r w:rsidRPr="00711662">
        <w:rPr>
          <w:sz w:val="24"/>
          <w:szCs w:val="24"/>
          <w:lang w:val="fr-BE"/>
        </w:rPr>
        <w:t xml:space="preserve">relatifs aux dispositifs médicaux et aux diagnostics in vitro visent à garantir la disponibilité de dispositifs sûrs et efficaces. À la suite de difficultés de mise en œuvre </w:t>
      </w:r>
      <w:r w:rsidR="00B57477" w:rsidRPr="00711662">
        <w:rPr>
          <w:sz w:val="24"/>
          <w:szCs w:val="24"/>
          <w:lang w:val="fr-BE"/>
        </w:rPr>
        <w:t>liées à la certification des dispositifs</w:t>
      </w:r>
      <w:r w:rsidRPr="00711662">
        <w:rPr>
          <w:sz w:val="24"/>
          <w:szCs w:val="24"/>
          <w:lang w:val="fr-BE"/>
        </w:rPr>
        <w:t xml:space="preserve">, la Commission a lancé </w:t>
      </w:r>
      <w:r w:rsidR="00470817" w:rsidRPr="00711662">
        <w:rPr>
          <w:sz w:val="24"/>
          <w:szCs w:val="24"/>
          <w:lang w:val="fr-BE"/>
        </w:rPr>
        <w:t xml:space="preserve">une consultation publique et un appel à contribution </w:t>
      </w:r>
      <w:r w:rsidRPr="00711662">
        <w:rPr>
          <w:sz w:val="24"/>
          <w:szCs w:val="24"/>
          <w:lang w:val="fr-BE"/>
        </w:rPr>
        <w:t>en décembre 2024, afin d'évaluer les règlements. Le FEPH a saisi cette occasion pour souligner les problèmes d'accessibilité qui ont un impact sur l'accès aux services de santé et sur l'utilisation sûre des dispositifs médicaux pour les personnes handicapées. Les contributions du FEPH ont reconnu que les règlements ne prennent pas actuellement en compte les besoins des personnes handicapées, avec des normes et/ou des exigences pour les fabricants en matière d'accessibilité et d'adaptabilité, et ont plaidé en faveur de nouvelles normes. Nous avons présenté des preuves de bonnes pratiques dans les recommandations de l'Access Board des États-Unis sur les normes d'accessibilité pour les équipements de diagnostic destinés aux adultes handicapés.</w:t>
      </w:r>
    </w:p>
    <w:p w14:paraId="063B9E4C" w14:textId="27295D30" w:rsidR="008D0DAE" w:rsidRPr="00711662" w:rsidRDefault="008D0DAE" w:rsidP="00470817">
      <w:pPr>
        <w:spacing w:line="360" w:lineRule="auto"/>
        <w:rPr>
          <w:sz w:val="24"/>
          <w:szCs w:val="24"/>
          <w:lang w:val="fr-BE"/>
        </w:rPr>
      </w:pPr>
      <w:r w:rsidRPr="00711662">
        <w:rPr>
          <w:sz w:val="24"/>
          <w:szCs w:val="24"/>
          <w:lang w:val="fr-BE"/>
        </w:rPr>
        <w:t xml:space="preserve">L'adoption du rapport de consultation par la Commission est prévue pour le quatrième trimestre 2025. </w:t>
      </w:r>
    </w:p>
    <w:p w14:paraId="11B53810" w14:textId="00637B67" w:rsidR="008D0DAE" w:rsidRPr="00711662" w:rsidRDefault="008D0DAE" w:rsidP="00470817">
      <w:pPr>
        <w:spacing w:line="360" w:lineRule="auto"/>
        <w:rPr>
          <w:sz w:val="24"/>
          <w:szCs w:val="24"/>
          <w:lang w:val="fr-BE"/>
        </w:rPr>
      </w:pPr>
      <w:r w:rsidRPr="00711662">
        <w:rPr>
          <w:sz w:val="24"/>
          <w:szCs w:val="24"/>
          <w:lang w:val="fr-BE"/>
        </w:rPr>
        <w:t xml:space="preserve">Contact : Markaya. </w:t>
      </w:r>
    </w:p>
    <w:p w14:paraId="32C81112" w14:textId="77777777" w:rsidR="00265F0A" w:rsidRPr="00711662" w:rsidRDefault="00265F0A" w:rsidP="00265F0A">
      <w:pPr>
        <w:keepNext/>
        <w:keepLines/>
        <w:spacing w:before="480" w:after="0"/>
        <w:outlineLvl w:val="0"/>
        <w:rPr>
          <w:b/>
          <w:bCs/>
          <w:color w:val="0A77B3"/>
          <w:sz w:val="28"/>
          <w:szCs w:val="28"/>
          <w:lang w:val="fr-BE"/>
        </w:rPr>
      </w:pPr>
      <w:bookmarkStart w:id="104" w:name="_Toc179464894"/>
      <w:bookmarkStart w:id="105" w:name="_Toc180402144"/>
      <w:bookmarkStart w:id="106" w:name="_Toc199268296"/>
      <w:r w:rsidRPr="00711662">
        <w:rPr>
          <w:b/>
          <w:bCs/>
          <w:color w:val="0A77B3"/>
          <w:sz w:val="28"/>
          <w:szCs w:val="28"/>
          <w:lang w:val="fr-BE"/>
        </w:rPr>
        <w:t>Coopération internationale et action humanitaire</w:t>
      </w:r>
      <w:bookmarkEnd w:id="104"/>
      <w:bookmarkEnd w:id="105"/>
      <w:bookmarkEnd w:id="106"/>
    </w:p>
    <w:p w14:paraId="160C398E" w14:textId="5B400A17" w:rsidR="25F45419" w:rsidRPr="00711662" w:rsidRDefault="25F45419" w:rsidP="40341A72">
      <w:pPr>
        <w:pStyle w:val="Heading2"/>
        <w:rPr>
          <w:rFonts w:cs="Arial"/>
          <w:szCs w:val="24"/>
          <w:lang w:val="fr-BE"/>
        </w:rPr>
      </w:pPr>
      <w:bookmarkStart w:id="107" w:name="_Toc199268297"/>
      <w:r w:rsidRPr="00711662">
        <w:rPr>
          <w:lang w:val="fr-BE"/>
        </w:rPr>
        <w:t>Action pour le climat</w:t>
      </w:r>
      <w:bookmarkEnd w:id="107"/>
    </w:p>
    <w:p w14:paraId="5458C469" w14:textId="2C06E324" w:rsidR="25F45419" w:rsidRPr="00711662" w:rsidRDefault="25F45419" w:rsidP="40341A72">
      <w:pPr>
        <w:spacing w:line="360" w:lineRule="auto"/>
        <w:rPr>
          <w:lang w:val="fr-BE"/>
        </w:rPr>
      </w:pPr>
      <w:r w:rsidRPr="00711662">
        <w:rPr>
          <w:rFonts w:cs="Arial"/>
          <w:sz w:val="24"/>
          <w:szCs w:val="24"/>
          <w:lang w:val="fr-BE"/>
        </w:rPr>
        <w:t xml:space="preserve">En 2024, le FEPH a pris la tête du mouvement mondial des personnes handicapées lors du </w:t>
      </w:r>
      <w:hyperlink r:id="rId76">
        <w:r w:rsidRPr="00711662">
          <w:rPr>
            <w:rStyle w:val="Hyperlink"/>
            <w:rFonts w:cs="Arial"/>
            <w:sz w:val="24"/>
            <w:szCs w:val="24"/>
            <w:lang w:val="fr-BE"/>
          </w:rPr>
          <w:t>sommet international sur le climat à Bakou</w:t>
        </w:r>
      </w:hyperlink>
      <w:r w:rsidRPr="00711662">
        <w:rPr>
          <w:rFonts w:cs="Arial"/>
          <w:sz w:val="24"/>
          <w:szCs w:val="24"/>
          <w:lang w:val="fr-BE"/>
        </w:rPr>
        <w:t xml:space="preserve">, en Azerbaïdjan. En préparation, le FEPH a publié une </w:t>
      </w:r>
      <w:hyperlink r:id="rId77">
        <w:r w:rsidRPr="00711662">
          <w:rPr>
            <w:rStyle w:val="Hyperlink"/>
            <w:rFonts w:cs="Arial"/>
            <w:sz w:val="24"/>
            <w:szCs w:val="24"/>
            <w:lang w:val="fr-BE"/>
          </w:rPr>
          <w:t xml:space="preserve">cartographie de l'inclusion du handicap </w:t>
        </w:r>
      </w:hyperlink>
      <w:r w:rsidRPr="00711662">
        <w:rPr>
          <w:rFonts w:cs="Arial"/>
          <w:sz w:val="24"/>
          <w:szCs w:val="24"/>
          <w:lang w:val="fr-BE"/>
        </w:rPr>
        <w:t xml:space="preserve">dans la politique climatique en Europe et en Asie centrale et a dirigé le développement de la note politique du caucus international des personnes handicapées sur le sujet. L'une des principales demandes de plaidoyer est la reconnaissance de ce caucus en tant que groupe officiel de personnes handicapées au sein </w:t>
      </w:r>
      <w:r w:rsidRPr="00711662">
        <w:rPr>
          <w:rFonts w:cs="Arial"/>
          <w:sz w:val="24"/>
          <w:szCs w:val="24"/>
          <w:lang w:val="fr-BE"/>
        </w:rPr>
        <w:lastRenderedPageBreak/>
        <w:t>du mécanisme climatique de l'ONU. Cet objectif n'a pas encore été atteint, mais le FEPH continuera d'en faire une priorité en 2025.</w:t>
      </w:r>
    </w:p>
    <w:p w14:paraId="71837FF9" w14:textId="5EBE27BD" w:rsidR="25F45419" w:rsidRPr="00711662" w:rsidRDefault="25F45419" w:rsidP="40341A72">
      <w:pPr>
        <w:spacing w:line="360" w:lineRule="auto"/>
        <w:rPr>
          <w:rFonts w:eastAsia="Arial" w:cs="Arial"/>
          <w:sz w:val="24"/>
          <w:szCs w:val="24"/>
          <w:lang w:val="fr-BE"/>
        </w:rPr>
      </w:pPr>
      <w:r w:rsidRPr="00711662">
        <w:rPr>
          <w:rFonts w:cs="Arial"/>
          <w:sz w:val="24"/>
          <w:szCs w:val="24"/>
          <w:lang w:val="fr-BE"/>
        </w:rPr>
        <w:t xml:space="preserve">En 2025, le FEPH a rencontré le cabinet du Commissaire au Climat Wopke Hoekstra, notre première interaction avec ce Commissaire. Le résultat principal est que nous avons maintenant un contact direct avec le </w:t>
      </w:r>
      <w:r w:rsidRPr="00711662">
        <w:rPr>
          <w:rFonts w:eastAsia="Arial" w:cs="Arial"/>
          <w:sz w:val="24"/>
          <w:szCs w:val="24"/>
          <w:lang w:val="fr-BE"/>
        </w:rPr>
        <w:t xml:space="preserve">département de la Commission européenne responsable du développement et de la mise en œuvre des politiques climatiques de l'UE (DG CLIMA). Le FEPH s'est également exprimé lors d'un </w:t>
      </w:r>
      <w:hyperlink r:id="rId78">
        <w:r w:rsidRPr="00711662">
          <w:rPr>
            <w:rStyle w:val="Hyperlink"/>
            <w:rFonts w:eastAsia="Arial" w:cs="Arial"/>
            <w:sz w:val="24"/>
            <w:szCs w:val="24"/>
            <w:lang w:val="fr-BE"/>
          </w:rPr>
          <w:t>événement du Parlement européen sur la transition juste</w:t>
        </w:r>
      </w:hyperlink>
      <w:r w:rsidRPr="00711662">
        <w:rPr>
          <w:rFonts w:eastAsia="Arial" w:cs="Arial"/>
          <w:sz w:val="24"/>
          <w:szCs w:val="24"/>
          <w:lang w:val="fr-BE"/>
        </w:rPr>
        <w:t>, appelant à l'inclusion des personnes handicapées dans le cadre de la transition vers une économie verte.</w:t>
      </w:r>
    </w:p>
    <w:p w14:paraId="3A35BB8E" w14:textId="1F45798F" w:rsidR="54D1F877" w:rsidRPr="00711662" w:rsidRDefault="54D1F877" w:rsidP="124EBE3E">
      <w:pPr>
        <w:spacing w:after="160" w:line="360" w:lineRule="auto"/>
        <w:rPr>
          <w:rFonts w:eastAsia="Arial" w:cs="Arial"/>
          <w:sz w:val="24"/>
          <w:szCs w:val="24"/>
          <w:lang w:val="fr-BE"/>
        </w:rPr>
      </w:pPr>
      <w:r w:rsidRPr="00711662">
        <w:rPr>
          <w:rFonts w:eastAsia="Arial" w:cs="Arial"/>
          <w:sz w:val="24"/>
          <w:szCs w:val="24"/>
          <w:lang w:val="fr-BE"/>
        </w:rPr>
        <w:t xml:space="preserve">Le FEPH a soutenu ce </w:t>
      </w:r>
      <w:hyperlink r:id="rId79">
        <w:r w:rsidRPr="00711662">
          <w:rPr>
            <w:rStyle w:val="Hyperlink"/>
            <w:rFonts w:eastAsia="Arial" w:cs="Arial"/>
            <w:color w:val="467886"/>
            <w:sz w:val="24"/>
            <w:szCs w:val="24"/>
            <w:lang w:val="fr-BE"/>
          </w:rPr>
          <w:t>document d'orientation commun sur le financement de l'action climatique</w:t>
        </w:r>
      </w:hyperlink>
      <w:r w:rsidRPr="00711662">
        <w:rPr>
          <w:rFonts w:eastAsia="Arial" w:cs="Arial"/>
          <w:sz w:val="24"/>
          <w:szCs w:val="24"/>
          <w:lang w:val="fr-BE"/>
        </w:rPr>
        <w:t xml:space="preserve">, appelant à ce que la qualité et les droits de l'homme ne soient pas compromis lorsque le Fonds pour les pertes et dommages liés au changement climatique entrera en action. Le handicap est maintenant également mentionné à plusieurs reprises dans le </w:t>
      </w:r>
      <w:hyperlink r:id="rId80">
        <w:r w:rsidRPr="00711662">
          <w:rPr>
            <w:rStyle w:val="Hyperlink"/>
            <w:rFonts w:eastAsia="Arial" w:cs="Arial"/>
            <w:color w:val="467886"/>
            <w:sz w:val="24"/>
            <w:szCs w:val="24"/>
            <w:lang w:val="fr-BE"/>
          </w:rPr>
          <w:t xml:space="preserve">document des messages clés sur les pertes et dommages </w:t>
        </w:r>
      </w:hyperlink>
      <w:r w:rsidRPr="00711662">
        <w:rPr>
          <w:rFonts w:eastAsia="Arial" w:cs="Arial"/>
          <w:sz w:val="24"/>
          <w:szCs w:val="24"/>
          <w:lang w:val="fr-BE"/>
        </w:rPr>
        <w:t xml:space="preserve">pour les Nations Unies et la communauté climatique internationale.  </w:t>
      </w:r>
    </w:p>
    <w:p w14:paraId="46A8C3DD" w14:textId="3290757D" w:rsidR="002ED666" w:rsidRPr="00711662" w:rsidRDefault="002ED666" w:rsidP="40341A72">
      <w:pPr>
        <w:spacing w:line="360" w:lineRule="auto"/>
        <w:rPr>
          <w:rFonts w:cs="Arial"/>
          <w:sz w:val="24"/>
          <w:szCs w:val="24"/>
          <w:lang w:val="fr-BE"/>
        </w:rPr>
      </w:pPr>
      <w:r w:rsidRPr="00711662">
        <w:rPr>
          <w:rFonts w:cs="Arial"/>
          <w:sz w:val="24"/>
          <w:szCs w:val="24"/>
          <w:lang w:val="fr-BE"/>
        </w:rPr>
        <w:t>Contact : Gordon</w:t>
      </w:r>
    </w:p>
    <w:p w14:paraId="1C347D99" w14:textId="6BFDA5E2" w:rsidR="4E71D857" w:rsidRPr="00711662" w:rsidRDefault="4E71D857" w:rsidP="40341A72">
      <w:pPr>
        <w:pStyle w:val="Heading2"/>
        <w:rPr>
          <w:rFonts w:cs="Arial"/>
          <w:szCs w:val="24"/>
          <w:lang w:val="fr-BE"/>
        </w:rPr>
      </w:pPr>
      <w:bookmarkStart w:id="108" w:name="_Toc199268298"/>
      <w:r w:rsidRPr="00711662">
        <w:rPr>
          <w:lang w:val="fr-BE"/>
        </w:rPr>
        <w:t>Action humanitaire et protection civile</w:t>
      </w:r>
      <w:bookmarkEnd w:id="108"/>
    </w:p>
    <w:p w14:paraId="62BB0D39" w14:textId="74F86B01" w:rsidR="4E71D857" w:rsidRPr="00711662" w:rsidRDefault="4E71D857" w:rsidP="124EBE3E">
      <w:pPr>
        <w:spacing w:line="360" w:lineRule="auto"/>
        <w:rPr>
          <w:rFonts w:cs="Arial"/>
          <w:sz w:val="24"/>
          <w:szCs w:val="24"/>
          <w:lang w:val="fr-BE"/>
        </w:rPr>
      </w:pPr>
      <w:hyperlink r:id="rId81">
        <w:r w:rsidRPr="00711662">
          <w:rPr>
            <w:rStyle w:val="Hyperlink"/>
            <w:rFonts w:cs="Arial"/>
            <w:sz w:val="24"/>
            <w:szCs w:val="24"/>
            <w:lang w:val="fr-BE"/>
          </w:rPr>
          <w:t xml:space="preserve">La stratégie de l'Union européenne en matière de préparation </w:t>
        </w:r>
      </w:hyperlink>
      <w:r w:rsidRPr="00711662">
        <w:rPr>
          <w:rFonts w:cs="Arial"/>
          <w:sz w:val="24"/>
          <w:szCs w:val="24"/>
          <w:lang w:val="fr-BE"/>
        </w:rPr>
        <w:t>a été publiée en mars.  Le handicap est mentionné à deux reprises dans le document de communication.  Plus important encore, l'action 33 de la stratégie consiste à élaborer des lignes directrices sur les interventions d'urgence intégrant le handicap, y compris la formation des premiers intervenants.</w:t>
      </w:r>
    </w:p>
    <w:p w14:paraId="298F18DC" w14:textId="154BE51B" w:rsidR="4E71D857" w:rsidRPr="00711662" w:rsidRDefault="4E71D857" w:rsidP="124EBE3E">
      <w:pPr>
        <w:spacing w:line="360" w:lineRule="auto"/>
        <w:rPr>
          <w:rFonts w:cs="Arial"/>
          <w:sz w:val="24"/>
          <w:szCs w:val="24"/>
          <w:lang w:val="fr-BE"/>
        </w:rPr>
      </w:pPr>
      <w:r w:rsidRPr="00711662">
        <w:rPr>
          <w:rFonts w:cs="Arial"/>
          <w:sz w:val="24"/>
          <w:szCs w:val="24"/>
          <w:lang w:val="fr-BE"/>
        </w:rPr>
        <w:t>La direction de la Commission européenne pour les urgences humanitaires (DG ECHO) développe une formation à la communication sur les risques de catastrophes. Le FEPH et la Chambre estonienne des personnes handicapées ont participé au premier atelier de développement de cette formation. Le FEPH et la Fédération suédoise des droits des personnes handicapées ont également fourni un retour d'information sur les recommandations concernant les personnes les plus exposées en cas d'urgence</w:t>
      </w:r>
      <w:r w:rsidR="55DC1126" w:rsidRPr="00711662">
        <w:rPr>
          <w:rFonts w:cs="Arial"/>
          <w:sz w:val="24"/>
          <w:szCs w:val="24"/>
          <w:lang w:val="fr-BE"/>
        </w:rPr>
        <w:t xml:space="preserve">. Ces deux actions font </w:t>
      </w:r>
      <w:r w:rsidRPr="00711662">
        <w:rPr>
          <w:rFonts w:cs="Arial"/>
          <w:sz w:val="24"/>
          <w:szCs w:val="24"/>
          <w:lang w:val="fr-BE"/>
        </w:rPr>
        <w:t xml:space="preserve">partie du </w:t>
      </w:r>
      <w:hyperlink r:id="rId82">
        <w:r w:rsidRPr="00711662">
          <w:rPr>
            <w:rStyle w:val="Hyperlink"/>
            <w:rFonts w:cs="Arial"/>
            <w:sz w:val="24"/>
            <w:szCs w:val="24"/>
            <w:lang w:val="fr-BE"/>
          </w:rPr>
          <w:t>projet PreparEU</w:t>
        </w:r>
      </w:hyperlink>
      <w:r w:rsidRPr="00711662">
        <w:rPr>
          <w:rFonts w:cs="Arial"/>
          <w:sz w:val="24"/>
          <w:szCs w:val="24"/>
          <w:lang w:val="fr-BE"/>
        </w:rPr>
        <w:t xml:space="preserve">. </w:t>
      </w:r>
      <w:r w:rsidR="3B526770" w:rsidRPr="00711662">
        <w:rPr>
          <w:rFonts w:cs="Arial"/>
          <w:sz w:val="24"/>
          <w:szCs w:val="24"/>
          <w:lang w:val="fr-BE"/>
        </w:rPr>
        <w:t xml:space="preserve">Le FEPH est également intervenu lors d'une </w:t>
      </w:r>
      <w:hyperlink r:id="rId83">
        <w:r w:rsidR="3B526770" w:rsidRPr="00711662">
          <w:rPr>
            <w:rStyle w:val="Hyperlink"/>
            <w:rFonts w:cs="Arial"/>
            <w:sz w:val="24"/>
            <w:szCs w:val="24"/>
            <w:lang w:val="fr-BE"/>
          </w:rPr>
          <w:t xml:space="preserve">formation sur la préparation aux situations d'urgence </w:t>
        </w:r>
      </w:hyperlink>
      <w:r w:rsidR="3B526770" w:rsidRPr="00711662">
        <w:rPr>
          <w:rFonts w:cs="Arial"/>
          <w:sz w:val="24"/>
          <w:szCs w:val="24"/>
          <w:lang w:val="fr-BE"/>
        </w:rPr>
        <w:t xml:space="preserve">pour le personnel et les partenaires de la </w:t>
      </w:r>
      <w:r w:rsidR="3B526770" w:rsidRPr="00711662">
        <w:rPr>
          <w:rFonts w:cs="Arial"/>
          <w:sz w:val="24"/>
          <w:szCs w:val="24"/>
          <w:lang w:val="fr-BE"/>
        </w:rPr>
        <w:lastRenderedPageBreak/>
        <w:t>Commission européenne en présentant des exemples de bonnes pratiques de ses membres en Lettonie, en Lituanie, en Espagne et aux Pays-Bas.</w:t>
      </w:r>
    </w:p>
    <w:p w14:paraId="5AC6DC72" w14:textId="33C7AED1" w:rsidR="4E71D857" w:rsidRPr="00711662" w:rsidRDefault="4E71D857" w:rsidP="40341A72">
      <w:pPr>
        <w:spacing w:line="360" w:lineRule="auto"/>
        <w:rPr>
          <w:rFonts w:cs="Arial"/>
          <w:sz w:val="24"/>
          <w:szCs w:val="24"/>
          <w:lang w:val="fr-BE"/>
        </w:rPr>
      </w:pPr>
      <w:r w:rsidRPr="00711662">
        <w:rPr>
          <w:rFonts w:cs="Arial"/>
          <w:sz w:val="24"/>
          <w:szCs w:val="24"/>
          <w:lang w:val="fr-BE"/>
        </w:rPr>
        <w:t xml:space="preserve">Contact : Gordon  </w:t>
      </w:r>
    </w:p>
    <w:p w14:paraId="193E9065" w14:textId="77777777" w:rsidR="00265F0A" w:rsidRPr="00711662" w:rsidRDefault="00265F0A" w:rsidP="00265F0A">
      <w:pPr>
        <w:keepNext/>
        <w:keepLines/>
        <w:spacing w:before="200" w:after="240"/>
        <w:outlineLvl w:val="1"/>
        <w:rPr>
          <w:b/>
          <w:bCs/>
          <w:color w:val="0A77B3"/>
          <w:sz w:val="24"/>
          <w:szCs w:val="26"/>
          <w:lang w:val="fr-BE"/>
        </w:rPr>
      </w:pPr>
      <w:bookmarkStart w:id="109" w:name="_Toc180402146"/>
      <w:bookmarkStart w:id="110" w:name="_Toc199268299"/>
      <w:r w:rsidRPr="00711662">
        <w:rPr>
          <w:b/>
          <w:bCs/>
          <w:color w:val="0A77B3"/>
          <w:sz w:val="24"/>
          <w:szCs w:val="26"/>
          <w:lang w:val="fr-BE"/>
        </w:rPr>
        <w:t>Paquet élargissement de l'UE</w:t>
      </w:r>
      <w:bookmarkEnd w:id="109"/>
      <w:bookmarkEnd w:id="110"/>
    </w:p>
    <w:p w14:paraId="10363B60" w14:textId="77777777" w:rsidR="00265F0A" w:rsidRPr="00711662" w:rsidRDefault="00265F0A" w:rsidP="124EBE3E">
      <w:pPr>
        <w:spacing w:line="360" w:lineRule="auto"/>
        <w:rPr>
          <w:rFonts w:cs="Arial"/>
          <w:sz w:val="24"/>
          <w:szCs w:val="24"/>
          <w:lang w:val="fr-BE"/>
        </w:rPr>
      </w:pPr>
      <w:r w:rsidRPr="00711662">
        <w:rPr>
          <w:rFonts w:cs="Arial"/>
          <w:sz w:val="24"/>
          <w:szCs w:val="24"/>
          <w:lang w:val="fr-BE"/>
        </w:rPr>
        <w:t>Chaque année, la Commission européenne adopte son "paquet élargissement", un document stratégique sur la politique d'élargissement de l'UE et une série de rapports sur les progrès réalisés par les pays candidats et les candidats potentiels.</w:t>
      </w:r>
    </w:p>
    <w:p w14:paraId="0B908CB2" w14:textId="77777777" w:rsidR="00265F0A" w:rsidRPr="00711662" w:rsidRDefault="00265F0A" w:rsidP="00265F0A">
      <w:pPr>
        <w:spacing w:line="360" w:lineRule="auto"/>
        <w:rPr>
          <w:rFonts w:cs="Arial"/>
          <w:sz w:val="24"/>
          <w:szCs w:val="24"/>
          <w:lang w:val="fr-BE"/>
        </w:rPr>
      </w:pPr>
      <w:r w:rsidRPr="00711662">
        <w:rPr>
          <w:rFonts w:cs="Arial"/>
          <w:sz w:val="24"/>
          <w:szCs w:val="24"/>
          <w:lang w:val="fr-BE"/>
        </w:rPr>
        <w:t>Dans le paquet Élargissement 2023</w:t>
      </w:r>
      <w:r w:rsidRPr="00711662">
        <w:rPr>
          <w:rFonts w:cs="Arial"/>
          <w:b/>
          <w:bCs/>
          <w:sz w:val="24"/>
          <w:szCs w:val="24"/>
          <w:lang w:val="fr-BE"/>
        </w:rPr>
        <w:t xml:space="preserve">, </w:t>
      </w:r>
      <w:r w:rsidRPr="00711662">
        <w:rPr>
          <w:rFonts w:cs="Arial"/>
          <w:sz w:val="24"/>
          <w:szCs w:val="24"/>
          <w:lang w:val="fr-BE"/>
        </w:rPr>
        <w:t>la Commission a recommandé d'ouvrir les négociations d'adhésion avec l'Ukraine et la Moldavie, et d'accorder le statut de candidat à la Géorgie, à condition que celle-ci respecte certaines étapes.</w:t>
      </w:r>
    </w:p>
    <w:p w14:paraId="437252B1" w14:textId="7F7434FD" w:rsidR="00265F0A" w:rsidRPr="00711662" w:rsidRDefault="00265F0A" w:rsidP="124EBE3E">
      <w:pPr>
        <w:spacing w:line="360" w:lineRule="auto"/>
        <w:rPr>
          <w:rFonts w:cs="Arial"/>
          <w:sz w:val="24"/>
          <w:szCs w:val="24"/>
          <w:lang w:val="fr-BE"/>
        </w:rPr>
      </w:pPr>
      <w:r w:rsidRPr="00711662">
        <w:rPr>
          <w:rFonts w:cs="Arial"/>
          <w:sz w:val="24"/>
          <w:szCs w:val="24"/>
          <w:lang w:val="fr-BE"/>
        </w:rPr>
        <w:t>Le FEPH a participé aux consultations pour les paquets d'élargissement 2023</w:t>
      </w:r>
      <w:r w:rsidR="6A11648B" w:rsidRPr="00711662">
        <w:rPr>
          <w:rFonts w:cs="Arial"/>
          <w:sz w:val="24"/>
          <w:szCs w:val="24"/>
          <w:lang w:val="fr-BE"/>
        </w:rPr>
        <w:t xml:space="preserve">, </w:t>
      </w:r>
      <w:r w:rsidRPr="00711662">
        <w:rPr>
          <w:rFonts w:cs="Arial"/>
          <w:sz w:val="24"/>
          <w:szCs w:val="24"/>
          <w:lang w:val="fr-BE"/>
        </w:rPr>
        <w:t xml:space="preserve">2024 </w:t>
      </w:r>
      <w:r w:rsidR="071F122A" w:rsidRPr="00711662">
        <w:rPr>
          <w:rFonts w:cs="Arial"/>
          <w:sz w:val="24"/>
          <w:szCs w:val="24"/>
          <w:lang w:val="fr-BE"/>
        </w:rPr>
        <w:t xml:space="preserve">et 2025 </w:t>
      </w:r>
      <w:r w:rsidRPr="00711662">
        <w:rPr>
          <w:rFonts w:cs="Arial"/>
          <w:sz w:val="24"/>
          <w:szCs w:val="24"/>
          <w:lang w:val="fr-BE"/>
        </w:rPr>
        <w:t xml:space="preserve">et a fourni des contributions, avec nos membres et partenaires en Ukraine, en Moldavie et en Géorgie. Le paquet élargissement </w:t>
      </w:r>
      <w:r w:rsidR="21D4068D" w:rsidRPr="00711662">
        <w:rPr>
          <w:rFonts w:cs="Arial"/>
          <w:sz w:val="24"/>
          <w:szCs w:val="24"/>
          <w:lang w:val="fr-BE"/>
        </w:rPr>
        <w:t xml:space="preserve">2025 </w:t>
      </w:r>
      <w:r w:rsidRPr="00711662">
        <w:rPr>
          <w:rFonts w:cs="Arial"/>
          <w:sz w:val="24"/>
          <w:szCs w:val="24"/>
          <w:lang w:val="fr-BE"/>
        </w:rPr>
        <w:t xml:space="preserve">devrait être publié en novembre. </w:t>
      </w:r>
    </w:p>
    <w:p w14:paraId="13DB3BD3" w14:textId="5B799629" w:rsidR="00265F0A" w:rsidRPr="00711662" w:rsidRDefault="00F34501" w:rsidP="124EBE3E">
      <w:pPr>
        <w:spacing w:line="360" w:lineRule="auto"/>
        <w:rPr>
          <w:rFonts w:cs="Arial"/>
          <w:sz w:val="24"/>
          <w:szCs w:val="24"/>
          <w:lang w:val="fr-BE"/>
        </w:rPr>
      </w:pPr>
      <w:r w:rsidRPr="00711662">
        <w:rPr>
          <w:rFonts w:cs="Arial"/>
          <w:sz w:val="24"/>
          <w:szCs w:val="24"/>
          <w:lang w:val="fr-BE"/>
        </w:rPr>
        <w:t>Le</w:t>
      </w:r>
      <w:r w:rsidR="00265F0A" w:rsidRPr="00711662">
        <w:rPr>
          <w:rFonts w:cs="Arial"/>
          <w:sz w:val="24"/>
          <w:szCs w:val="24"/>
          <w:lang w:val="fr-BE"/>
        </w:rPr>
        <w:t xml:space="preserve"> FEPH a préparé une </w:t>
      </w:r>
      <w:hyperlink r:id="rId84" w:history="1">
        <w:r w:rsidR="00265F0A" w:rsidRPr="00711662">
          <w:rPr>
            <w:rStyle w:val="Hyperlink"/>
            <w:rFonts w:cs="Arial"/>
            <w:sz w:val="24"/>
            <w:szCs w:val="24"/>
            <w:lang w:val="fr-BE"/>
          </w:rPr>
          <w:t>boîte à outils pour guider les organisations de personnes handicapées dans le processus d'adhésion à l'UE.</w:t>
        </w:r>
      </w:hyperlink>
    </w:p>
    <w:p w14:paraId="5C92DA3A" w14:textId="4BAC0C59" w:rsidR="00265F0A" w:rsidRPr="00711662" w:rsidRDefault="00265F0A" w:rsidP="00265F0A">
      <w:pPr>
        <w:spacing w:line="360" w:lineRule="auto"/>
        <w:rPr>
          <w:rFonts w:cs="Arial"/>
          <w:sz w:val="24"/>
          <w:szCs w:val="24"/>
          <w:lang w:val="fr-BE"/>
        </w:rPr>
      </w:pPr>
      <w:r w:rsidRPr="00711662">
        <w:rPr>
          <w:rFonts w:cs="Arial"/>
          <w:sz w:val="24"/>
          <w:szCs w:val="24"/>
          <w:lang w:val="fr-BE"/>
        </w:rPr>
        <w:t xml:space="preserve">Contact : </w:t>
      </w:r>
      <w:r w:rsidR="001E09CC" w:rsidRPr="00711662">
        <w:rPr>
          <w:rFonts w:cs="Arial"/>
          <w:sz w:val="24"/>
          <w:szCs w:val="24"/>
          <w:lang w:val="fr-BE"/>
        </w:rPr>
        <w:t>Mariya</w:t>
      </w:r>
      <w:r w:rsidRPr="00711662">
        <w:rPr>
          <w:rFonts w:cs="Arial"/>
          <w:sz w:val="24"/>
          <w:szCs w:val="24"/>
          <w:lang w:val="fr-BE"/>
        </w:rPr>
        <w:t>.</w:t>
      </w:r>
    </w:p>
    <w:p w14:paraId="08CAD557" w14:textId="77777777" w:rsidR="00265F0A" w:rsidRPr="00711662" w:rsidRDefault="00265F0A" w:rsidP="00265F0A">
      <w:pPr>
        <w:keepNext/>
        <w:keepLines/>
        <w:spacing w:before="200" w:after="240"/>
        <w:outlineLvl w:val="1"/>
        <w:rPr>
          <w:b/>
          <w:bCs/>
          <w:color w:val="0A77B3"/>
          <w:sz w:val="24"/>
          <w:szCs w:val="24"/>
          <w:lang w:val="fr-BE"/>
        </w:rPr>
      </w:pPr>
      <w:bookmarkStart w:id="111" w:name="_Toc179464897"/>
      <w:bookmarkStart w:id="112" w:name="_Toc180402147"/>
      <w:bookmarkStart w:id="113" w:name="_Toc199268300"/>
      <w:r w:rsidRPr="00711662">
        <w:rPr>
          <w:b/>
          <w:bCs/>
          <w:color w:val="0A77B3"/>
          <w:sz w:val="24"/>
          <w:szCs w:val="24"/>
          <w:lang w:val="fr-BE"/>
        </w:rPr>
        <w:t>Le vivier de talents de l'UE</w:t>
      </w:r>
      <w:bookmarkEnd w:id="111"/>
      <w:bookmarkEnd w:id="112"/>
      <w:bookmarkEnd w:id="113"/>
    </w:p>
    <w:p w14:paraId="60605072" w14:textId="75A2CA5A" w:rsidR="00265F0A" w:rsidRPr="00265F0A" w:rsidRDefault="00265F0A" w:rsidP="124EBE3E">
      <w:pPr>
        <w:spacing w:line="360" w:lineRule="auto"/>
        <w:rPr>
          <w:sz w:val="24"/>
          <w:szCs w:val="24"/>
        </w:rPr>
      </w:pPr>
      <w:r w:rsidRPr="00711662">
        <w:rPr>
          <w:sz w:val="24"/>
          <w:szCs w:val="24"/>
          <w:lang w:val="fr-BE"/>
        </w:rPr>
        <w:t xml:space="preserve">La réserve de talents de l'UE sera une plateforme permettant de mettre en relation des demandeurs d'emploi de pays non membres de l'UE avec des offres d'emploi dans l'UE. Nous avons </w:t>
      </w:r>
      <w:hyperlink r:id="rId85">
        <w:r w:rsidRPr="00711662">
          <w:rPr>
            <w:color w:val="0000FF"/>
            <w:sz w:val="24"/>
            <w:szCs w:val="24"/>
            <w:u w:val="single"/>
            <w:lang w:val="fr-BE"/>
          </w:rPr>
          <w:t>contribué</w:t>
        </w:r>
      </w:hyperlink>
      <w:r w:rsidRPr="00711662">
        <w:rPr>
          <w:sz w:val="24"/>
          <w:szCs w:val="24"/>
          <w:lang w:val="fr-BE"/>
        </w:rPr>
        <w:t xml:space="preserve"> à la consultation publique de la Commission européenne concernant la </w:t>
      </w:r>
      <w:hyperlink r:id="rId86">
        <w:r w:rsidRPr="00711662">
          <w:rPr>
            <w:rStyle w:val="Hyperlink"/>
            <w:sz w:val="24"/>
            <w:szCs w:val="24"/>
            <w:lang w:val="fr-BE"/>
          </w:rPr>
          <w:t xml:space="preserve">proposition de règlement établissant cette plateforme. </w:t>
        </w:r>
      </w:hyperlink>
      <w:r w:rsidRPr="00711662">
        <w:rPr>
          <w:sz w:val="24"/>
          <w:szCs w:val="24"/>
          <w:lang w:val="fr-BE"/>
        </w:rPr>
        <w:t xml:space="preserve">En février 2024, nous avons organisé deux réunions avec des députés européens sur le projet de position du Parlement concernant le règlement proposé et nous avons partagé </w:t>
      </w:r>
      <w:hyperlink r:id="rId87">
        <w:r w:rsidRPr="00711662">
          <w:rPr>
            <w:color w:val="0000FF"/>
            <w:sz w:val="24"/>
            <w:szCs w:val="24"/>
            <w:u w:val="single"/>
            <w:lang w:val="fr-BE"/>
          </w:rPr>
          <w:t>nos propositions d'amendements pour la réserve de talents de l'UE</w:t>
        </w:r>
      </w:hyperlink>
      <w:r w:rsidRPr="00711662">
        <w:rPr>
          <w:sz w:val="24"/>
          <w:szCs w:val="24"/>
          <w:lang w:val="fr-BE"/>
        </w:rPr>
        <w:t xml:space="preserve">. </w:t>
      </w:r>
      <w:r w:rsidR="38AD62CF" w:rsidRPr="00711662">
        <w:rPr>
          <w:sz w:val="24"/>
          <w:szCs w:val="24"/>
          <w:lang w:val="fr-BE"/>
        </w:rPr>
        <w:t xml:space="preserve">Le 19 mars 2025, la commission des libertés civiles, de la justice et des affaires intérieures (LIBE) du Parlement européen a approuvé un projet de proposition visant à établir une réserve de talents de l'UE. Des négociations interinstitutionnelles (trilogues) entre le Parlement européen, le Conseil de l'UE et la Commission européenne ont débuté en </w:t>
      </w:r>
      <w:r w:rsidR="38AD62CF" w:rsidRPr="00711662">
        <w:rPr>
          <w:sz w:val="24"/>
          <w:szCs w:val="24"/>
          <w:lang w:val="fr-BE"/>
        </w:rPr>
        <w:lastRenderedPageBreak/>
        <w:t xml:space="preserve">avril 2025 afin de parvenir à un accord final sur l'initiative. </w:t>
      </w:r>
      <w:hyperlink r:id="rId88">
        <w:r w:rsidR="0FF83531" w:rsidRPr="124EBE3E">
          <w:rPr>
            <w:rStyle w:val="Hyperlink"/>
            <w:sz w:val="24"/>
            <w:szCs w:val="24"/>
          </w:rPr>
          <w:t xml:space="preserve">Le rapport </w:t>
        </w:r>
      </w:hyperlink>
      <w:r w:rsidR="0FF83531" w:rsidRPr="124EBE3E">
        <w:rPr>
          <w:sz w:val="24"/>
          <w:szCs w:val="24"/>
        </w:rPr>
        <w:t xml:space="preserve">du Parlement inclut nos principales recommandations </w:t>
      </w:r>
      <w:r w:rsidR="51386F1A" w:rsidRPr="124EBE3E">
        <w:rPr>
          <w:sz w:val="24"/>
          <w:szCs w:val="24"/>
        </w:rPr>
        <w:t>:</w:t>
      </w:r>
    </w:p>
    <w:p w14:paraId="4864FF1F" w14:textId="2BE5010D" w:rsidR="00265F0A" w:rsidRPr="00711662" w:rsidRDefault="708D79C9" w:rsidP="40341A72">
      <w:pPr>
        <w:pStyle w:val="ListParagraph"/>
        <w:numPr>
          <w:ilvl w:val="0"/>
          <w:numId w:val="1"/>
        </w:numPr>
        <w:spacing w:line="360" w:lineRule="auto"/>
        <w:rPr>
          <w:sz w:val="24"/>
          <w:szCs w:val="24"/>
          <w:lang w:val="fr-BE"/>
        </w:rPr>
      </w:pPr>
      <w:r w:rsidRPr="00711662">
        <w:rPr>
          <w:rFonts w:ascii="Arial" w:eastAsia="Times New Roman" w:hAnsi="Arial"/>
          <w:sz w:val="24"/>
          <w:szCs w:val="24"/>
          <w:lang w:val="fr-BE" w:bidi="en-US"/>
        </w:rPr>
        <w:t xml:space="preserve">Conformité </w:t>
      </w:r>
      <w:r w:rsidR="0FF83531" w:rsidRPr="00711662">
        <w:rPr>
          <w:rFonts w:ascii="Arial" w:eastAsia="Times New Roman" w:hAnsi="Arial"/>
          <w:sz w:val="24"/>
          <w:szCs w:val="24"/>
          <w:lang w:val="fr-BE" w:bidi="en-US"/>
        </w:rPr>
        <w:t xml:space="preserve">de la plate-forme informatique avec la loi sur l'accessibilité </w:t>
      </w:r>
    </w:p>
    <w:p w14:paraId="6770DE46" w14:textId="301AB1A7" w:rsidR="00265F0A" w:rsidRPr="00265F0A" w:rsidRDefault="48A6FCED" w:rsidP="40341A72">
      <w:pPr>
        <w:pStyle w:val="ListParagraph"/>
        <w:numPr>
          <w:ilvl w:val="0"/>
          <w:numId w:val="1"/>
        </w:numPr>
        <w:spacing w:line="360" w:lineRule="auto"/>
        <w:rPr>
          <w:sz w:val="24"/>
          <w:szCs w:val="24"/>
        </w:rPr>
      </w:pPr>
      <w:r w:rsidRPr="40341A72">
        <w:rPr>
          <w:rFonts w:ascii="Arial" w:eastAsia="Times New Roman" w:hAnsi="Arial"/>
          <w:sz w:val="24"/>
          <w:szCs w:val="24"/>
          <w:lang w:bidi="en-US"/>
        </w:rPr>
        <w:t>Conformité avec la CDPH</w:t>
      </w:r>
    </w:p>
    <w:p w14:paraId="055C674E" w14:textId="3E7FCD09" w:rsidR="00265F0A" w:rsidRPr="00711662" w:rsidRDefault="1F902874" w:rsidP="40341A72">
      <w:pPr>
        <w:pStyle w:val="ListParagraph"/>
        <w:numPr>
          <w:ilvl w:val="0"/>
          <w:numId w:val="1"/>
        </w:numPr>
        <w:spacing w:line="360" w:lineRule="auto"/>
        <w:rPr>
          <w:sz w:val="24"/>
          <w:szCs w:val="24"/>
          <w:lang w:val="fr-BE"/>
        </w:rPr>
      </w:pPr>
      <w:r w:rsidRPr="00711662">
        <w:rPr>
          <w:rFonts w:ascii="Arial" w:eastAsia="Times New Roman" w:hAnsi="Arial"/>
          <w:sz w:val="24"/>
          <w:szCs w:val="24"/>
          <w:lang w:val="fr-BE" w:bidi="en-US"/>
        </w:rPr>
        <w:t xml:space="preserve">Promotion du </w:t>
      </w:r>
      <w:r w:rsidR="1D1B0256" w:rsidRPr="00711662">
        <w:rPr>
          <w:rFonts w:ascii="Arial" w:eastAsia="Times New Roman" w:hAnsi="Arial"/>
          <w:sz w:val="24"/>
          <w:szCs w:val="24"/>
          <w:lang w:val="fr-BE" w:bidi="en-US"/>
        </w:rPr>
        <w:t xml:space="preserve">respect de conditions de travail justes et équitables, de la </w:t>
      </w:r>
      <w:r w:rsidR="70310E4F" w:rsidRPr="00711662">
        <w:rPr>
          <w:rFonts w:ascii="Arial" w:eastAsia="Times New Roman" w:hAnsi="Arial"/>
          <w:sz w:val="24"/>
          <w:szCs w:val="24"/>
          <w:lang w:val="fr-BE" w:bidi="en-US"/>
        </w:rPr>
        <w:t>jeunesse et de l'égalité des sexes.</w:t>
      </w:r>
    </w:p>
    <w:p w14:paraId="56FCBD2C" w14:textId="641AC466" w:rsidR="00265F0A" w:rsidRPr="00711662" w:rsidRDefault="00265F0A" w:rsidP="00265F0A">
      <w:pPr>
        <w:spacing w:line="360" w:lineRule="auto"/>
        <w:rPr>
          <w:sz w:val="24"/>
          <w:szCs w:val="24"/>
          <w:lang w:val="fr-BE"/>
        </w:rPr>
      </w:pPr>
      <w:r w:rsidRPr="00711662">
        <w:rPr>
          <w:sz w:val="24"/>
          <w:szCs w:val="24"/>
          <w:lang w:val="fr-BE"/>
        </w:rPr>
        <w:t>Contact : An-Sofie.</w:t>
      </w:r>
    </w:p>
    <w:p w14:paraId="38F21641" w14:textId="77777777" w:rsidR="00265F0A" w:rsidRPr="00711662" w:rsidRDefault="00265F0A" w:rsidP="00265F0A">
      <w:pPr>
        <w:keepNext/>
        <w:keepLines/>
        <w:spacing w:before="200" w:after="240"/>
        <w:outlineLvl w:val="1"/>
        <w:rPr>
          <w:b/>
          <w:bCs/>
          <w:color w:val="0A77B3"/>
          <w:sz w:val="24"/>
          <w:szCs w:val="24"/>
          <w:lang w:val="fr-BE"/>
        </w:rPr>
      </w:pPr>
      <w:bookmarkStart w:id="114" w:name="_Toc179464898"/>
      <w:bookmarkStart w:id="115" w:name="_Toc180402148"/>
      <w:bookmarkStart w:id="116" w:name="_Toc199268301"/>
      <w:r w:rsidRPr="00711662">
        <w:rPr>
          <w:b/>
          <w:bCs/>
          <w:color w:val="0A77B3"/>
          <w:sz w:val="24"/>
          <w:szCs w:val="24"/>
          <w:lang w:val="fr-BE"/>
        </w:rPr>
        <w:t>Plan d'action de l'UE sur les droits de l'homme et la démocratie : Dialogues sur les droits de l'homme</w:t>
      </w:r>
      <w:bookmarkEnd w:id="114"/>
      <w:bookmarkEnd w:id="115"/>
      <w:bookmarkEnd w:id="116"/>
    </w:p>
    <w:p w14:paraId="3A4C8A37" w14:textId="77777777" w:rsidR="00265F0A" w:rsidRPr="00711662" w:rsidRDefault="00265F0A" w:rsidP="00265F0A">
      <w:pPr>
        <w:spacing w:line="360" w:lineRule="auto"/>
        <w:rPr>
          <w:sz w:val="24"/>
          <w:szCs w:val="24"/>
          <w:lang w:val="fr-BE"/>
        </w:rPr>
      </w:pPr>
      <w:r w:rsidRPr="00711662">
        <w:rPr>
          <w:sz w:val="24"/>
          <w:szCs w:val="24"/>
          <w:lang w:val="fr-BE"/>
        </w:rPr>
        <w:t xml:space="preserve">Le </w:t>
      </w:r>
      <w:hyperlink r:id="rId89" w:history="1">
        <w:r w:rsidRPr="00711662">
          <w:rPr>
            <w:color w:val="0000FF"/>
            <w:sz w:val="24"/>
            <w:szCs w:val="24"/>
            <w:u w:val="single"/>
            <w:lang w:val="fr-BE"/>
          </w:rPr>
          <w:t xml:space="preserve">plan d'action de l'UE pour les droits de l'homme et la démocratie 2020-2024 </w:t>
        </w:r>
      </w:hyperlink>
      <w:r w:rsidRPr="00711662">
        <w:rPr>
          <w:sz w:val="24"/>
          <w:szCs w:val="24"/>
          <w:lang w:val="fr-BE"/>
        </w:rPr>
        <w:t xml:space="preserve">est le troisième plan de l'UE visant à promouvoir et à protéger les droits de l'homme et les libertés fondamentales, la démocratie et l'État de droit, ainsi que le travail des organisations de la société civile (OSC) et des défenseurs des droits de l'homme dans le monde entier, par le biais de l'ensemble des politiques intérieures et extérieures de l'UE. Le 27 mai 2024, l'UE a renouvelé son engagement en faveur des droits de l'homme et de la démocratie en prolongeant son plan d'action sur les droits de l'homme et la démocratie 2020-2024 </w:t>
      </w:r>
      <w:hyperlink r:id="rId90" w:history="1">
        <w:r w:rsidRPr="00711662">
          <w:rPr>
            <w:color w:val="0000FF"/>
            <w:sz w:val="24"/>
            <w:szCs w:val="24"/>
            <w:u w:val="single"/>
            <w:lang w:val="fr-BE"/>
          </w:rPr>
          <w:t>jusqu'en 2027</w:t>
        </w:r>
      </w:hyperlink>
      <w:r w:rsidRPr="00711662">
        <w:rPr>
          <w:sz w:val="24"/>
          <w:szCs w:val="24"/>
          <w:lang w:val="fr-BE"/>
        </w:rPr>
        <w:t>.</w:t>
      </w:r>
    </w:p>
    <w:p w14:paraId="255F2837" w14:textId="77777777" w:rsidR="00265F0A" w:rsidRPr="00711662" w:rsidRDefault="00265F0A" w:rsidP="00265F0A">
      <w:pPr>
        <w:spacing w:line="360" w:lineRule="auto"/>
        <w:rPr>
          <w:sz w:val="24"/>
          <w:szCs w:val="24"/>
          <w:lang w:val="fr-BE"/>
        </w:rPr>
      </w:pPr>
      <w:r w:rsidRPr="00711662">
        <w:rPr>
          <w:sz w:val="24"/>
          <w:szCs w:val="24"/>
          <w:lang w:val="fr-BE"/>
        </w:rPr>
        <w:t>Dans ce cadre, l'UE s'engage activement dans des dialogues et des consultations sur les droits de l'homme avec plus de 50 pays, tout en participant à des rassemblements régionaux. Ces dialogues servent de mécanismes pivots pour la mise en œuvre de la politique extérieure de l'UE en matière de droits de l'homme, telle que décrite dans le plan d'action sur les droits de l'homme et la démocratie (2020-27).</w:t>
      </w:r>
    </w:p>
    <w:p w14:paraId="4E967D5A" w14:textId="6224FDC7" w:rsidR="00265F0A" w:rsidRPr="00711662" w:rsidRDefault="00265F0A" w:rsidP="00265F0A">
      <w:pPr>
        <w:spacing w:line="360" w:lineRule="auto"/>
        <w:rPr>
          <w:sz w:val="24"/>
          <w:szCs w:val="24"/>
          <w:lang w:val="fr-BE"/>
        </w:rPr>
      </w:pPr>
      <w:r w:rsidRPr="00711662">
        <w:rPr>
          <w:sz w:val="24"/>
          <w:szCs w:val="24"/>
          <w:lang w:val="fr-BE"/>
        </w:rPr>
        <w:t xml:space="preserve">Bien que les dialogues eux-mêmes se déroulent à un niveau élevé, les consultations avec les acteurs de la société civile (y compris les ONG, les défenseurs des droits de l'homme) sont un élément essentiel des dialogues. Les acteurs de la société civile peuvent fournir une image claire de la situation des droits de l'homme au niveau national et d'éventuels cas individuels, ainsi qu'une expertise technique sur des sujets spécifiques. Reconnaissant l'importance de l'engagement de la société civile dans ces dialogues, </w:t>
      </w:r>
      <w:r w:rsidR="1ADD580E" w:rsidRPr="00711662">
        <w:rPr>
          <w:sz w:val="24"/>
          <w:szCs w:val="24"/>
          <w:lang w:val="fr-BE"/>
        </w:rPr>
        <w:t xml:space="preserve">le FEPH participe à ce processus en apportant des contributions </w:t>
      </w:r>
      <w:r w:rsidR="45253E41" w:rsidRPr="00711662">
        <w:rPr>
          <w:sz w:val="24"/>
          <w:szCs w:val="24"/>
          <w:lang w:val="fr-BE"/>
        </w:rPr>
        <w:t xml:space="preserve">significatives </w:t>
      </w:r>
      <w:r w:rsidR="1ADD580E" w:rsidRPr="00711662">
        <w:rPr>
          <w:sz w:val="24"/>
          <w:szCs w:val="24"/>
          <w:lang w:val="fr-BE"/>
        </w:rPr>
        <w:t xml:space="preserve">sur les droits des personnes handicapées en </w:t>
      </w:r>
      <w:r w:rsidR="4A42AA36" w:rsidRPr="00711662">
        <w:rPr>
          <w:sz w:val="24"/>
          <w:szCs w:val="24"/>
          <w:lang w:val="fr-BE"/>
        </w:rPr>
        <w:t xml:space="preserve">collaboration </w:t>
      </w:r>
      <w:r w:rsidR="1ADD580E" w:rsidRPr="00711662">
        <w:rPr>
          <w:sz w:val="24"/>
          <w:szCs w:val="24"/>
          <w:lang w:val="fr-BE"/>
        </w:rPr>
        <w:t xml:space="preserve">avec des membres et des partenaires locaux. En 2025, le </w:t>
      </w:r>
      <w:r w:rsidR="1ADD580E" w:rsidRPr="00711662">
        <w:rPr>
          <w:sz w:val="24"/>
          <w:szCs w:val="24"/>
          <w:lang w:val="fr-BE"/>
        </w:rPr>
        <w:lastRenderedPageBreak/>
        <w:t xml:space="preserve">FEPH a soumis une contribution écrite et a pris part à des consultations concernant </w:t>
      </w:r>
      <w:r w:rsidR="3C2C2388" w:rsidRPr="00711662">
        <w:rPr>
          <w:sz w:val="24"/>
          <w:szCs w:val="24"/>
          <w:lang w:val="fr-BE"/>
        </w:rPr>
        <w:t xml:space="preserve">le </w:t>
      </w:r>
      <w:r w:rsidR="1ADD580E" w:rsidRPr="00711662">
        <w:rPr>
          <w:sz w:val="24"/>
          <w:szCs w:val="24"/>
          <w:lang w:val="fr-BE"/>
        </w:rPr>
        <w:t>dialogue sur les droits de l'homme avec l</w:t>
      </w:r>
      <w:r w:rsidR="1DC0A54F" w:rsidRPr="00711662">
        <w:rPr>
          <w:sz w:val="24"/>
          <w:szCs w:val="24"/>
          <w:lang w:val="fr-BE"/>
        </w:rPr>
        <w:t>'</w:t>
      </w:r>
      <w:r w:rsidR="1ADD580E" w:rsidRPr="00711662">
        <w:rPr>
          <w:sz w:val="24"/>
          <w:szCs w:val="24"/>
          <w:lang w:val="fr-BE"/>
        </w:rPr>
        <w:t>État ukrainien</w:t>
      </w:r>
      <w:r w:rsidRPr="00711662">
        <w:rPr>
          <w:sz w:val="24"/>
          <w:szCs w:val="24"/>
          <w:lang w:val="fr-BE"/>
        </w:rPr>
        <w:t xml:space="preserve">. </w:t>
      </w:r>
    </w:p>
    <w:p w14:paraId="3888D297" w14:textId="7BDE4D04" w:rsidR="001E09CC" w:rsidRPr="00711662" w:rsidRDefault="1C5486C6" w:rsidP="00265F0A">
      <w:pPr>
        <w:spacing w:line="360" w:lineRule="auto"/>
        <w:rPr>
          <w:sz w:val="24"/>
          <w:szCs w:val="24"/>
          <w:lang w:val="fr-BE"/>
        </w:rPr>
      </w:pPr>
      <w:r w:rsidRPr="00711662">
        <w:rPr>
          <w:sz w:val="24"/>
          <w:szCs w:val="24"/>
          <w:lang w:val="fr-BE"/>
        </w:rPr>
        <w:t xml:space="preserve">Contact : </w:t>
      </w:r>
      <w:r w:rsidR="2EE4C4DD" w:rsidRPr="00711662">
        <w:rPr>
          <w:sz w:val="24"/>
          <w:szCs w:val="24"/>
          <w:lang w:val="fr-BE"/>
        </w:rPr>
        <w:t>Mariya</w:t>
      </w:r>
      <w:r w:rsidRPr="00711662">
        <w:rPr>
          <w:sz w:val="24"/>
          <w:szCs w:val="24"/>
          <w:lang w:val="fr-BE"/>
        </w:rPr>
        <w:t>.</w:t>
      </w:r>
    </w:p>
    <w:p w14:paraId="4013B7B0" w14:textId="7385B52E" w:rsidR="001E09CC" w:rsidRPr="00711662" w:rsidRDefault="001E09CC" w:rsidP="00234C33">
      <w:pPr>
        <w:pStyle w:val="Heading2"/>
        <w:spacing w:line="360" w:lineRule="auto"/>
        <w:rPr>
          <w:color w:val="00B0F0"/>
          <w:szCs w:val="24"/>
          <w:lang w:val="fr-BE"/>
        </w:rPr>
      </w:pPr>
      <w:bookmarkStart w:id="117" w:name="_Toc199268302"/>
      <w:r w:rsidRPr="00711662">
        <w:rPr>
          <w:szCs w:val="24"/>
          <w:lang w:val="fr-BE"/>
        </w:rPr>
        <w:t xml:space="preserve">Sommet mondial des personnes handicapées </w:t>
      </w:r>
      <w:r w:rsidR="5146B41E" w:rsidRPr="00711662">
        <w:rPr>
          <w:szCs w:val="24"/>
          <w:lang w:val="fr-BE"/>
        </w:rPr>
        <w:t>2025</w:t>
      </w:r>
      <w:bookmarkEnd w:id="117"/>
    </w:p>
    <w:p w14:paraId="58229DE0" w14:textId="027D3798" w:rsidR="4EC1E17E" w:rsidRPr="00711662" w:rsidRDefault="4EC1E17E" w:rsidP="00234C33">
      <w:pPr>
        <w:spacing w:line="360" w:lineRule="auto"/>
        <w:rPr>
          <w:sz w:val="24"/>
          <w:szCs w:val="24"/>
          <w:lang w:val="fr-BE"/>
        </w:rPr>
      </w:pPr>
      <w:r w:rsidRPr="00711662">
        <w:rPr>
          <w:sz w:val="24"/>
          <w:szCs w:val="24"/>
          <w:lang w:val="fr-BE"/>
        </w:rPr>
        <w:t xml:space="preserve">Les 2 et 3 avril, Berlin est devenu le centre mondial des droits des personnes handicapées à l'occasion de la troisième édition du </w:t>
      </w:r>
      <w:r w:rsidRPr="00711662">
        <w:rPr>
          <w:rStyle w:val="Hyperlink"/>
          <w:sz w:val="24"/>
          <w:szCs w:val="24"/>
          <w:lang w:val="fr-BE"/>
        </w:rPr>
        <w:t>Sommet mondial des personnes handicapées (SMH</w:t>
      </w:r>
      <w:r w:rsidRPr="00711662">
        <w:rPr>
          <w:sz w:val="24"/>
          <w:szCs w:val="24"/>
          <w:lang w:val="fr-BE"/>
        </w:rPr>
        <w:t xml:space="preserve">) 2025, qui a réuni plus de 4 500 participants de plus de 100 pays, dont des représentants du Forum européen des personnes handicapées (FEPH). Ce sommet a marqué un tournant dans l'avancement des droits des personnes handicapées et dans la promotion d'une coopération internationale et d'une action humanitaire incluant les personnes handicapées. </w:t>
      </w:r>
    </w:p>
    <w:p w14:paraId="77ECF8D2" w14:textId="354E4ADB" w:rsidR="4EC1E17E" w:rsidRPr="00711662" w:rsidRDefault="4EC1E17E" w:rsidP="00234C33">
      <w:pPr>
        <w:spacing w:line="360" w:lineRule="auto"/>
        <w:rPr>
          <w:sz w:val="24"/>
          <w:szCs w:val="24"/>
          <w:lang w:val="fr-BE"/>
        </w:rPr>
      </w:pPr>
      <w:r w:rsidRPr="00711662">
        <w:rPr>
          <w:sz w:val="24"/>
          <w:szCs w:val="24"/>
          <w:lang w:val="fr-BE"/>
        </w:rPr>
        <w:t>L'un des principaux résultats du SMD a été la "</w:t>
      </w:r>
      <w:hyperlink r:id="rId91">
        <w:r w:rsidRPr="00711662">
          <w:rPr>
            <w:rStyle w:val="Hyperlink"/>
            <w:sz w:val="24"/>
            <w:szCs w:val="24"/>
            <w:lang w:val="fr-BE"/>
          </w:rPr>
          <w:t>Déclaration d'Amman-Berlin sur l'inclusion globale des personnes handicapées</w:t>
        </w:r>
      </w:hyperlink>
      <w:r w:rsidRPr="00711662">
        <w:rPr>
          <w:sz w:val="24"/>
          <w:szCs w:val="24"/>
          <w:lang w:val="fr-BE"/>
        </w:rPr>
        <w:t>", désormais approuvée par plus de 90 parties prenantes. En outre, le Sommet a généré plus de 800 nouveaux engagements de la part de gouvernements, d'agences de développement et de la société civile, réaffirmant une volonté collective de défendre et de faire progresser les droits des personnes handicapées dans le monde entier. Voir notre article "</w:t>
      </w:r>
      <w:hyperlink r:id="rId92">
        <w:r w:rsidRPr="00711662">
          <w:rPr>
            <w:rStyle w:val="Hyperlink"/>
            <w:sz w:val="24"/>
            <w:szCs w:val="24"/>
            <w:lang w:val="fr-BE"/>
          </w:rPr>
          <w:t>Le FEPH et le Sommet mondial sur le handicap 2025" : C'est terminé (pour l'instant)</w:t>
        </w:r>
      </w:hyperlink>
      <w:r w:rsidRPr="00711662">
        <w:rPr>
          <w:sz w:val="24"/>
          <w:szCs w:val="24"/>
          <w:lang w:val="fr-BE"/>
        </w:rPr>
        <w:t xml:space="preserve">" pour en savoir plus sur le GDS2025 et notre implication au cours des dernières années. </w:t>
      </w:r>
    </w:p>
    <w:p w14:paraId="40ABFD43" w14:textId="23061466" w:rsidR="504F0F9F" w:rsidRPr="00711662" w:rsidRDefault="41C9824E" w:rsidP="00234C33">
      <w:pPr>
        <w:spacing w:after="270" w:line="360" w:lineRule="auto"/>
        <w:rPr>
          <w:rFonts w:eastAsia="Arial" w:cs="Arial"/>
          <w:sz w:val="24"/>
          <w:szCs w:val="24"/>
          <w:lang w:val="fr-BE"/>
        </w:rPr>
      </w:pPr>
      <w:r w:rsidRPr="00711662">
        <w:rPr>
          <w:sz w:val="24"/>
          <w:szCs w:val="24"/>
          <w:lang w:val="fr-BE"/>
        </w:rPr>
        <w:t xml:space="preserve">Le mécanisme d'engagement est au cœur de l'initiative GDS2025. Il s'agit d'une plateforme de collecte et de partage d'engagements concrets et réalisables en faveur de l'inclusion des personnes handicapées. Lors du GDS2025, il a été annoncé que plus de 800 engagements ont été soumis par des gouvernements, des OPD, le secteur privé et des organisations internationales. </w:t>
      </w:r>
      <w:r w:rsidRPr="00711662">
        <w:rPr>
          <w:rFonts w:eastAsia="Arial" w:cs="Arial"/>
          <w:sz w:val="24"/>
          <w:szCs w:val="24"/>
          <w:lang w:val="fr-BE"/>
        </w:rPr>
        <w:t xml:space="preserve">Tous les engagements seront bientôt publiés sur le </w:t>
      </w:r>
      <w:hyperlink r:id="rId93">
        <w:r w:rsidRPr="00711662">
          <w:rPr>
            <w:rStyle w:val="Hyperlink"/>
            <w:rFonts w:eastAsia="Arial" w:cs="Arial"/>
            <w:sz w:val="24"/>
            <w:szCs w:val="24"/>
            <w:lang w:val="fr-BE"/>
          </w:rPr>
          <w:t>portail des engagements du GDS</w:t>
        </w:r>
      </w:hyperlink>
      <w:r w:rsidRPr="00711662">
        <w:rPr>
          <w:rFonts w:eastAsia="Arial" w:cs="Arial"/>
          <w:color w:val="2E2E2E"/>
          <w:sz w:val="24"/>
          <w:szCs w:val="24"/>
          <w:lang w:val="fr-BE"/>
        </w:rPr>
        <w:t xml:space="preserve">. </w:t>
      </w:r>
      <w:r w:rsidRPr="00711662">
        <w:rPr>
          <w:rFonts w:eastAsia="Arial" w:cs="Arial"/>
          <w:sz w:val="24"/>
          <w:szCs w:val="24"/>
          <w:lang w:val="fr-BE"/>
        </w:rPr>
        <w:t xml:space="preserve">Le FEPH continuera à suivre de près le portail et à partager des mises à jour sur les nouveaux engagements, en particulier de la part des pays européens et de l'UE, une fois qu'ils seront publiés.  </w:t>
      </w:r>
    </w:p>
    <w:p w14:paraId="67367BEA" w14:textId="5137EA6F" w:rsidR="054B7414" w:rsidRPr="00711662" w:rsidRDefault="504F0F9F" w:rsidP="00234C33">
      <w:pPr>
        <w:spacing w:line="360" w:lineRule="auto"/>
        <w:rPr>
          <w:sz w:val="24"/>
          <w:szCs w:val="24"/>
          <w:lang w:val="fr-BE"/>
        </w:rPr>
      </w:pPr>
      <w:r w:rsidRPr="00711662">
        <w:rPr>
          <w:sz w:val="24"/>
          <w:szCs w:val="24"/>
          <w:lang w:val="fr-BE"/>
        </w:rPr>
        <w:t>Contact : Marion</w:t>
      </w:r>
    </w:p>
    <w:p w14:paraId="0A5EFB10" w14:textId="07FF9109" w:rsidR="001E09CC" w:rsidRPr="00711662" w:rsidRDefault="67F06496" w:rsidP="00234C33">
      <w:pPr>
        <w:pStyle w:val="Heading2"/>
        <w:spacing w:line="360" w:lineRule="auto"/>
        <w:rPr>
          <w:color w:val="00B0F0"/>
          <w:lang w:val="fr-BE"/>
        </w:rPr>
      </w:pPr>
      <w:bookmarkStart w:id="118" w:name="_Toc199268303"/>
      <w:r w:rsidRPr="00711662">
        <w:rPr>
          <w:lang w:val="fr-BE"/>
        </w:rPr>
        <w:lastRenderedPageBreak/>
        <w:t xml:space="preserve">G7 Solfagnano </w:t>
      </w:r>
      <w:r w:rsidR="4F87E429" w:rsidRPr="00711662">
        <w:rPr>
          <w:lang w:val="fr-BE"/>
        </w:rPr>
        <w:t>Charter</w:t>
      </w:r>
      <w:bookmarkEnd w:id="118"/>
    </w:p>
    <w:p w14:paraId="419CFA12" w14:textId="1662BEDE" w:rsidR="056C7840" w:rsidRPr="00711662" w:rsidRDefault="056C7840" w:rsidP="00234C33">
      <w:pPr>
        <w:spacing w:line="360" w:lineRule="auto"/>
        <w:rPr>
          <w:rFonts w:eastAsia="Arial" w:cs="Arial"/>
          <w:sz w:val="24"/>
          <w:szCs w:val="24"/>
          <w:lang w:val="fr-BE"/>
        </w:rPr>
      </w:pPr>
      <w:r w:rsidRPr="00711662">
        <w:rPr>
          <w:rFonts w:eastAsia="Arial" w:cs="Arial"/>
          <w:sz w:val="24"/>
          <w:szCs w:val="24"/>
          <w:lang w:val="fr-BE"/>
        </w:rPr>
        <w:t xml:space="preserve">La toute première </w:t>
      </w:r>
      <w:hyperlink r:id="rId94">
        <w:r w:rsidRPr="00711662">
          <w:rPr>
            <w:rStyle w:val="Hyperlink"/>
            <w:rFonts w:eastAsia="Arial" w:cs="Arial"/>
            <w:sz w:val="24"/>
            <w:szCs w:val="24"/>
            <w:lang w:val="fr-BE"/>
          </w:rPr>
          <w:t xml:space="preserve">réunion ministérielle du G7 sur l'inclusion et le handicap </w:t>
        </w:r>
      </w:hyperlink>
      <w:r w:rsidRPr="00711662">
        <w:rPr>
          <w:rFonts w:eastAsia="Arial" w:cs="Arial"/>
          <w:sz w:val="24"/>
          <w:szCs w:val="24"/>
          <w:lang w:val="fr-BE"/>
        </w:rPr>
        <w:t xml:space="preserve">s'est tenue sous la présidence italienne du 14 au 16 octobre 2024 et s'est conclue par l'adoption de la </w:t>
      </w:r>
      <w:hyperlink r:id="rId95">
        <w:r w:rsidRPr="00711662">
          <w:rPr>
            <w:rStyle w:val="Hyperlink"/>
            <w:rFonts w:eastAsia="Arial" w:cs="Arial"/>
            <w:sz w:val="24"/>
            <w:szCs w:val="24"/>
            <w:lang w:val="fr-BE"/>
          </w:rPr>
          <w:t>Charte de Solfagnano</w:t>
        </w:r>
      </w:hyperlink>
      <w:r w:rsidRPr="00711662">
        <w:rPr>
          <w:rFonts w:eastAsia="Arial" w:cs="Arial"/>
          <w:sz w:val="24"/>
          <w:szCs w:val="24"/>
          <w:lang w:val="fr-BE"/>
        </w:rPr>
        <w:t>, une déclaration politique décrivant les engagements des membres du G7 en matière d'inclusion des personnes handicapées dans huit domaines prioritaires différents.</w:t>
      </w:r>
    </w:p>
    <w:p w14:paraId="2B4FD23D" w14:textId="16566E3D" w:rsidR="056C7840" w:rsidRPr="00711662" w:rsidRDefault="056C7840" w:rsidP="002E1DEA">
      <w:pPr>
        <w:spacing w:line="360" w:lineRule="auto"/>
        <w:rPr>
          <w:rFonts w:eastAsia="Arial" w:cs="Arial"/>
          <w:sz w:val="24"/>
          <w:szCs w:val="24"/>
          <w:lang w:val="fr-BE"/>
        </w:rPr>
      </w:pPr>
      <w:r w:rsidRPr="00711662">
        <w:rPr>
          <w:rFonts w:eastAsia="Arial" w:cs="Arial"/>
          <w:sz w:val="24"/>
          <w:szCs w:val="24"/>
          <w:lang w:val="fr-BE"/>
        </w:rPr>
        <w:t xml:space="preserve">Le FEPH a contribué au processus de rédaction de la Charte en collaboration avec l'Alliance internationale des personnes handicapées (IDA), en s'engageant directement auprès des membres du G7 et en coordonnant les contributions de ses propres membres afin de s'assurer que leurs points de vue soient reflétés dans la Charte. Notre plaidoyer a contribué à façonner le texte final. </w:t>
      </w:r>
    </w:p>
    <w:p w14:paraId="541CA660" w14:textId="6C3337DA" w:rsidR="563C25C1" w:rsidRPr="00711662" w:rsidRDefault="563C25C1" w:rsidP="0869DDFC">
      <w:pPr>
        <w:spacing w:line="360" w:lineRule="auto"/>
        <w:rPr>
          <w:rFonts w:eastAsia="Arial" w:cs="Arial"/>
          <w:sz w:val="24"/>
          <w:szCs w:val="24"/>
          <w:lang w:val="fr-BE"/>
        </w:rPr>
      </w:pPr>
      <w:r w:rsidRPr="00711662">
        <w:rPr>
          <w:rFonts w:eastAsia="Arial" w:cs="Arial"/>
          <w:sz w:val="24"/>
          <w:szCs w:val="24"/>
          <w:lang w:val="fr-BE"/>
        </w:rPr>
        <w:t>Contact : Marion</w:t>
      </w:r>
    </w:p>
    <w:p w14:paraId="5FE7ED21" w14:textId="692E34D6" w:rsidR="054B7414" w:rsidRPr="00711662" w:rsidRDefault="054B7414" w:rsidP="054B7414">
      <w:pPr>
        <w:spacing w:line="360" w:lineRule="auto"/>
        <w:rPr>
          <w:sz w:val="24"/>
          <w:szCs w:val="24"/>
          <w:lang w:val="fr-BE"/>
        </w:rPr>
      </w:pPr>
    </w:p>
    <w:p w14:paraId="6F3DCD0D" w14:textId="77777777" w:rsidR="00265F0A" w:rsidRPr="00711662" w:rsidRDefault="00265F0A" w:rsidP="00265F0A">
      <w:pPr>
        <w:keepNext/>
        <w:keepLines/>
        <w:spacing w:before="480" w:after="240"/>
        <w:outlineLvl w:val="0"/>
        <w:rPr>
          <w:rFonts w:cs="Arial"/>
          <w:b/>
          <w:bCs/>
          <w:color w:val="000000"/>
          <w:sz w:val="24"/>
          <w:szCs w:val="24"/>
          <w:lang w:val="fr-BE"/>
        </w:rPr>
      </w:pPr>
      <w:bookmarkStart w:id="119" w:name="_Toc179464899"/>
      <w:r w:rsidRPr="00711662">
        <w:rPr>
          <w:b/>
          <w:bCs/>
          <w:color w:val="0A77B3"/>
          <w:sz w:val="28"/>
          <w:szCs w:val="28"/>
          <w:lang w:val="fr-BE"/>
        </w:rPr>
        <w:br w:type="page"/>
      </w:r>
      <w:bookmarkStart w:id="120" w:name="_Toc180402149"/>
      <w:bookmarkStart w:id="121" w:name="_Toc199268304"/>
      <w:r w:rsidRPr="00711662">
        <w:rPr>
          <w:b/>
          <w:bCs/>
          <w:color w:val="0A77B3"/>
          <w:sz w:val="28"/>
          <w:szCs w:val="28"/>
          <w:lang w:val="fr-BE"/>
        </w:rPr>
        <w:lastRenderedPageBreak/>
        <w:t>Lois adoptées par l'UE</w:t>
      </w:r>
      <w:bookmarkEnd w:id="119"/>
      <w:r w:rsidRPr="00711662">
        <w:rPr>
          <w:b/>
          <w:bCs/>
          <w:color w:val="0A77B3"/>
          <w:sz w:val="28"/>
          <w:szCs w:val="28"/>
          <w:lang w:val="fr-BE"/>
        </w:rPr>
        <w:t xml:space="preserve"> et politiques </w:t>
      </w:r>
      <w:bookmarkEnd w:id="120"/>
      <w:bookmarkEnd w:id="121"/>
    </w:p>
    <w:p w14:paraId="30F04D81" w14:textId="486B7791" w:rsidR="00265F0A" w:rsidRPr="00711662" w:rsidRDefault="1B476461" w:rsidP="38402D5F">
      <w:pPr>
        <w:spacing w:line="360" w:lineRule="auto"/>
        <w:rPr>
          <w:rFonts w:cs="Arial"/>
          <w:color w:val="000000"/>
          <w:sz w:val="24"/>
          <w:szCs w:val="24"/>
          <w:lang w:val="fr-BE"/>
        </w:rPr>
      </w:pPr>
      <w:r w:rsidRPr="00711662">
        <w:rPr>
          <w:rFonts w:cs="Arial"/>
          <w:color w:val="000000"/>
          <w:sz w:val="24"/>
          <w:szCs w:val="24"/>
          <w:lang w:val="fr-BE"/>
        </w:rPr>
        <w:t>Dans cette section, nous partageons les lois et les politiques de l'UE qui ont été récemment adoptées, ainsi que leur calendrier et les documents d'appui pour les membres du FEPH.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gridCol w:w="3402"/>
      </w:tblGrid>
      <w:tr w:rsidR="00265F0A" w:rsidRPr="00265F0A" w14:paraId="7C5F8693" w14:textId="77777777" w:rsidTr="38402D5F">
        <w:tc>
          <w:tcPr>
            <w:tcW w:w="3402" w:type="dxa"/>
            <w:shd w:val="clear" w:color="auto" w:fill="auto"/>
          </w:tcPr>
          <w:p w14:paraId="0DDA295B" w14:textId="77777777" w:rsidR="00265F0A" w:rsidRPr="00265F0A" w:rsidRDefault="00265F0A" w:rsidP="00265F0A">
            <w:pPr>
              <w:spacing w:before="120" w:after="120" w:line="240" w:lineRule="auto"/>
              <w:jc w:val="center"/>
              <w:rPr>
                <w:rFonts w:cs="Arial"/>
                <w:b/>
                <w:bCs/>
                <w:color w:val="000000"/>
                <w:sz w:val="24"/>
                <w:szCs w:val="24"/>
              </w:rPr>
            </w:pPr>
            <w:r w:rsidRPr="00265F0A">
              <w:rPr>
                <w:rFonts w:cs="Arial"/>
                <w:b/>
                <w:bCs/>
                <w:color w:val="000000"/>
                <w:sz w:val="24"/>
                <w:szCs w:val="24"/>
              </w:rPr>
              <w:t>Législation/politique</w:t>
            </w:r>
          </w:p>
        </w:tc>
        <w:tc>
          <w:tcPr>
            <w:tcW w:w="3402" w:type="dxa"/>
            <w:shd w:val="clear" w:color="auto" w:fill="auto"/>
          </w:tcPr>
          <w:p w14:paraId="05713339" w14:textId="7398F9CB" w:rsidR="00265F0A" w:rsidRPr="00265F0A" w:rsidRDefault="1B476461" w:rsidP="38402D5F">
            <w:pPr>
              <w:spacing w:before="120" w:after="120" w:line="240" w:lineRule="auto"/>
              <w:jc w:val="center"/>
              <w:rPr>
                <w:rFonts w:cs="Arial"/>
                <w:b/>
                <w:bCs/>
                <w:color w:val="000000"/>
                <w:sz w:val="24"/>
                <w:szCs w:val="24"/>
              </w:rPr>
            </w:pPr>
            <w:r>
              <w:rPr>
                <w:rFonts w:cs="Arial"/>
                <w:b/>
                <w:bCs/>
                <w:color w:val="000000"/>
                <w:sz w:val="24"/>
                <w:szCs w:val="24"/>
              </w:rPr>
              <w:t>Cadre temporel</w:t>
            </w:r>
          </w:p>
        </w:tc>
        <w:tc>
          <w:tcPr>
            <w:tcW w:w="3402" w:type="dxa"/>
            <w:shd w:val="clear" w:color="auto" w:fill="auto"/>
          </w:tcPr>
          <w:p w14:paraId="62C6B6CB" w14:textId="2918F2CC" w:rsidR="00265F0A" w:rsidRPr="00265F0A" w:rsidRDefault="00265F0A" w:rsidP="00265F0A">
            <w:pPr>
              <w:spacing w:before="120" w:after="120" w:line="240" w:lineRule="auto"/>
              <w:jc w:val="center"/>
              <w:rPr>
                <w:rFonts w:cs="Arial"/>
                <w:b/>
                <w:bCs/>
                <w:color w:val="000000"/>
                <w:sz w:val="24"/>
                <w:szCs w:val="24"/>
              </w:rPr>
            </w:pPr>
            <w:r w:rsidRPr="00265F0A">
              <w:rPr>
                <w:rFonts w:cs="Arial"/>
                <w:b/>
                <w:bCs/>
                <w:color w:val="000000"/>
                <w:sz w:val="24"/>
                <w:szCs w:val="24"/>
              </w:rPr>
              <w:t>Soutien du F</w:t>
            </w:r>
            <w:r w:rsidR="00F22193">
              <w:rPr>
                <w:rFonts w:cs="Arial"/>
                <w:b/>
                <w:bCs/>
                <w:color w:val="000000"/>
                <w:sz w:val="24"/>
                <w:szCs w:val="24"/>
              </w:rPr>
              <w:t>EPH</w:t>
            </w:r>
          </w:p>
        </w:tc>
      </w:tr>
      <w:tr w:rsidR="00265F0A" w:rsidRPr="00265F0A" w14:paraId="58E01646" w14:textId="77777777" w:rsidTr="38402D5F">
        <w:tc>
          <w:tcPr>
            <w:tcW w:w="3402" w:type="dxa"/>
            <w:shd w:val="clear" w:color="auto" w:fill="auto"/>
          </w:tcPr>
          <w:p w14:paraId="77BAA6C4" w14:textId="44056C1C" w:rsidR="00265F0A" w:rsidRPr="00711662" w:rsidRDefault="00265F0A" w:rsidP="00265F0A">
            <w:pPr>
              <w:spacing w:before="120" w:after="120" w:line="240" w:lineRule="auto"/>
              <w:rPr>
                <w:rFonts w:cs="Arial"/>
                <w:color w:val="000000"/>
                <w:sz w:val="24"/>
                <w:szCs w:val="24"/>
                <w:lang w:val="fr-BE"/>
              </w:rPr>
            </w:pPr>
            <w:hyperlink r:id="rId96" w:history="1">
              <w:r w:rsidRPr="00711662">
                <w:rPr>
                  <w:rFonts w:cs="Arial"/>
                  <w:color w:val="0000FF"/>
                  <w:sz w:val="24"/>
                  <w:szCs w:val="24"/>
                  <w:u w:val="single"/>
                  <w:lang w:val="fr-BE"/>
                </w:rPr>
                <w:t>Directive Carte d'invalidité et carte de stationnement</w:t>
              </w:r>
            </w:hyperlink>
            <w:r w:rsidRPr="00711662">
              <w:rPr>
                <w:rFonts w:cs="Arial"/>
                <w:color w:val="000000"/>
                <w:sz w:val="24"/>
                <w:szCs w:val="24"/>
                <w:lang w:val="fr-BE"/>
              </w:rPr>
              <w:t>.</w:t>
            </w:r>
          </w:p>
        </w:tc>
        <w:tc>
          <w:tcPr>
            <w:tcW w:w="3402" w:type="dxa"/>
            <w:shd w:val="clear" w:color="auto" w:fill="auto"/>
          </w:tcPr>
          <w:p w14:paraId="4E9CA6A9" w14:textId="6E8A8586" w:rsidR="00265F0A" w:rsidRPr="00711662" w:rsidRDefault="00CC7367" w:rsidP="00265F0A">
            <w:pPr>
              <w:spacing w:before="120" w:after="120" w:line="240" w:lineRule="auto"/>
              <w:rPr>
                <w:rFonts w:cs="Arial"/>
                <w:color w:val="000000"/>
                <w:sz w:val="24"/>
                <w:szCs w:val="24"/>
                <w:lang w:val="fr-BE"/>
              </w:rPr>
            </w:pPr>
            <w:r w:rsidRPr="00711662">
              <w:rPr>
                <w:rFonts w:cs="Arial"/>
                <w:color w:val="000000"/>
                <w:sz w:val="24"/>
                <w:szCs w:val="24"/>
                <w:lang w:val="fr-BE"/>
              </w:rPr>
              <w:t>Transposition d'ici le 5 juin 2027.</w:t>
            </w:r>
            <w:r w:rsidRPr="00711662">
              <w:rPr>
                <w:rFonts w:cs="Arial"/>
                <w:color w:val="000000"/>
                <w:sz w:val="24"/>
                <w:szCs w:val="24"/>
                <w:lang w:val="fr-BE"/>
              </w:rPr>
              <w:br/>
              <w:t>Délivrance des cartes d'ici le 5 juin 2028.</w:t>
            </w:r>
          </w:p>
        </w:tc>
        <w:tc>
          <w:tcPr>
            <w:tcW w:w="3402" w:type="dxa"/>
            <w:shd w:val="clear" w:color="auto" w:fill="auto"/>
          </w:tcPr>
          <w:p w14:paraId="6AB28C2A" w14:textId="77777777" w:rsidR="00265F0A" w:rsidRPr="00711662" w:rsidRDefault="00265F0A" w:rsidP="00265F0A">
            <w:pPr>
              <w:spacing w:before="120" w:after="120" w:line="240" w:lineRule="auto"/>
              <w:rPr>
                <w:rFonts w:cs="Arial"/>
                <w:color w:val="000000"/>
                <w:sz w:val="24"/>
                <w:szCs w:val="24"/>
                <w:lang w:val="fr-BE"/>
              </w:rPr>
            </w:pPr>
            <w:hyperlink r:id="rId97" w:history="1">
              <w:r w:rsidRPr="00711662">
                <w:rPr>
                  <w:rFonts w:cs="Arial"/>
                  <w:color w:val="0000FF"/>
                  <w:sz w:val="24"/>
                  <w:szCs w:val="24"/>
                  <w:u w:val="single"/>
                  <w:lang w:val="fr-BE"/>
                </w:rPr>
                <w:t>Campagne du FED</w:t>
              </w:r>
            </w:hyperlink>
            <w:r w:rsidRPr="00711662">
              <w:rPr>
                <w:rFonts w:cs="Arial"/>
                <w:color w:val="000000"/>
                <w:sz w:val="24"/>
                <w:szCs w:val="24"/>
                <w:lang w:val="fr-BE"/>
              </w:rPr>
              <w:t>.</w:t>
            </w:r>
          </w:p>
          <w:p w14:paraId="5D031672" w14:textId="4BDC266E" w:rsidR="002E1DEA" w:rsidRPr="00711662" w:rsidRDefault="002E1DEA" w:rsidP="00265F0A">
            <w:pPr>
              <w:spacing w:before="120" w:after="120" w:line="240" w:lineRule="auto"/>
              <w:rPr>
                <w:rFonts w:cs="Arial"/>
                <w:color w:val="000000"/>
                <w:sz w:val="24"/>
                <w:szCs w:val="24"/>
                <w:lang w:val="fr-BE"/>
              </w:rPr>
            </w:pPr>
            <w:hyperlink r:id="rId98" w:history="1">
              <w:r w:rsidRPr="00711662">
                <w:rPr>
                  <w:rStyle w:val="Hyperlink"/>
                  <w:rFonts w:cs="Arial"/>
                  <w:sz w:val="24"/>
                  <w:szCs w:val="24"/>
                  <w:lang w:val="fr-BE"/>
                </w:rPr>
                <w:t>Boîte à outils du FED</w:t>
              </w:r>
            </w:hyperlink>
            <w:r w:rsidRPr="00711662">
              <w:rPr>
                <w:rFonts w:cs="Arial"/>
                <w:color w:val="000000"/>
                <w:sz w:val="24"/>
                <w:szCs w:val="24"/>
                <w:lang w:val="fr-BE"/>
              </w:rPr>
              <w:t>.</w:t>
            </w:r>
          </w:p>
          <w:p w14:paraId="5EB8213D" w14:textId="77777777" w:rsidR="00265F0A" w:rsidRPr="00265F0A" w:rsidRDefault="00265F0A" w:rsidP="00265F0A">
            <w:pPr>
              <w:spacing w:before="120" w:after="120" w:line="240" w:lineRule="auto"/>
              <w:rPr>
                <w:rFonts w:cs="Arial"/>
                <w:color w:val="000000"/>
                <w:sz w:val="24"/>
                <w:szCs w:val="24"/>
              </w:rPr>
            </w:pPr>
            <w:r w:rsidRPr="00265F0A">
              <w:rPr>
                <w:rFonts w:cs="Arial"/>
                <w:color w:val="000000"/>
                <w:sz w:val="24"/>
                <w:szCs w:val="24"/>
              </w:rPr>
              <w:t>Marie.</w:t>
            </w:r>
          </w:p>
        </w:tc>
      </w:tr>
      <w:tr w:rsidR="00265F0A" w:rsidRPr="00265F0A" w14:paraId="3E23C378" w14:textId="77777777" w:rsidTr="38402D5F">
        <w:tc>
          <w:tcPr>
            <w:tcW w:w="3402" w:type="dxa"/>
            <w:shd w:val="clear" w:color="auto" w:fill="auto"/>
          </w:tcPr>
          <w:p w14:paraId="27C35199" w14:textId="77777777" w:rsidR="00265F0A" w:rsidRPr="00265F0A" w:rsidRDefault="00265F0A" w:rsidP="00265F0A">
            <w:pPr>
              <w:spacing w:before="120" w:after="120" w:line="240" w:lineRule="auto"/>
              <w:rPr>
                <w:rFonts w:cs="Arial"/>
                <w:color w:val="000000"/>
                <w:sz w:val="24"/>
                <w:szCs w:val="24"/>
              </w:rPr>
            </w:pPr>
            <w:hyperlink r:id="rId99" w:history="1">
              <w:r w:rsidRPr="00265F0A">
                <w:rPr>
                  <w:rFonts w:cs="Arial"/>
                  <w:color w:val="0000FF"/>
                  <w:sz w:val="24"/>
                  <w:szCs w:val="24"/>
                  <w:u w:val="single"/>
                </w:rPr>
                <w:t>Acte européen sur l'accessibilité</w:t>
              </w:r>
            </w:hyperlink>
            <w:r w:rsidRPr="00265F0A">
              <w:rPr>
                <w:rFonts w:cs="Arial"/>
                <w:color w:val="000000"/>
                <w:sz w:val="24"/>
                <w:szCs w:val="24"/>
              </w:rPr>
              <w:t>.</w:t>
            </w:r>
          </w:p>
        </w:tc>
        <w:tc>
          <w:tcPr>
            <w:tcW w:w="3402" w:type="dxa"/>
            <w:shd w:val="clear" w:color="auto" w:fill="auto"/>
          </w:tcPr>
          <w:p w14:paraId="0B1E3014" w14:textId="77777777" w:rsidR="00265F0A" w:rsidRPr="00265F0A" w:rsidRDefault="00265F0A" w:rsidP="00265F0A">
            <w:pPr>
              <w:spacing w:before="120" w:after="120" w:line="240" w:lineRule="auto"/>
              <w:rPr>
                <w:rFonts w:cs="Arial"/>
                <w:color w:val="000000"/>
                <w:sz w:val="24"/>
                <w:szCs w:val="24"/>
              </w:rPr>
            </w:pPr>
            <w:r w:rsidRPr="00265F0A">
              <w:rPr>
                <w:rFonts w:cs="Arial"/>
                <w:color w:val="000000"/>
                <w:sz w:val="24"/>
                <w:szCs w:val="24"/>
              </w:rPr>
              <w:t>Candidature avant le 28 juin 2025.</w:t>
            </w:r>
          </w:p>
        </w:tc>
        <w:tc>
          <w:tcPr>
            <w:tcW w:w="3402" w:type="dxa"/>
            <w:shd w:val="clear" w:color="auto" w:fill="auto"/>
          </w:tcPr>
          <w:p w14:paraId="20272C69" w14:textId="77777777" w:rsidR="00265F0A" w:rsidRPr="00711662" w:rsidRDefault="00265F0A" w:rsidP="00265F0A">
            <w:pPr>
              <w:spacing w:before="120" w:after="120" w:line="240" w:lineRule="auto"/>
              <w:rPr>
                <w:rFonts w:cs="Arial"/>
                <w:color w:val="000000"/>
                <w:sz w:val="24"/>
                <w:szCs w:val="24"/>
                <w:lang w:val="fr-BE"/>
              </w:rPr>
            </w:pPr>
            <w:hyperlink r:id="rId100" w:history="1">
              <w:r w:rsidRPr="00711662">
                <w:rPr>
                  <w:rFonts w:cs="Arial"/>
                  <w:color w:val="0000FF"/>
                  <w:sz w:val="24"/>
                  <w:szCs w:val="24"/>
                  <w:u w:val="single"/>
                  <w:lang w:val="fr-BE"/>
                </w:rPr>
                <w:t>Boîte à outils du FED</w:t>
              </w:r>
            </w:hyperlink>
            <w:r w:rsidRPr="00711662">
              <w:rPr>
                <w:rFonts w:cs="Arial"/>
                <w:color w:val="000000"/>
                <w:sz w:val="24"/>
                <w:szCs w:val="24"/>
                <w:lang w:val="fr-BE"/>
              </w:rPr>
              <w:t xml:space="preserve">, et </w:t>
            </w:r>
            <w:hyperlink r:id="rId101" w:history="1">
              <w:r w:rsidRPr="00711662">
                <w:rPr>
                  <w:rFonts w:cs="Arial"/>
                  <w:color w:val="0000FF"/>
                  <w:sz w:val="24"/>
                  <w:szCs w:val="24"/>
                  <w:u w:val="single"/>
                  <w:lang w:val="fr-BE"/>
                </w:rPr>
                <w:t>webinaire</w:t>
              </w:r>
            </w:hyperlink>
            <w:r w:rsidRPr="00711662">
              <w:rPr>
                <w:rFonts w:cs="Arial"/>
                <w:color w:val="000000"/>
                <w:sz w:val="24"/>
                <w:szCs w:val="24"/>
                <w:lang w:val="fr-BE"/>
              </w:rPr>
              <w:t>.</w:t>
            </w:r>
          </w:p>
          <w:p w14:paraId="19DF7404" w14:textId="77777777" w:rsidR="00265F0A" w:rsidRPr="00265F0A" w:rsidRDefault="00265F0A" w:rsidP="00265F0A">
            <w:pPr>
              <w:spacing w:before="120" w:after="120" w:line="240" w:lineRule="auto"/>
              <w:rPr>
                <w:rFonts w:cs="Arial"/>
                <w:color w:val="000000"/>
                <w:sz w:val="24"/>
                <w:szCs w:val="24"/>
              </w:rPr>
            </w:pPr>
            <w:hyperlink r:id="rId102" w:history="1">
              <w:r w:rsidRPr="00265F0A">
                <w:rPr>
                  <w:rFonts w:cs="Arial"/>
                  <w:color w:val="0000FF"/>
                  <w:sz w:val="24"/>
                  <w:szCs w:val="24"/>
                  <w:u w:val="single"/>
                </w:rPr>
                <w:t>Campagne du FED</w:t>
              </w:r>
            </w:hyperlink>
            <w:r w:rsidRPr="00265F0A">
              <w:rPr>
                <w:rFonts w:cs="Arial"/>
                <w:color w:val="000000"/>
                <w:sz w:val="24"/>
                <w:szCs w:val="24"/>
              </w:rPr>
              <w:t>.</w:t>
            </w:r>
          </w:p>
          <w:p w14:paraId="2C7275F3" w14:textId="77777777" w:rsidR="00265F0A" w:rsidRPr="00265F0A" w:rsidRDefault="00265F0A" w:rsidP="00265F0A">
            <w:pPr>
              <w:spacing w:before="120" w:after="120" w:line="240" w:lineRule="auto"/>
              <w:rPr>
                <w:rFonts w:cs="Arial"/>
                <w:color w:val="000000"/>
                <w:sz w:val="24"/>
                <w:szCs w:val="24"/>
              </w:rPr>
            </w:pPr>
            <w:r w:rsidRPr="00265F0A">
              <w:rPr>
                <w:rFonts w:cs="Arial"/>
                <w:color w:val="000000"/>
                <w:sz w:val="24"/>
                <w:szCs w:val="24"/>
              </w:rPr>
              <w:t>Daniel.</w:t>
            </w:r>
          </w:p>
        </w:tc>
      </w:tr>
      <w:tr w:rsidR="00265F0A" w:rsidRPr="00265F0A" w14:paraId="0D9374FC" w14:textId="77777777" w:rsidTr="38402D5F">
        <w:tc>
          <w:tcPr>
            <w:tcW w:w="3402" w:type="dxa"/>
            <w:shd w:val="clear" w:color="auto" w:fill="auto"/>
          </w:tcPr>
          <w:p w14:paraId="7D0EA469" w14:textId="77777777" w:rsidR="00265F0A" w:rsidRPr="00711662" w:rsidRDefault="00265F0A" w:rsidP="00265F0A">
            <w:pPr>
              <w:spacing w:before="120" w:after="120" w:line="240" w:lineRule="auto"/>
              <w:rPr>
                <w:rFonts w:cs="Arial"/>
                <w:color w:val="000000"/>
                <w:sz w:val="24"/>
                <w:szCs w:val="24"/>
                <w:lang w:val="fr-BE"/>
              </w:rPr>
            </w:pPr>
            <w:hyperlink r:id="rId103" w:history="1">
              <w:r w:rsidRPr="00711662">
                <w:rPr>
                  <w:rFonts w:cs="Arial"/>
                  <w:color w:val="0000FF"/>
                  <w:sz w:val="24"/>
                  <w:szCs w:val="24"/>
                  <w:u w:val="single"/>
                  <w:lang w:val="fr-BE"/>
                </w:rPr>
                <w:t>Directive relative à la lutte contre la violence à l'égard des femmes et la violence domestique</w:t>
              </w:r>
            </w:hyperlink>
            <w:r w:rsidRPr="00711662">
              <w:rPr>
                <w:rFonts w:cs="Arial"/>
                <w:color w:val="000000"/>
                <w:sz w:val="24"/>
                <w:szCs w:val="24"/>
                <w:lang w:val="fr-BE"/>
              </w:rPr>
              <w:t>.</w:t>
            </w:r>
          </w:p>
        </w:tc>
        <w:tc>
          <w:tcPr>
            <w:tcW w:w="3402" w:type="dxa"/>
            <w:shd w:val="clear" w:color="auto" w:fill="auto"/>
          </w:tcPr>
          <w:p w14:paraId="35C65DD6" w14:textId="77777777" w:rsidR="00265F0A" w:rsidRPr="00265F0A" w:rsidRDefault="00265F0A" w:rsidP="00265F0A">
            <w:pPr>
              <w:spacing w:before="120" w:after="120" w:line="240" w:lineRule="auto"/>
              <w:rPr>
                <w:rFonts w:cs="Arial"/>
                <w:color w:val="000000"/>
                <w:sz w:val="24"/>
                <w:szCs w:val="24"/>
              </w:rPr>
            </w:pPr>
            <w:r w:rsidRPr="00265F0A">
              <w:rPr>
                <w:rFonts w:cs="Arial"/>
                <w:color w:val="000000"/>
                <w:sz w:val="24"/>
                <w:szCs w:val="24"/>
              </w:rPr>
              <w:t>Transposition avant le 14 juin 2027.</w:t>
            </w:r>
          </w:p>
        </w:tc>
        <w:tc>
          <w:tcPr>
            <w:tcW w:w="3402" w:type="dxa"/>
            <w:shd w:val="clear" w:color="auto" w:fill="auto"/>
          </w:tcPr>
          <w:p w14:paraId="30C7ABF2" w14:textId="77777777" w:rsidR="00265F0A" w:rsidRPr="00711662" w:rsidRDefault="00265F0A" w:rsidP="00265F0A">
            <w:pPr>
              <w:spacing w:before="120" w:after="120" w:line="240" w:lineRule="auto"/>
              <w:rPr>
                <w:rFonts w:cs="Arial"/>
                <w:color w:val="000000"/>
                <w:sz w:val="24"/>
                <w:szCs w:val="24"/>
                <w:lang w:val="fr-BE"/>
              </w:rPr>
            </w:pPr>
            <w:hyperlink r:id="rId104">
              <w:r w:rsidRPr="00711662">
                <w:rPr>
                  <w:rFonts w:cs="Arial"/>
                  <w:color w:val="0000FF"/>
                  <w:sz w:val="24"/>
                  <w:szCs w:val="24"/>
                  <w:u w:val="single"/>
                  <w:lang w:val="fr-BE"/>
                </w:rPr>
                <w:t>Résumé du FED</w:t>
              </w:r>
            </w:hyperlink>
            <w:r w:rsidRPr="00711662">
              <w:rPr>
                <w:rFonts w:cs="Arial"/>
                <w:color w:val="000000"/>
                <w:sz w:val="24"/>
                <w:szCs w:val="24"/>
                <w:lang w:val="fr-BE"/>
              </w:rPr>
              <w:t>.</w:t>
            </w:r>
          </w:p>
          <w:p w14:paraId="3D48D2AE" w14:textId="22BD10DF" w:rsidR="76914335" w:rsidRPr="00711662" w:rsidRDefault="2A88E78A" w:rsidP="0DD3A756">
            <w:pPr>
              <w:spacing w:before="120" w:after="120" w:line="240" w:lineRule="auto"/>
              <w:rPr>
                <w:rFonts w:cs="Arial"/>
                <w:color w:val="000000"/>
                <w:sz w:val="24"/>
                <w:szCs w:val="24"/>
                <w:lang w:val="fr-BE"/>
              </w:rPr>
            </w:pPr>
            <w:r w:rsidRPr="00711662">
              <w:rPr>
                <w:rFonts w:cs="Arial"/>
                <w:sz w:val="24"/>
                <w:szCs w:val="24"/>
                <w:highlight w:val="yellow"/>
                <w:lang w:val="fr-BE"/>
              </w:rPr>
              <w:t xml:space="preserve">Nouveau ! </w:t>
            </w:r>
            <w:hyperlink r:id="rId105" w:anchor=":~:text=The%20transposition%20process%3A%20Turning%20law,e%20a%20reality%20across%20the%20EU">
              <w:r w:rsidR="76914335" w:rsidRPr="00711662">
                <w:rPr>
                  <w:rStyle w:val="Hyperlink"/>
                  <w:rFonts w:cs="Arial"/>
                  <w:sz w:val="24"/>
                  <w:szCs w:val="24"/>
                  <w:lang w:val="fr-BE"/>
                </w:rPr>
                <w:t>Guide du FED sur la transposition</w:t>
              </w:r>
            </w:hyperlink>
            <w:r w:rsidR="76914335" w:rsidRPr="00711662">
              <w:rPr>
                <w:rFonts w:cs="Arial"/>
                <w:color w:val="000000"/>
                <w:sz w:val="24"/>
                <w:szCs w:val="24"/>
                <w:lang w:val="fr-BE"/>
              </w:rPr>
              <w:t xml:space="preserve">. </w:t>
            </w:r>
          </w:p>
          <w:p w14:paraId="771C23B9" w14:textId="5DB790DD" w:rsidR="00265F0A" w:rsidRPr="00265F0A" w:rsidRDefault="74D88FD6" w:rsidP="7B0AD778">
            <w:pPr>
              <w:spacing w:before="120" w:after="120" w:line="240" w:lineRule="auto"/>
            </w:pPr>
            <w:r w:rsidRPr="00AF58D3">
              <w:rPr>
                <w:rFonts w:cs="Arial"/>
                <w:color w:val="000000"/>
                <w:sz w:val="24"/>
                <w:szCs w:val="24"/>
              </w:rPr>
              <w:t>Giulia</w:t>
            </w:r>
          </w:p>
        </w:tc>
      </w:tr>
      <w:tr w:rsidR="00265F0A" w:rsidRPr="00265F0A" w14:paraId="5FA6C967" w14:textId="77777777" w:rsidTr="38402D5F">
        <w:tc>
          <w:tcPr>
            <w:tcW w:w="3402" w:type="dxa"/>
            <w:shd w:val="clear" w:color="auto" w:fill="auto"/>
          </w:tcPr>
          <w:p w14:paraId="6CFB95ED" w14:textId="77777777" w:rsidR="00265F0A" w:rsidRPr="00711662" w:rsidRDefault="00265F0A" w:rsidP="00265F0A">
            <w:pPr>
              <w:spacing w:before="120" w:after="120" w:line="240" w:lineRule="auto"/>
              <w:rPr>
                <w:rFonts w:cs="Arial"/>
                <w:color w:val="000000"/>
                <w:sz w:val="24"/>
                <w:szCs w:val="24"/>
                <w:lang w:val="fr-BE"/>
              </w:rPr>
            </w:pPr>
            <w:r w:rsidRPr="00711662">
              <w:rPr>
                <w:rFonts w:cs="Arial"/>
                <w:color w:val="000000"/>
                <w:sz w:val="24"/>
                <w:szCs w:val="24"/>
                <w:lang w:val="fr-BE"/>
              </w:rPr>
              <w:t>Directives relatives aux organismes de promotion de l'égalité :</w:t>
            </w:r>
          </w:p>
          <w:p w14:paraId="0AB38FA6" w14:textId="77777777" w:rsidR="00265F0A" w:rsidRPr="00711662" w:rsidRDefault="00265F0A" w:rsidP="00265F0A">
            <w:pPr>
              <w:numPr>
                <w:ilvl w:val="0"/>
                <w:numId w:val="14"/>
              </w:numPr>
              <w:spacing w:before="120" w:after="120" w:line="240" w:lineRule="auto"/>
              <w:rPr>
                <w:rFonts w:cs="Arial"/>
                <w:color w:val="000000"/>
                <w:sz w:val="24"/>
                <w:szCs w:val="24"/>
                <w:lang w:val="fr-BE"/>
              </w:rPr>
            </w:pPr>
            <w:hyperlink r:id="rId106" w:history="1">
              <w:r w:rsidRPr="00711662">
                <w:rPr>
                  <w:rFonts w:cs="Arial"/>
                  <w:color w:val="0000FF"/>
                  <w:sz w:val="24"/>
                  <w:szCs w:val="24"/>
                  <w:u w:val="single"/>
                  <w:lang w:val="fr-BE"/>
                </w:rPr>
                <w:t>Directive relative aux normes applicables aux organismes de promotion de l'égalité dans le domaine de l'égalité de traitement et de l'égalité des chances entre les femmes et les hommes en matière d'emploi et de travail</w:t>
              </w:r>
            </w:hyperlink>
            <w:r w:rsidRPr="00711662">
              <w:rPr>
                <w:rFonts w:cs="Arial"/>
                <w:color w:val="000000"/>
                <w:sz w:val="24"/>
                <w:szCs w:val="24"/>
                <w:lang w:val="fr-BE"/>
              </w:rPr>
              <w:t>.</w:t>
            </w:r>
          </w:p>
          <w:p w14:paraId="259A922C" w14:textId="77777777" w:rsidR="00265F0A" w:rsidRPr="00711662" w:rsidRDefault="00265F0A" w:rsidP="00265F0A">
            <w:pPr>
              <w:numPr>
                <w:ilvl w:val="0"/>
                <w:numId w:val="14"/>
              </w:numPr>
              <w:spacing w:before="120" w:after="120" w:line="240" w:lineRule="auto"/>
              <w:rPr>
                <w:rFonts w:cs="Arial"/>
                <w:color w:val="000000"/>
                <w:sz w:val="24"/>
                <w:szCs w:val="24"/>
                <w:lang w:val="fr-BE"/>
              </w:rPr>
            </w:pPr>
            <w:hyperlink r:id="rId107" w:history="1">
              <w:r w:rsidRPr="00711662">
                <w:rPr>
                  <w:rFonts w:cs="Arial"/>
                  <w:color w:val="0000FF"/>
                  <w:sz w:val="24"/>
                  <w:szCs w:val="24"/>
                  <w:u w:val="single"/>
                  <w:lang w:val="fr-BE"/>
                </w:rPr>
                <w:t xml:space="preserve">Directive relative aux normes applicables aux organismes de promotion de l'égalité dans le domaine de l'égalité de traitement entre les personnes </w:t>
              </w:r>
              <w:r w:rsidRPr="00711662">
                <w:rPr>
                  <w:rFonts w:cs="Arial"/>
                  <w:color w:val="0000FF"/>
                  <w:sz w:val="24"/>
                  <w:szCs w:val="24"/>
                  <w:u w:val="single"/>
                  <w:lang w:val="fr-BE"/>
                </w:rPr>
                <w:lastRenderedPageBreak/>
                <w:t>sans distinction de race ou d'origine ethnique, de l'égalité de traitement en matière d'emploi et de travail entre les personnes sans distinction de religion ou de convictions, de handicap, d'âge ou d'orientation sexuelle , de l'égalité de traitement entre les femmes et les hommes en matière de sécurité sociale et dans l'accès à des biens et services et la fourniture de biens et services</w:t>
              </w:r>
            </w:hyperlink>
            <w:r w:rsidRPr="00711662">
              <w:rPr>
                <w:rFonts w:cs="Arial"/>
                <w:color w:val="000000"/>
                <w:sz w:val="24"/>
                <w:szCs w:val="24"/>
                <w:lang w:val="fr-BE"/>
              </w:rPr>
              <w:t>.</w:t>
            </w:r>
          </w:p>
        </w:tc>
        <w:tc>
          <w:tcPr>
            <w:tcW w:w="3402" w:type="dxa"/>
            <w:shd w:val="clear" w:color="auto" w:fill="auto"/>
          </w:tcPr>
          <w:p w14:paraId="35E664AC" w14:textId="77777777" w:rsidR="00265F0A" w:rsidRPr="00265F0A" w:rsidRDefault="00265F0A" w:rsidP="00265F0A">
            <w:pPr>
              <w:spacing w:before="120" w:after="120" w:line="240" w:lineRule="auto"/>
              <w:rPr>
                <w:rFonts w:cs="Arial"/>
                <w:color w:val="000000"/>
                <w:sz w:val="24"/>
                <w:szCs w:val="24"/>
              </w:rPr>
            </w:pPr>
            <w:r w:rsidRPr="00265F0A">
              <w:rPr>
                <w:rFonts w:cs="Arial"/>
                <w:color w:val="000000"/>
                <w:sz w:val="24"/>
                <w:szCs w:val="24"/>
              </w:rPr>
              <w:lastRenderedPageBreak/>
              <w:t>Transposition avant le 19 juin 2026.</w:t>
            </w:r>
          </w:p>
        </w:tc>
        <w:tc>
          <w:tcPr>
            <w:tcW w:w="3402" w:type="dxa"/>
            <w:shd w:val="clear" w:color="auto" w:fill="auto"/>
          </w:tcPr>
          <w:p w14:paraId="62B0E749" w14:textId="77777777" w:rsidR="00265F0A" w:rsidRPr="00711662" w:rsidRDefault="00265F0A" w:rsidP="00265F0A">
            <w:pPr>
              <w:spacing w:before="120" w:after="120" w:line="240" w:lineRule="auto"/>
              <w:rPr>
                <w:rFonts w:cs="Arial"/>
                <w:color w:val="000000"/>
                <w:sz w:val="24"/>
                <w:szCs w:val="24"/>
                <w:lang w:val="fr-BE"/>
              </w:rPr>
            </w:pPr>
            <w:hyperlink r:id="rId108" w:history="1">
              <w:r w:rsidRPr="00711662">
                <w:rPr>
                  <w:rFonts w:cs="Arial"/>
                  <w:color w:val="0000FF"/>
                  <w:sz w:val="24"/>
                  <w:szCs w:val="24"/>
                  <w:u w:val="single"/>
                  <w:lang w:val="fr-BE"/>
                </w:rPr>
                <w:t>Résumé du FED</w:t>
              </w:r>
            </w:hyperlink>
            <w:r w:rsidRPr="00711662">
              <w:rPr>
                <w:rFonts w:cs="Arial"/>
                <w:color w:val="000000"/>
                <w:sz w:val="24"/>
                <w:szCs w:val="24"/>
                <w:lang w:val="fr-BE"/>
              </w:rPr>
              <w:t>.</w:t>
            </w:r>
          </w:p>
          <w:p w14:paraId="6C36B010" w14:textId="79111432" w:rsidR="00265F0A" w:rsidRPr="00711662" w:rsidRDefault="00265F0A" w:rsidP="124EBE3E">
            <w:pPr>
              <w:spacing w:before="120" w:after="120" w:line="240" w:lineRule="auto"/>
              <w:rPr>
                <w:rFonts w:cs="Arial"/>
                <w:color w:val="000000"/>
                <w:lang w:val="fr-BE"/>
              </w:rPr>
            </w:pPr>
            <w:r w:rsidRPr="00711662">
              <w:rPr>
                <w:rFonts w:cs="Arial"/>
                <w:color w:val="000000"/>
                <w:sz w:val="24"/>
                <w:szCs w:val="24"/>
                <w:lang w:val="fr-BE"/>
              </w:rPr>
              <w:t xml:space="preserve">Equinet : </w:t>
            </w:r>
            <w:hyperlink r:id="rId109">
              <w:r w:rsidRPr="00711662">
                <w:rPr>
                  <w:rFonts w:cs="Arial"/>
                  <w:color w:val="0000FF"/>
                  <w:u w:val="single"/>
                  <w:lang w:val="fr-BE"/>
                </w:rPr>
                <w:t>Comprendre les nouvelles directives de l'UE sur les normes pour les organismes de promotion de l'égalité : Principes clés dérivés du Legal Digest on Standards for Equality Bodies</w:t>
              </w:r>
            </w:hyperlink>
            <w:r w:rsidRPr="00711662">
              <w:rPr>
                <w:rFonts w:cs="Arial"/>
                <w:color w:val="000000"/>
                <w:lang w:val="fr-BE"/>
              </w:rPr>
              <w:t>.</w:t>
            </w:r>
          </w:p>
          <w:p w14:paraId="090D55F2" w14:textId="77777777" w:rsidR="00265F0A" w:rsidRPr="00265F0A" w:rsidRDefault="00265F0A" w:rsidP="00265F0A">
            <w:pPr>
              <w:spacing w:before="120" w:after="120" w:line="240" w:lineRule="auto"/>
              <w:rPr>
                <w:rFonts w:cs="Arial"/>
                <w:color w:val="000000"/>
                <w:sz w:val="24"/>
                <w:szCs w:val="24"/>
              </w:rPr>
            </w:pPr>
            <w:r w:rsidRPr="00265F0A">
              <w:rPr>
                <w:rFonts w:cs="Arial"/>
                <w:color w:val="000000"/>
                <w:sz w:val="24"/>
                <w:szCs w:val="24"/>
              </w:rPr>
              <w:t>Marine.</w:t>
            </w:r>
          </w:p>
        </w:tc>
      </w:tr>
      <w:tr w:rsidR="00265F0A" w:rsidRPr="00265F0A" w14:paraId="59CF744B" w14:textId="77777777" w:rsidTr="38402D5F">
        <w:tc>
          <w:tcPr>
            <w:tcW w:w="3402" w:type="dxa"/>
            <w:shd w:val="clear" w:color="auto" w:fill="auto"/>
          </w:tcPr>
          <w:p w14:paraId="1C895FDE" w14:textId="77777777" w:rsidR="00265F0A" w:rsidRPr="00711662" w:rsidRDefault="00265F0A" w:rsidP="00265F0A">
            <w:pPr>
              <w:spacing w:before="120" w:after="120" w:line="240" w:lineRule="auto"/>
              <w:rPr>
                <w:rFonts w:cs="Arial"/>
                <w:color w:val="000000"/>
                <w:sz w:val="24"/>
                <w:szCs w:val="24"/>
                <w:lang w:val="fr-BE"/>
              </w:rPr>
            </w:pPr>
            <w:hyperlink r:id="rId110" w:history="1">
              <w:r w:rsidRPr="00711662">
                <w:rPr>
                  <w:rFonts w:cs="Arial"/>
                  <w:color w:val="0000FF"/>
                  <w:sz w:val="24"/>
                  <w:szCs w:val="24"/>
                  <w:u w:val="single"/>
                  <w:lang w:val="fr-BE"/>
                </w:rPr>
                <w:t>Guide des bonnes pratiques électorales dans les États membres concernant la participation des citoyens handicapés au processus électoral</w:t>
              </w:r>
            </w:hyperlink>
            <w:r w:rsidRPr="00711662">
              <w:rPr>
                <w:rFonts w:cs="Arial"/>
                <w:color w:val="000000"/>
                <w:sz w:val="24"/>
                <w:szCs w:val="24"/>
                <w:lang w:val="fr-BE"/>
              </w:rPr>
              <w:t>.</w:t>
            </w:r>
          </w:p>
        </w:tc>
        <w:tc>
          <w:tcPr>
            <w:tcW w:w="3402" w:type="dxa"/>
            <w:shd w:val="clear" w:color="auto" w:fill="auto"/>
          </w:tcPr>
          <w:p w14:paraId="5D2F8D41" w14:textId="77777777" w:rsidR="00265F0A" w:rsidRPr="00265F0A" w:rsidRDefault="00265F0A" w:rsidP="00265F0A">
            <w:pPr>
              <w:spacing w:before="120" w:after="120" w:line="240" w:lineRule="auto"/>
              <w:rPr>
                <w:rFonts w:cs="Arial"/>
                <w:color w:val="000000"/>
                <w:sz w:val="24"/>
                <w:szCs w:val="24"/>
              </w:rPr>
            </w:pPr>
            <w:r w:rsidRPr="00265F0A">
              <w:rPr>
                <w:rFonts w:cs="Arial"/>
                <w:color w:val="000000"/>
                <w:sz w:val="24"/>
                <w:szCs w:val="24"/>
              </w:rPr>
              <w:t>Publié le 6 décembre 2023.</w:t>
            </w:r>
          </w:p>
        </w:tc>
        <w:tc>
          <w:tcPr>
            <w:tcW w:w="3402" w:type="dxa"/>
            <w:shd w:val="clear" w:color="auto" w:fill="auto"/>
          </w:tcPr>
          <w:p w14:paraId="044AED01" w14:textId="77777777" w:rsidR="00265F0A" w:rsidRPr="00265F0A" w:rsidRDefault="00265F0A" w:rsidP="00265F0A">
            <w:pPr>
              <w:spacing w:before="120" w:after="120" w:line="240" w:lineRule="auto"/>
              <w:rPr>
                <w:rFonts w:cs="Arial"/>
                <w:color w:val="000000"/>
                <w:sz w:val="24"/>
                <w:szCs w:val="24"/>
              </w:rPr>
            </w:pPr>
            <w:hyperlink r:id="rId111" w:history="1">
              <w:r w:rsidRPr="00265F0A">
                <w:rPr>
                  <w:rFonts w:cs="Arial"/>
                  <w:color w:val="0000FF"/>
                  <w:sz w:val="24"/>
                  <w:szCs w:val="24"/>
                  <w:u w:val="single"/>
                </w:rPr>
                <w:t>Résumé du FED</w:t>
              </w:r>
            </w:hyperlink>
            <w:r w:rsidRPr="00265F0A">
              <w:rPr>
                <w:rFonts w:cs="Arial"/>
                <w:color w:val="000000"/>
                <w:sz w:val="24"/>
                <w:szCs w:val="24"/>
              </w:rPr>
              <w:t>.</w:t>
            </w:r>
          </w:p>
          <w:p w14:paraId="4972F28A" w14:textId="77777777" w:rsidR="00265F0A" w:rsidRPr="00265F0A" w:rsidRDefault="00265F0A" w:rsidP="00265F0A">
            <w:pPr>
              <w:spacing w:before="120" w:after="120" w:line="240" w:lineRule="auto"/>
              <w:rPr>
                <w:rFonts w:cs="Arial"/>
                <w:color w:val="000000"/>
                <w:sz w:val="24"/>
                <w:szCs w:val="24"/>
              </w:rPr>
            </w:pPr>
            <w:r w:rsidRPr="00265F0A">
              <w:rPr>
                <w:rFonts w:cs="Arial"/>
                <w:color w:val="000000"/>
                <w:sz w:val="24"/>
                <w:szCs w:val="24"/>
              </w:rPr>
              <w:t>Alejandro.</w:t>
            </w:r>
          </w:p>
        </w:tc>
      </w:tr>
      <w:tr w:rsidR="00265F0A" w:rsidRPr="00265F0A" w14:paraId="2B7C5DC2" w14:textId="77777777" w:rsidTr="38402D5F">
        <w:tc>
          <w:tcPr>
            <w:tcW w:w="3402" w:type="dxa"/>
            <w:shd w:val="clear" w:color="auto" w:fill="auto"/>
          </w:tcPr>
          <w:p w14:paraId="06AD4B20" w14:textId="77777777" w:rsidR="00265F0A" w:rsidRPr="00265F0A" w:rsidRDefault="00265F0A" w:rsidP="00265F0A">
            <w:pPr>
              <w:spacing w:before="120" w:after="120" w:line="240" w:lineRule="auto"/>
              <w:rPr>
                <w:rFonts w:cs="Arial"/>
                <w:color w:val="000000"/>
                <w:sz w:val="24"/>
                <w:szCs w:val="24"/>
              </w:rPr>
            </w:pPr>
            <w:hyperlink r:id="rId112" w:anchor="d1e3003-1-1" w:history="1">
              <w:r w:rsidRPr="00265F0A">
                <w:rPr>
                  <w:rFonts w:cs="Arial"/>
                  <w:color w:val="0000FF"/>
                  <w:sz w:val="24"/>
                  <w:szCs w:val="24"/>
                  <w:u w:val="single"/>
                </w:rPr>
                <w:t>Loi sur l'intelligence artificielle</w:t>
              </w:r>
            </w:hyperlink>
            <w:r w:rsidRPr="00265F0A">
              <w:rPr>
                <w:rFonts w:cs="Arial"/>
                <w:color w:val="000000"/>
                <w:sz w:val="24"/>
                <w:szCs w:val="24"/>
              </w:rPr>
              <w:t>.</w:t>
            </w:r>
          </w:p>
        </w:tc>
        <w:tc>
          <w:tcPr>
            <w:tcW w:w="3402" w:type="dxa"/>
            <w:shd w:val="clear" w:color="auto" w:fill="auto"/>
          </w:tcPr>
          <w:p w14:paraId="4127B0FD" w14:textId="77777777" w:rsidR="00265F0A" w:rsidRPr="00711662" w:rsidRDefault="00265F0A" w:rsidP="00265F0A">
            <w:pPr>
              <w:spacing w:before="120" w:after="120" w:line="240" w:lineRule="auto"/>
              <w:rPr>
                <w:rFonts w:cs="Arial"/>
                <w:color w:val="000000"/>
                <w:sz w:val="24"/>
                <w:szCs w:val="24"/>
                <w:lang w:val="fr-BE"/>
              </w:rPr>
            </w:pPr>
            <w:r w:rsidRPr="00711662">
              <w:rPr>
                <w:rFonts w:cs="Arial"/>
                <w:color w:val="000000"/>
                <w:sz w:val="24"/>
                <w:szCs w:val="24"/>
                <w:lang w:val="fr-BE"/>
              </w:rPr>
              <w:t>Adoptée le 13 juin 2024.</w:t>
            </w:r>
          </w:p>
          <w:p w14:paraId="2ABDB3C0" w14:textId="77777777" w:rsidR="00265F0A" w:rsidRPr="00711662" w:rsidRDefault="00265F0A" w:rsidP="00265F0A">
            <w:pPr>
              <w:spacing w:before="120" w:after="120" w:line="240" w:lineRule="auto"/>
              <w:rPr>
                <w:rFonts w:cs="Arial"/>
                <w:color w:val="000000"/>
                <w:sz w:val="24"/>
                <w:szCs w:val="24"/>
                <w:lang w:val="fr-BE"/>
              </w:rPr>
            </w:pPr>
            <w:r w:rsidRPr="00711662">
              <w:rPr>
                <w:rFonts w:cs="Arial"/>
                <w:color w:val="000000"/>
                <w:sz w:val="24"/>
                <w:szCs w:val="24"/>
                <w:lang w:val="fr-BE"/>
              </w:rPr>
              <w:t>(Le calendrier d'application peut être consulté dans la boîte à outils du FED).</w:t>
            </w:r>
          </w:p>
        </w:tc>
        <w:tc>
          <w:tcPr>
            <w:tcW w:w="3402" w:type="dxa"/>
            <w:shd w:val="clear" w:color="auto" w:fill="auto"/>
          </w:tcPr>
          <w:p w14:paraId="4AA59E6C" w14:textId="77777777" w:rsidR="00265F0A" w:rsidRPr="00711662" w:rsidRDefault="00265F0A" w:rsidP="00265F0A">
            <w:pPr>
              <w:spacing w:before="120" w:after="120" w:line="240" w:lineRule="auto"/>
              <w:rPr>
                <w:rFonts w:cs="Arial"/>
                <w:color w:val="000000"/>
                <w:sz w:val="24"/>
                <w:szCs w:val="24"/>
                <w:lang w:val="fr-BE"/>
              </w:rPr>
            </w:pPr>
            <w:hyperlink r:id="rId113" w:history="1">
              <w:r w:rsidRPr="00711662">
                <w:rPr>
                  <w:rFonts w:cs="Arial"/>
                  <w:color w:val="0000FF"/>
                  <w:sz w:val="24"/>
                  <w:szCs w:val="24"/>
                  <w:u w:val="single"/>
                  <w:lang w:val="fr-BE"/>
                </w:rPr>
                <w:t>Analyse de la loi sur l'IA par le FED</w:t>
              </w:r>
            </w:hyperlink>
            <w:r w:rsidRPr="00711662">
              <w:rPr>
                <w:rFonts w:cs="Arial"/>
                <w:color w:val="000000"/>
                <w:sz w:val="24"/>
                <w:szCs w:val="24"/>
                <w:lang w:val="fr-BE"/>
              </w:rPr>
              <w:t>.</w:t>
            </w:r>
          </w:p>
          <w:p w14:paraId="4EBB6EA0" w14:textId="3C809FE1" w:rsidR="00265F0A" w:rsidRPr="00711662" w:rsidRDefault="00265F0A" w:rsidP="00265F0A">
            <w:pPr>
              <w:spacing w:before="120" w:after="120" w:line="240" w:lineRule="auto"/>
              <w:rPr>
                <w:rFonts w:cs="Arial"/>
                <w:b/>
                <w:bCs/>
                <w:color w:val="000000"/>
                <w:sz w:val="24"/>
                <w:szCs w:val="24"/>
                <w:lang w:val="fr-BE"/>
              </w:rPr>
            </w:pPr>
            <w:hyperlink r:id="rId114">
              <w:r w:rsidRPr="00711662">
                <w:rPr>
                  <w:rFonts w:cs="Arial"/>
                  <w:b/>
                  <w:bCs/>
                  <w:color w:val="0000FF"/>
                  <w:sz w:val="24"/>
                  <w:szCs w:val="24"/>
                  <w:u w:val="single"/>
                  <w:lang w:val="fr-BE"/>
                </w:rPr>
                <w:t>Boîte à outils du FED sur la loi sur l'IA</w:t>
              </w:r>
            </w:hyperlink>
            <w:r w:rsidRPr="00711662">
              <w:rPr>
                <w:rFonts w:cs="Arial"/>
                <w:color w:val="000000"/>
                <w:sz w:val="24"/>
                <w:szCs w:val="24"/>
                <w:lang w:val="fr-BE"/>
              </w:rPr>
              <w:t>.</w:t>
            </w:r>
          </w:p>
          <w:p w14:paraId="078FBE5B" w14:textId="77777777" w:rsidR="00265F0A" w:rsidRPr="00265F0A" w:rsidRDefault="00265F0A" w:rsidP="00265F0A">
            <w:pPr>
              <w:spacing w:before="120" w:after="120" w:line="240" w:lineRule="auto"/>
              <w:rPr>
                <w:rFonts w:cs="Arial"/>
                <w:color w:val="000000"/>
                <w:sz w:val="24"/>
                <w:szCs w:val="24"/>
              </w:rPr>
            </w:pPr>
            <w:r w:rsidRPr="00AF58D3">
              <w:rPr>
                <w:rFonts w:cs="Arial"/>
                <w:color w:val="000000"/>
                <w:sz w:val="24"/>
                <w:szCs w:val="24"/>
              </w:rPr>
              <w:t>Kave.</w:t>
            </w:r>
          </w:p>
          <w:p w14:paraId="30864E73" w14:textId="77777777" w:rsidR="00265F0A" w:rsidRPr="00265F0A" w:rsidRDefault="00265F0A" w:rsidP="00265F0A">
            <w:pPr>
              <w:spacing w:before="120" w:after="120" w:line="240" w:lineRule="auto"/>
              <w:rPr>
                <w:rFonts w:cs="Arial"/>
                <w:color w:val="000000"/>
                <w:sz w:val="24"/>
                <w:szCs w:val="24"/>
              </w:rPr>
            </w:pPr>
          </w:p>
        </w:tc>
      </w:tr>
      <w:tr w:rsidR="00265F0A" w:rsidRPr="00265F0A" w14:paraId="78B9196C" w14:textId="77777777" w:rsidTr="38402D5F">
        <w:tc>
          <w:tcPr>
            <w:tcW w:w="3402" w:type="dxa"/>
            <w:shd w:val="clear" w:color="auto" w:fill="auto"/>
          </w:tcPr>
          <w:p w14:paraId="5D2595FE" w14:textId="77777777" w:rsidR="00265F0A" w:rsidRPr="00711662" w:rsidRDefault="00265F0A" w:rsidP="00265F0A">
            <w:pPr>
              <w:spacing w:before="120" w:after="120" w:line="240" w:lineRule="auto"/>
              <w:rPr>
                <w:rFonts w:cs="Arial"/>
                <w:color w:val="000000"/>
                <w:sz w:val="24"/>
                <w:szCs w:val="24"/>
                <w:lang w:val="fr-BE"/>
              </w:rPr>
            </w:pPr>
            <w:hyperlink r:id="rId115" w:history="1">
              <w:r w:rsidRPr="00711662">
                <w:rPr>
                  <w:rFonts w:cs="Arial"/>
                  <w:color w:val="0000FF"/>
                  <w:sz w:val="24"/>
                  <w:szCs w:val="24"/>
                  <w:u w:val="single"/>
                  <w:lang w:val="fr-BE"/>
                </w:rPr>
                <w:t>Directive sur la performance énergétique des bâtiments</w:t>
              </w:r>
            </w:hyperlink>
            <w:r w:rsidRPr="00711662">
              <w:rPr>
                <w:rFonts w:cs="Arial"/>
                <w:color w:val="000000"/>
                <w:sz w:val="24"/>
                <w:szCs w:val="24"/>
                <w:lang w:val="fr-BE"/>
              </w:rPr>
              <w:t>.</w:t>
            </w:r>
          </w:p>
        </w:tc>
        <w:tc>
          <w:tcPr>
            <w:tcW w:w="3402" w:type="dxa"/>
            <w:shd w:val="clear" w:color="auto" w:fill="auto"/>
          </w:tcPr>
          <w:p w14:paraId="05F82C29" w14:textId="77777777" w:rsidR="00265F0A" w:rsidRPr="00265F0A" w:rsidRDefault="00265F0A" w:rsidP="00265F0A">
            <w:pPr>
              <w:spacing w:before="120" w:after="120" w:line="240" w:lineRule="auto"/>
              <w:rPr>
                <w:rFonts w:cs="Arial"/>
                <w:color w:val="000000"/>
                <w:sz w:val="24"/>
                <w:szCs w:val="24"/>
              </w:rPr>
            </w:pPr>
            <w:r w:rsidRPr="00265F0A">
              <w:rPr>
                <w:rFonts w:cs="Arial"/>
                <w:color w:val="000000"/>
                <w:sz w:val="24"/>
                <w:szCs w:val="24"/>
              </w:rPr>
              <w:t>Transposition avant le 29 mai 2026.</w:t>
            </w:r>
          </w:p>
        </w:tc>
        <w:tc>
          <w:tcPr>
            <w:tcW w:w="3402" w:type="dxa"/>
            <w:shd w:val="clear" w:color="auto" w:fill="auto"/>
          </w:tcPr>
          <w:p w14:paraId="7B32EC19" w14:textId="77777777" w:rsidR="00265F0A" w:rsidRPr="00711662" w:rsidRDefault="00265F0A" w:rsidP="00265F0A">
            <w:pPr>
              <w:spacing w:before="120" w:after="120" w:line="240" w:lineRule="auto"/>
              <w:rPr>
                <w:rFonts w:cs="Arial"/>
                <w:color w:val="000000"/>
                <w:sz w:val="24"/>
                <w:szCs w:val="24"/>
                <w:lang w:val="fr-BE"/>
              </w:rPr>
            </w:pPr>
            <w:r w:rsidRPr="00711662">
              <w:rPr>
                <w:rFonts w:cs="Arial"/>
                <w:color w:val="000000"/>
                <w:sz w:val="24"/>
                <w:szCs w:val="24"/>
                <w:highlight w:val="yellow"/>
                <w:lang w:val="fr-BE"/>
              </w:rPr>
              <w:t xml:space="preserve">Nouveau ! </w:t>
            </w:r>
            <w:hyperlink r:id="rId116" w:history="1">
              <w:r w:rsidRPr="00711662">
                <w:rPr>
                  <w:rFonts w:cs="Arial"/>
                  <w:color w:val="0000FF"/>
                  <w:sz w:val="24"/>
                  <w:szCs w:val="24"/>
                  <w:u w:val="single"/>
                  <w:lang w:val="fr-BE"/>
                </w:rPr>
                <w:t>Boîte à outils de transposition du FED</w:t>
              </w:r>
            </w:hyperlink>
            <w:r w:rsidRPr="00711662">
              <w:rPr>
                <w:rFonts w:cs="Arial"/>
                <w:color w:val="000000"/>
                <w:sz w:val="24"/>
                <w:szCs w:val="24"/>
                <w:lang w:val="fr-BE"/>
              </w:rPr>
              <w:t>.</w:t>
            </w:r>
          </w:p>
          <w:p w14:paraId="1CC2D02D" w14:textId="372E86A4" w:rsidR="002C076E" w:rsidRPr="002C076E" w:rsidRDefault="002C076E" w:rsidP="00265F0A">
            <w:pPr>
              <w:spacing w:before="120" w:after="120" w:line="240" w:lineRule="auto"/>
              <w:rPr>
                <w:rFonts w:cs="Arial"/>
                <w:color w:val="000000"/>
                <w:sz w:val="24"/>
                <w:szCs w:val="24"/>
              </w:rPr>
            </w:pPr>
            <w:r w:rsidRPr="002C076E">
              <w:rPr>
                <w:rFonts w:cs="Arial"/>
                <w:color w:val="000000"/>
                <w:sz w:val="24"/>
                <w:szCs w:val="24"/>
              </w:rPr>
              <w:t>Gordon</w:t>
            </w:r>
          </w:p>
        </w:tc>
      </w:tr>
      <w:tr w:rsidR="00265F0A" w:rsidRPr="00711662" w14:paraId="20714FA8" w14:textId="77777777" w:rsidTr="38402D5F">
        <w:tc>
          <w:tcPr>
            <w:tcW w:w="3402" w:type="dxa"/>
            <w:shd w:val="clear" w:color="auto" w:fill="auto"/>
          </w:tcPr>
          <w:p w14:paraId="387E51C5" w14:textId="77777777" w:rsidR="00265F0A" w:rsidRPr="00711662" w:rsidRDefault="00265F0A" w:rsidP="00265F0A">
            <w:pPr>
              <w:spacing w:before="120" w:after="120" w:line="240" w:lineRule="auto"/>
              <w:rPr>
                <w:rFonts w:cs="Arial"/>
                <w:color w:val="000000"/>
                <w:sz w:val="24"/>
                <w:szCs w:val="24"/>
                <w:lang w:val="fr-BE"/>
              </w:rPr>
            </w:pPr>
            <w:hyperlink r:id="rId117" w:history="1">
              <w:r w:rsidRPr="00711662">
                <w:rPr>
                  <w:rFonts w:cs="Arial"/>
                  <w:color w:val="0000FF"/>
                  <w:sz w:val="24"/>
                  <w:szCs w:val="24"/>
                  <w:u w:val="single"/>
                  <w:lang w:val="fr-BE"/>
                </w:rPr>
                <w:t xml:space="preserve">Règlement relatif au réseau transeuropéen </w:t>
              </w:r>
              <w:r w:rsidRPr="00711662">
                <w:rPr>
                  <w:color w:val="0000FF"/>
                  <w:u w:val="single"/>
                  <w:lang w:val="fr-BE"/>
                </w:rPr>
                <w:t xml:space="preserve">de transport </w:t>
              </w:r>
            </w:hyperlink>
            <w:r w:rsidRPr="00711662">
              <w:rPr>
                <w:rFonts w:cs="Arial"/>
                <w:color w:val="000000"/>
                <w:sz w:val="24"/>
                <w:szCs w:val="24"/>
                <w:lang w:val="fr-BE"/>
              </w:rPr>
              <w:t>(RTE-T).</w:t>
            </w:r>
          </w:p>
        </w:tc>
        <w:tc>
          <w:tcPr>
            <w:tcW w:w="3402" w:type="dxa"/>
            <w:shd w:val="clear" w:color="auto" w:fill="auto"/>
          </w:tcPr>
          <w:p w14:paraId="6113B780" w14:textId="77777777" w:rsidR="00265F0A" w:rsidRPr="00265F0A" w:rsidRDefault="00265F0A" w:rsidP="00265F0A">
            <w:pPr>
              <w:spacing w:before="120" w:after="120" w:line="240" w:lineRule="auto"/>
              <w:rPr>
                <w:rFonts w:cs="Arial"/>
                <w:color w:val="000000"/>
                <w:sz w:val="24"/>
                <w:szCs w:val="24"/>
              </w:rPr>
            </w:pPr>
            <w:r w:rsidRPr="00265F0A">
              <w:rPr>
                <w:rFonts w:cs="Arial"/>
                <w:color w:val="000000"/>
                <w:sz w:val="24"/>
                <w:szCs w:val="24"/>
              </w:rPr>
              <w:t>Adopté le 13 juin 2024.</w:t>
            </w:r>
          </w:p>
        </w:tc>
        <w:tc>
          <w:tcPr>
            <w:tcW w:w="3402" w:type="dxa"/>
            <w:shd w:val="clear" w:color="auto" w:fill="auto"/>
          </w:tcPr>
          <w:p w14:paraId="4C738789" w14:textId="77777777" w:rsidR="00265F0A" w:rsidRPr="00711662" w:rsidRDefault="00265F0A" w:rsidP="00265F0A">
            <w:pPr>
              <w:spacing w:before="120" w:after="120" w:line="240" w:lineRule="auto"/>
              <w:rPr>
                <w:rFonts w:cs="Arial"/>
                <w:color w:val="000000"/>
                <w:sz w:val="24"/>
                <w:szCs w:val="24"/>
                <w:lang w:val="fr-BE"/>
              </w:rPr>
            </w:pPr>
            <w:r w:rsidRPr="00711662">
              <w:rPr>
                <w:rFonts w:cs="Arial"/>
                <w:color w:val="000000"/>
                <w:sz w:val="24"/>
                <w:szCs w:val="24"/>
                <w:lang w:val="fr-BE"/>
              </w:rPr>
              <w:t xml:space="preserve">Résumé à venir. </w:t>
            </w:r>
          </w:p>
          <w:p w14:paraId="07236B0A" w14:textId="77777777" w:rsidR="00265F0A" w:rsidRPr="00711662" w:rsidRDefault="00265F0A" w:rsidP="00265F0A">
            <w:pPr>
              <w:spacing w:before="120" w:after="120" w:line="240" w:lineRule="auto"/>
              <w:rPr>
                <w:rFonts w:cs="Arial"/>
                <w:color w:val="000000"/>
                <w:sz w:val="24"/>
                <w:szCs w:val="24"/>
                <w:lang w:val="fr-BE"/>
              </w:rPr>
            </w:pPr>
            <w:hyperlink r:id="rId118" w:history="1">
              <w:r w:rsidRPr="00711662">
                <w:rPr>
                  <w:rFonts w:cs="Arial"/>
                  <w:color w:val="0000FF"/>
                  <w:sz w:val="24"/>
                  <w:szCs w:val="24"/>
                  <w:u w:val="single"/>
                  <w:lang w:val="fr-BE"/>
                </w:rPr>
                <w:t>Contexte</w:t>
              </w:r>
            </w:hyperlink>
            <w:r w:rsidRPr="00711662">
              <w:rPr>
                <w:rFonts w:cs="Arial"/>
                <w:color w:val="000000"/>
                <w:sz w:val="24"/>
                <w:szCs w:val="24"/>
                <w:lang w:val="fr-BE"/>
              </w:rPr>
              <w:t>.</w:t>
            </w:r>
          </w:p>
          <w:p w14:paraId="74CE110F" w14:textId="77777777" w:rsidR="00265F0A" w:rsidRPr="00711662" w:rsidRDefault="00265F0A" w:rsidP="00265F0A">
            <w:pPr>
              <w:spacing w:before="120" w:after="120" w:line="240" w:lineRule="auto"/>
              <w:rPr>
                <w:rFonts w:cs="Arial"/>
                <w:color w:val="000000"/>
                <w:sz w:val="24"/>
                <w:szCs w:val="24"/>
                <w:lang w:val="fr-BE"/>
              </w:rPr>
            </w:pPr>
            <w:r w:rsidRPr="00711662">
              <w:rPr>
                <w:rFonts w:cs="Arial"/>
                <w:color w:val="000000"/>
                <w:sz w:val="24"/>
                <w:szCs w:val="24"/>
                <w:lang w:val="fr-BE"/>
              </w:rPr>
              <w:t>Daniel.</w:t>
            </w:r>
          </w:p>
        </w:tc>
      </w:tr>
      <w:tr w:rsidR="00265F0A" w:rsidRPr="00265F0A" w14:paraId="1D9336DE" w14:textId="77777777" w:rsidTr="38402D5F">
        <w:tc>
          <w:tcPr>
            <w:tcW w:w="3402" w:type="dxa"/>
            <w:shd w:val="clear" w:color="auto" w:fill="auto"/>
          </w:tcPr>
          <w:p w14:paraId="3609A664" w14:textId="77777777" w:rsidR="00265F0A" w:rsidRPr="00711662" w:rsidRDefault="00265F0A" w:rsidP="00265F0A">
            <w:pPr>
              <w:spacing w:before="120" w:after="120" w:line="240" w:lineRule="auto"/>
              <w:rPr>
                <w:rFonts w:cs="Arial"/>
                <w:color w:val="000000"/>
                <w:sz w:val="24"/>
                <w:szCs w:val="24"/>
                <w:lang w:val="fr-BE"/>
              </w:rPr>
            </w:pPr>
            <w:hyperlink r:id="rId119" w:history="1">
              <w:r w:rsidRPr="00711662">
                <w:rPr>
                  <w:rFonts w:cs="Arial"/>
                  <w:color w:val="0000FF"/>
                  <w:sz w:val="24"/>
                  <w:szCs w:val="24"/>
                  <w:u w:val="single"/>
                  <w:lang w:val="fr-BE"/>
                </w:rPr>
                <w:t>Directive sur les rapports de durabilité des entreprises</w:t>
              </w:r>
            </w:hyperlink>
            <w:r w:rsidRPr="00711662">
              <w:rPr>
                <w:rFonts w:cs="Arial"/>
                <w:color w:val="000000"/>
                <w:sz w:val="24"/>
                <w:szCs w:val="24"/>
                <w:lang w:val="fr-BE"/>
              </w:rPr>
              <w:t>.</w:t>
            </w:r>
          </w:p>
        </w:tc>
        <w:tc>
          <w:tcPr>
            <w:tcW w:w="3402" w:type="dxa"/>
            <w:shd w:val="clear" w:color="auto" w:fill="auto"/>
          </w:tcPr>
          <w:p w14:paraId="2B41134F" w14:textId="77777777" w:rsidR="00265F0A" w:rsidRPr="00711662" w:rsidRDefault="00265F0A" w:rsidP="00265F0A">
            <w:pPr>
              <w:spacing w:before="120" w:after="120" w:line="240" w:lineRule="auto"/>
              <w:rPr>
                <w:rFonts w:cs="Arial"/>
                <w:color w:val="000000"/>
                <w:sz w:val="24"/>
                <w:szCs w:val="24"/>
                <w:lang w:val="fr-BE"/>
              </w:rPr>
            </w:pPr>
            <w:r w:rsidRPr="00711662">
              <w:rPr>
                <w:rFonts w:cs="Arial"/>
                <w:color w:val="000000"/>
                <w:sz w:val="24"/>
                <w:szCs w:val="24"/>
                <w:lang w:val="fr-BE"/>
              </w:rPr>
              <w:t>Adopté le 14 décembre 2022.</w:t>
            </w:r>
          </w:p>
          <w:p w14:paraId="7A8E9463" w14:textId="77777777" w:rsidR="00265F0A" w:rsidRPr="00711662" w:rsidRDefault="00265F0A" w:rsidP="00265F0A">
            <w:pPr>
              <w:spacing w:before="120" w:after="120" w:line="240" w:lineRule="auto"/>
              <w:rPr>
                <w:rFonts w:cs="Arial"/>
                <w:color w:val="000000"/>
                <w:sz w:val="24"/>
                <w:szCs w:val="24"/>
                <w:lang w:val="fr-BE"/>
              </w:rPr>
            </w:pPr>
            <w:r w:rsidRPr="00711662">
              <w:rPr>
                <w:rFonts w:cs="Arial"/>
                <w:color w:val="000000"/>
                <w:sz w:val="24"/>
                <w:szCs w:val="24"/>
                <w:lang w:val="fr-BE"/>
              </w:rPr>
              <w:t xml:space="preserve">9 juin 2023 : </w:t>
            </w:r>
            <w:hyperlink r:id="rId120" w:history="1">
              <w:r w:rsidRPr="00711662">
                <w:rPr>
                  <w:rFonts w:cs="Arial"/>
                  <w:color w:val="0000FF"/>
                  <w:sz w:val="24"/>
                  <w:szCs w:val="24"/>
                  <w:u w:val="single"/>
                  <w:lang w:val="fr-BE"/>
                </w:rPr>
                <w:t xml:space="preserve">Normes </w:t>
              </w:r>
              <w:r w:rsidRPr="00711662">
                <w:rPr>
                  <w:rFonts w:cs="Arial"/>
                  <w:color w:val="0000FF"/>
                  <w:sz w:val="24"/>
                  <w:szCs w:val="24"/>
                  <w:u w:val="single"/>
                  <w:lang w:val="fr-BE"/>
                </w:rPr>
                <w:lastRenderedPageBreak/>
                <w:t>européennes d'information sur le développement durable</w:t>
              </w:r>
            </w:hyperlink>
            <w:r w:rsidRPr="00711662">
              <w:rPr>
                <w:rFonts w:cs="Arial"/>
                <w:color w:val="000000"/>
                <w:sz w:val="24"/>
                <w:szCs w:val="24"/>
                <w:lang w:val="fr-BE"/>
              </w:rPr>
              <w:t>.</w:t>
            </w:r>
          </w:p>
          <w:p w14:paraId="4ADFA03C" w14:textId="77777777" w:rsidR="00265F0A" w:rsidRPr="00711662" w:rsidRDefault="00265F0A" w:rsidP="00265F0A">
            <w:pPr>
              <w:spacing w:before="120" w:after="120" w:line="240" w:lineRule="auto"/>
              <w:rPr>
                <w:rFonts w:cs="Arial"/>
                <w:color w:val="000000"/>
                <w:sz w:val="24"/>
                <w:szCs w:val="24"/>
                <w:lang w:val="fr-BE"/>
              </w:rPr>
            </w:pPr>
            <w:r w:rsidRPr="00711662">
              <w:rPr>
                <w:rFonts w:cs="Arial"/>
                <w:color w:val="000000"/>
                <w:sz w:val="24"/>
                <w:szCs w:val="24"/>
                <w:lang w:val="fr-BE"/>
              </w:rPr>
              <w:t>Les grandes entreprises rapportent en 2025</w:t>
            </w:r>
          </w:p>
        </w:tc>
        <w:tc>
          <w:tcPr>
            <w:tcW w:w="3402" w:type="dxa"/>
            <w:shd w:val="clear" w:color="auto" w:fill="auto"/>
          </w:tcPr>
          <w:p w14:paraId="00130AD2" w14:textId="77777777" w:rsidR="00265F0A" w:rsidRPr="00265F0A" w:rsidRDefault="00265F0A" w:rsidP="00265F0A">
            <w:pPr>
              <w:spacing w:before="120" w:after="120" w:line="240" w:lineRule="auto"/>
              <w:rPr>
                <w:rFonts w:cs="Arial"/>
                <w:color w:val="000000"/>
                <w:sz w:val="24"/>
                <w:szCs w:val="24"/>
              </w:rPr>
            </w:pPr>
            <w:hyperlink r:id="rId121" w:history="1">
              <w:r w:rsidRPr="00265F0A">
                <w:rPr>
                  <w:rFonts w:cs="Arial"/>
                  <w:color w:val="0000FF"/>
                  <w:sz w:val="24"/>
                  <w:szCs w:val="24"/>
                  <w:u w:val="single"/>
                </w:rPr>
                <w:t>Résumé du FED</w:t>
              </w:r>
            </w:hyperlink>
            <w:r w:rsidRPr="00265F0A">
              <w:rPr>
                <w:rFonts w:cs="Arial"/>
                <w:color w:val="000000"/>
                <w:sz w:val="24"/>
                <w:szCs w:val="24"/>
              </w:rPr>
              <w:t>.</w:t>
            </w:r>
          </w:p>
          <w:p w14:paraId="7592D8C7" w14:textId="77777777" w:rsidR="00265F0A" w:rsidRPr="00265F0A" w:rsidRDefault="00265F0A" w:rsidP="00265F0A">
            <w:pPr>
              <w:spacing w:before="120" w:after="120" w:line="240" w:lineRule="auto"/>
              <w:rPr>
                <w:rFonts w:cs="Arial"/>
                <w:color w:val="000000"/>
                <w:sz w:val="24"/>
                <w:szCs w:val="24"/>
              </w:rPr>
            </w:pPr>
            <w:r w:rsidRPr="00265F0A">
              <w:rPr>
                <w:rFonts w:cs="Arial"/>
                <w:color w:val="000000"/>
                <w:sz w:val="24"/>
                <w:szCs w:val="24"/>
              </w:rPr>
              <w:t>Haydn.</w:t>
            </w:r>
          </w:p>
        </w:tc>
      </w:tr>
      <w:tr w:rsidR="00265F0A" w:rsidRPr="00265F0A" w14:paraId="7107225A" w14:textId="77777777" w:rsidTr="38402D5F">
        <w:tc>
          <w:tcPr>
            <w:tcW w:w="3402" w:type="dxa"/>
            <w:shd w:val="clear" w:color="auto" w:fill="auto"/>
          </w:tcPr>
          <w:p w14:paraId="33ACAB68" w14:textId="77777777" w:rsidR="00265F0A" w:rsidRPr="00711662" w:rsidRDefault="00265F0A" w:rsidP="00265F0A">
            <w:pPr>
              <w:spacing w:before="120" w:after="120" w:line="240" w:lineRule="auto"/>
              <w:rPr>
                <w:rFonts w:cs="Arial"/>
                <w:color w:val="000000"/>
                <w:sz w:val="24"/>
                <w:szCs w:val="24"/>
                <w:lang w:val="fr-BE"/>
              </w:rPr>
            </w:pPr>
            <w:hyperlink r:id="rId122" w:history="1">
              <w:r w:rsidRPr="00711662">
                <w:rPr>
                  <w:rFonts w:cs="Arial"/>
                  <w:color w:val="0000FF"/>
                  <w:sz w:val="24"/>
                  <w:szCs w:val="24"/>
                  <w:u w:val="single"/>
                  <w:lang w:val="fr-BE"/>
                </w:rPr>
                <w:t>Directive sur le devoir de diligence des entreprises en matière de développement durable</w:t>
              </w:r>
            </w:hyperlink>
            <w:r w:rsidRPr="00711662">
              <w:rPr>
                <w:rFonts w:cs="Arial"/>
                <w:color w:val="000000"/>
                <w:sz w:val="24"/>
                <w:szCs w:val="24"/>
                <w:lang w:val="fr-BE"/>
              </w:rPr>
              <w:t>.</w:t>
            </w:r>
          </w:p>
        </w:tc>
        <w:tc>
          <w:tcPr>
            <w:tcW w:w="3402" w:type="dxa"/>
            <w:shd w:val="clear" w:color="auto" w:fill="auto"/>
          </w:tcPr>
          <w:p w14:paraId="02387693" w14:textId="77777777" w:rsidR="00265F0A" w:rsidRPr="00711662" w:rsidRDefault="00265F0A" w:rsidP="00265F0A">
            <w:pPr>
              <w:spacing w:before="120" w:after="120" w:line="240" w:lineRule="auto"/>
              <w:rPr>
                <w:rFonts w:cs="Arial"/>
                <w:color w:val="000000"/>
                <w:sz w:val="24"/>
                <w:szCs w:val="24"/>
                <w:lang w:val="fr-BE"/>
              </w:rPr>
            </w:pPr>
            <w:r w:rsidRPr="00711662">
              <w:rPr>
                <w:rFonts w:cs="Arial"/>
                <w:color w:val="000000"/>
                <w:sz w:val="24"/>
                <w:szCs w:val="24"/>
                <w:lang w:val="fr-BE"/>
              </w:rPr>
              <w:t>Transposition le 26 juillet 2026.</w:t>
            </w:r>
          </w:p>
          <w:p w14:paraId="4B2984F2" w14:textId="77777777" w:rsidR="00265F0A" w:rsidRPr="00711662" w:rsidRDefault="00265F0A" w:rsidP="00265F0A">
            <w:pPr>
              <w:spacing w:before="120" w:after="120" w:line="240" w:lineRule="auto"/>
              <w:rPr>
                <w:rFonts w:cs="Arial"/>
                <w:color w:val="000000"/>
                <w:sz w:val="24"/>
                <w:szCs w:val="24"/>
                <w:lang w:val="fr-BE"/>
              </w:rPr>
            </w:pPr>
            <w:r w:rsidRPr="00711662">
              <w:rPr>
                <w:rFonts w:cs="Arial"/>
                <w:color w:val="000000"/>
                <w:sz w:val="24"/>
                <w:szCs w:val="24"/>
                <w:lang w:val="fr-BE"/>
              </w:rPr>
              <w:t>En 2027, la Commission européenne publiera des lignes directrices interprétatives.</w:t>
            </w:r>
          </w:p>
        </w:tc>
        <w:tc>
          <w:tcPr>
            <w:tcW w:w="3402" w:type="dxa"/>
            <w:shd w:val="clear" w:color="auto" w:fill="auto"/>
          </w:tcPr>
          <w:p w14:paraId="12DE23D1" w14:textId="77777777" w:rsidR="00265F0A" w:rsidRPr="00265F0A" w:rsidRDefault="00265F0A" w:rsidP="00265F0A">
            <w:pPr>
              <w:spacing w:before="120" w:after="120" w:line="240" w:lineRule="auto"/>
              <w:rPr>
                <w:rFonts w:cs="Arial"/>
                <w:color w:val="000000"/>
                <w:sz w:val="24"/>
                <w:szCs w:val="24"/>
                <w:lang w:val="it-IT"/>
              </w:rPr>
            </w:pPr>
            <w:hyperlink r:id="rId123" w:history="1">
              <w:r w:rsidRPr="00265F0A">
                <w:rPr>
                  <w:color w:val="0000FF"/>
                  <w:u w:val="single"/>
                  <w:lang w:val="it-IT"/>
                </w:rPr>
                <w:t>Réaction du</w:t>
              </w:r>
              <w:r w:rsidRPr="00265F0A">
                <w:rPr>
                  <w:rFonts w:cs="Arial"/>
                  <w:color w:val="0000FF"/>
                  <w:sz w:val="24"/>
                  <w:szCs w:val="24"/>
                  <w:u w:val="single"/>
                  <w:lang w:val="it-IT"/>
                </w:rPr>
                <w:t xml:space="preserve"> FED</w:t>
              </w:r>
            </w:hyperlink>
            <w:r w:rsidRPr="00265F0A">
              <w:rPr>
                <w:rFonts w:cs="Arial"/>
                <w:color w:val="000000"/>
                <w:sz w:val="24"/>
                <w:szCs w:val="24"/>
                <w:lang w:val="it-IT"/>
              </w:rPr>
              <w:t>.</w:t>
            </w:r>
          </w:p>
          <w:p w14:paraId="6F10C29E" w14:textId="77777777" w:rsidR="00265F0A" w:rsidRPr="00265F0A" w:rsidRDefault="00265F0A" w:rsidP="00265F0A">
            <w:pPr>
              <w:spacing w:before="120" w:after="120" w:line="240" w:lineRule="auto"/>
              <w:rPr>
                <w:rFonts w:cs="Arial"/>
                <w:color w:val="000000"/>
                <w:sz w:val="24"/>
                <w:szCs w:val="24"/>
                <w:lang w:val="it-IT"/>
              </w:rPr>
            </w:pPr>
            <w:r w:rsidRPr="00265F0A">
              <w:rPr>
                <w:rFonts w:cs="Arial"/>
                <w:color w:val="000000"/>
                <w:sz w:val="24"/>
                <w:szCs w:val="24"/>
                <w:lang w:val="it-IT"/>
              </w:rPr>
              <w:t>Haydn.</w:t>
            </w:r>
          </w:p>
        </w:tc>
      </w:tr>
      <w:tr w:rsidR="00265F0A" w:rsidRPr="00265F0A" w14:paraId="780F95BF" w14:textId="77777777" w:rsidTr="38402D5F">
        <w:tc>
          <w:tcPr>
            <w:tcW w:w="3402" w:type="dxa"/>
            <w:shd w:val="clear" w:color="auto" w:fill="auto"/>
          </w:tcPr>
          <w:p w14:paraId="39BDD9BF" w14:textId="77777777" w:rsidR="00265F0A" w:rsidRPr="00711662" w:rsidRDefault="00265F0A" w:rsidP="00265F0A">
            <w:pPr>
              <w:spacing w:before="120" w:after="120" w:line="240" w:lineRule="auto"/>
              <w:rPr>
                <w:rFonts w:cs="Arial"/>
                <w:color w:val="000000"/>
                <w:sz w:val="24"/>
                <w:szCs w:val="24"/>
                <w:lang w:val="fr-BE"/>
              </w:rPr>
            </w:pPr>
            <w:hyperlink r:id="rId124" w:history="1">
              <w:r w:rsidRPr="00711662">
                <w:rPr>
                  <w:rFonts w:cs="Arial"/>
                  <w:color w:val="0000FF"/>
                  <w:sz w:val="24"/>
                  <w:szCs w:val="24"/>
                  <w:u w:val="single"/>
                  <w:lang w:val="fr-BE"/>
                </w:rPr>
                <w:t>Règlement européen sur l'espace des données de santé</w:t>
              </w:r>
            </w:hyperlink>
            <w:r w:rsidRPr="00711662">
              <w:rPr>
                <w:rFonts w:cs="Arial"/>
                <w:color w:val="000000"/>
                <w:sz w:val="24"/>
                <w:szCs w:val="24"/>
                <w:lang w:val="fr-BE"/>
              </w:rPr>
              <w:t>.</w:t>
            </w:r>
          </w:p>
        </w:tc>
        <w:tc>
          <w:tcPr>
            <w:tcW w:w="3402" w:type="dxa"/>
            <w:shd w:val="clear" w:color="auto" w:fill="auto"/>
          </w:tcPr>
          <w:p w14:paraId="43574263" w14:textId="34CC0D6E" w:rsidR="00265F0A" w:rsidRPr="00265F0A" w:rsidRDefault="7DE7996C" w:rsidP="59F76138">
            <w:pPr>
              <w:spacing w:before="120" w:after="120" w:line="240" w:lineRule="auto"/>
            </w:pPr>
            <w:r>
              <w:rPr>
                <w:rFonts w:cs="Arial"/>
                <w:color w:val="000000"/>
                <w:sz w:val="24"/>
                <w:szCs w:val="24"/>
              </w:rPr>
              <w:t>Publié le 5 mars 2025</w:t>
            </w:r>
          </w:p>
        </w:tc>
        <w:tc>
          <w:tcPr>
            <w:tcW w:w="3402" w:type="dxa"/>
            <w:shd w:val="clear" w:color="auto" w:fill="auto"/>
          </w:tcPr>
          <w:p w14:paraId="059AAD2E" w14:textId="77777777" w:rsidR="00265F0A" w:rsidRPr="00711662" w:rsidRDefault="00265F0A" w:rsidP="00265F0A">
            <w:pPr>
              <w:spacing w:before="120" w:after="120" w:line="240" w:lineRule="auto"/>
              <w:rPr>
                <w:rFonts w:cs="Arial"/>
                <w:color w:val="000000"/>
                <w:sz w:val="24"/>
                <w:szCs w:val="24"/>
                <w:lang w:val="fr-BE"/>
              </w:rPr>
            </w:pPr>
            <w:r w:rsidRPr="00711662">
              <w:rPr>
                <w:rFonts w:cs="Arial"/>
                <w:color w:val="000000"/>
                <w:sz w:val="24"/>
                <w:szCs w:val="24"/>
                <w:lang w:val="fr-BE"/>
              </w:rPr>
              <w:t>Résumé à venir.</w:t>
            </w:r>
          </w:p>
          <w:p w14:paraId="19F26FB1" w14:textId="77777777" w:rsidR="00265F0A" w:rsidRPr="00711662" w:rsidRDefault="00265F0A" w:rsidP="00265F0A">
            <w:pPr>
              <w:spacing w:before="120" w:after="120" w:line="240" w:lineRule="auto"/>
              <w:rPr>
                <w:rFonts w:cs="Arial"/>
                <w:color w:val="000000"/>
                <w:sz w:val="24"/>
                <w:szCs w:val="24"/>
                <w:lang w:val="fr-BE"/>
              </w:rPr>
            </w:pPr>
            <w:hyperlink r:id="rId125" w:history="1">
              <w:r w:rsidRPr="00711662">
                <w:rPr>
                  <w:rFonts w:cs="Arial"/>
                  <w:color w:val="0000FF"/>
                  <w:sz w:val="24"/>
                  <w:szCs w:val="24"/>
                  <w:u w:val="single"/>
                  <w:lang w:val="fr-BE"/>
                </w:rPr>
                <w:t>Les préoccupations du FED</w:t>
              </w:r>
            </w:hyperlink>
            <w:r w:rsidRPr="00711662">
              <w:rPr>
                <w:rFonts w:cs="Arial"/>
                <w:color w:val="000000"/>
                <w:sz w:val="24"/>
                <w:szCs w:val="24"/>
                <w:lang w:val="fr-BE"/>
              </w:rPr>
              <w:t>.</w:t>
            </w:r>
          </w:p>
          <w:p w14:paraId="04B392B3" w14:textId="77777777" w:rsidR="00265F0A" w:rsidRPr="00265F0A" w:rsidRDefault="00265F0A" w:rsidP="00265F0A">
            <w:pPr>
              <w:spacing w:before="120" w:after="120" w:line="240" w:lineRule="auto"/>
              <w:rPr>
                <w:rFonts w:cs="Arial"/>
                <w:color w:val="000000"/>
                <w:sz w:val="24"/>
                <w:szCs w:val="24"/>
              </w:rPr>
            </w:pPr>
            <w:r w:rsidRPr="00265F0A">
              <w:rPr>
                <w:rFonts w:cs="Arial"/>
                <w:color w:val="000000"/>
                <w:sz w:val="24"/>
                <w:szCs w:val="24"/>
              </w:rPr>
              <w:t>Markaya.</w:t>
            </w:r>
          </w:p>
        </w:tc>
      </w:tr>
      <w:tr w:rsidR="6F81FCA3" w14:paraId="3780FBF6" w14:textId="77777777" w:rsidTr="38402D5F">
        <w:trPr>
          <w:trHeight w:val="300"/>
        </w:trPr>
        <w:tc>
          <w:tcPr>
            <w:tcW w:w="3402" w:type="dxa"/>
            <w:shd w:val="clear" w:color="auto" w:fill="auto"/>
          </w:tcPr>
          <w:p w14:paraId="1208175D" w14:textId="44BD290E" w:rsidR="45793B3D" w:rsidRPr="00711662" w:rsidRDefault="45793B3D" w:rsidP="6F81FCA3">
            <w:pPr>
              <w:spacing w:line="240" w:lineRule="auto"/>
              <w:rPr>
                <w:rFonts w:cs="Arial"/>
                <w:color w:val="0000FF"/>
                <w:sz w:val="24"/>
                <w:szCs w:val="24"/>
                <w:u w:val="single"/>
                <w:lang w:val="fr-BE"/>
              </w:rPr>
            </w:pPr>
            <w:hyperlink r:id="rId126">
              <w:r w:rsidRPr="00711662">
                <w:rPr>
                  <w:rStyle w:val="Hyperlink"/>
                  <w:rFonts w:cs="Arial"/>
                  <w:sz w:val="24"/>
                  <w:szCs w:val="24"/>
                  <w:lang w:val="fr-BE"/>
                </w:rPr>
                <w:t>Commission européenne Lignes directrices interprétatives sur le règlement 1107/2006 (droits des passagers aériens)</w:t>
              </w:r>
            </w:hyperlink>
          </w:p>
        </w:tc>
        <w:tc>
          <w:tcPr>
            <w:tcW w:w="3402" w:type="dxa"/>
            <w:shd w:val="clear" w:color="auto" w:fill="auto"/>
          </w:tcPr>
          <w:p w14:paraId="2A60BFF9" w14:textId="220C00E4" w:rsidR="5A745CB5" w:rsidRDefault="5A745CB5" w:rsidP="6F81FCA3">
            <w:pPr>
              <w:spacing w:line="240" w:lineRule="auto"/>
              <w:rPr>
                <w:rFonts w:cs="Arial"/>
                <w:color w:val="000000"/>
                <w:sz w:val="24"/>
                <w:szCs w:val="24"/>
              </w:rPr>
            </w:pPr>
            <w:r>
              <w:rPr>
                <w:rFonts w:cs="Arial"/>
                <w:color w:val="000000"/>
                <w:sz w:val="24"/>
                <w:szCs w:val="24"/>
              </w:rPr>
              <w:t>Publié le 4 octobre 2024</w:t>
            </w:r>
          </w:p>
        </w:tc>
        <w:tc>
          <w:tcPr>
            <w:tcW w:w="3402" w:type="dxa"/>
            <w:shd w:val="clear" w:color="auto" w:fill="auto"/>
          </w:tcPr>
          <w:p w14:paraId="50900E46" w14:textId="08E62534" w:rsidR="5A745CB5" w:rsidRDefault="5A745CB5" w:rsidP="6F81FCA3">
            <w:pPr>
              <w:spacing w:line="240" w:lineRule="auto"/>
              <w:rPr>
                <w:rStyle w:val="Hyperlink"/>
                <w:rFonts w:cs="Arial"/>
                <w:sz w:val="24"/>
                <w:szCs w:val="24"/>
              </w:rPr>
            </w:pPr>
            <w:hyperlink r:id="rId127">
              <w:r w:rsidRPr="6F81FCA3">
                <w:rPr>
                  <w:rStyle w:val="Hyperlink"/>
                  <w:rFonts w:cs="Arial"/>
                  <w:sz w:val="24"/>
                  <w:szCs w:val="24"/>
                </w:rPr>
                <w:t>Résumé du FED</w:t>
              </w:r>
            </w:hyperlink>
          </w:p>
          <w:p w14:paraId="1AF5C76A" w14:textId="130B9F6B" w:rsidR="48FE5B8D" w:rsidRDefault="48FE5B8D" w:rsidP="6F81FCA3">
            <w:pPr>
              <w:spacing w:line="240" w:lineRule="auto"/>
              <w:rPr>
                <w:rFonts w:cs="Arial"/>
                <w:sz w:val="24"/>
                <w:szCs w:val="24"/>
              </w:rPr>
            </w:pPr>
            <w:r w:rsidRPr="6F81FCA3">
              <w:rPr>
                <w:rFonts w:cs="Arial"/>
                <w:sz w:val="24"/>
                <w:szCs w:val="24"/>
              </w:rPr>
              <w:t>Daniel</w:t>
            </w:r>
          </w:p>
        </w:tc>
      </w:tr>
      <w:tr w:rsidR="00C404A1" w14:paraId="7E739737" w14:textId="77777777" w:rsidTr="38402D5F">
        <w:trPr>
          <w:trHeight w:val="300"/>
        </w:trPr>
        <w:tc>
          <w:tcPr>
            <w:tcW w:w="3402" w:type="dxa"/>
            <w:shd w:val="clear" w:color="auto" w:fill="auto"/>
          </w:tcPr>
          <w:p w14:paraId="496822B3" w14:textId="3395DBCD" w:rsidR="00C404A1" w:rsidRPr="00711662" w:rsidRDefault="00C404A1" w:rsidP="6F81FCA3">
            <w:pPr>
              <w:spacing w:line="240" w:lineRule="auto"/>
              <w:rPr>
                <w:lang w:val="fr-BE"/>
              </w:rPr>
            </w:pPr>
            <w:hyperlink r:id="rId128" w:history="1">
              <w:r w:rsidRPr="00711662">
                <w:rPr>
                  <w:rStyle w:val="Hyperlink"/>
                  <w:sz w:val="24"/>
                  <w:szCs w:val="24"/>
                  <w:lang w:val="fr-BE"/>
                </w:rPr>
                <w:t>Guide de l</w:t>
              </w:r>
              <w:r w:rsidRPr="00711662">
                <w:rPr>
                  <w:rStyle w:val="Hyperlink"/>
                  <w:lang w:val="fr-BE"/>
                </w:rPr>
                <w:t xml:space="preserve">'UE </w:t>
              </w:r>
              <w:r w:rsidRPr="00711662">
                <w:rPr>
                  <w:rStyle w:val="Hyperlink"/>
                  <w:sz w:val="24"/>
                  <w:szCs w:val="24"/>
                  <w:lang w:val="fr-BE"/>
                </w:rPr>
                <w:t>sur l'autonomie de vie et l'inclusion dans la communauté pour les personnes handicapées utilisant des fonds de l'UE</w:t>
              </w:r>
            </w:hyperlink>
          </w:p>
        </w:tc>
        <w:tc>
          <w:tcPr>
            <w:tcW w:w="3402" w:type="dxa"/>
            <w:shd w:val="clear" w:color="auto" w:fill="auto"/>
          </w:tcPr>
          <w:p w14:paraId="3B07FA81" w14:textId="497F0CFC" w:rsidR="00C404A1" w:rsidRDefault="00C404A1" w:rsidP="6F81FCA3">
            <w:pPr>
              <w:spacing w:line="240" w:lineRule="auto"/>
              <w:rPr>
                <w:rFonts w:cs="Arial"/>
                <w:color w:val="000000"/>
                <w:sz w:val="24"/>
                <w:szCs w:val="24"/>
              </w:rPr>
            </w:pPr>
            <w:r>
              <w:rPr>
                <w:rFonts w:cs="Arial"/>
                <w:color w:val="000000"/>
                <w:sz w:val="24"/>
                <w:szCs w:val="24"/>
              </w:rPr>
              <w:t xml:space="preserve">Publié le </w:t>
            </w:r>
            <w:r w:rsidR="007E453D">
              <w:rPr>
                <w:rFonts w:cs="Arial"/>
                <w:color w:val="000000"/>
                <w:sz w:val="24"/>
                <w:szCs w:val="24"/>
              </w:rPr>
              <w:t>21 novembre 2024</w:t>
            </w:r>
          </w:p>
        </w:tc>
        <w:tc>
          <w:tcPr>
            <w:tcW w:w="3402" w:type="dxa"/>
            <w:shd w:val="clear" w:color="auto" w:fill="auto"/>
          </w:tcPr>
          <w:p w14:paraId="0C392BCD" w14:textId="7807D071" w:rsidR="00C404A1" w:rsidRDefault="007E453D" w:rsidP="6F81FCA3">
            <w:pPr>
              <w:spacing w:line="240" w:lineRule="auto"/>
              <w:rPr>
                <w:rFonts w:cs="Arial"/>
                <w:sz w:val="24"/>
                <w:szCs w:val="24"/>
              </w:rPr>
            </w:pPr>
            <w:hyperlink r:id="rId129" w:history="1">
              <w:r w:rsidRPr="007E453D">
                <w:rPr>
                  <w:rStyle w:val="Hyperlink"/>
                  <w:rFonts w:cs="Arial"/>
                  <w:sz w:val="24"/>
                  <w:szCs w:val="24"/>
                </w:rPr>
                <w:t>Résumé du FED</w:t>
              </w:r>
            </w:hyperlink>
          </w:p>
          <w:p w14:paraId="3C21F9A9" w14:textId="6222BB4B" w:rsidR="007E453D" w:rsidRPr="6F81FCA3" w:rsidRDefault="007E453D" w:rsidP="6F81FCA3">
            <w:pPr>
              <w:spacing w:line="240" w:lineRule="auto"/>
              <w:rPr>
                <w:rFonts w:cs="Arial"/>
                <w:sz w:val="24"/>
                <w:szCs w:val="24"/>
              </w:rPr>
            </w:pPr>
            <w:r>
              <w:rPr>
                <w:rFonts w:cs="Arial"/>
                <w:sz w:val="24"/>
                <w:szCs w:val="24"/>
              </w:rPr>
              <w:t>Haydn</w:t>
            </w:r>
          </w:p>
        </w:tc>
      </w:tr>
    </w:tbl>
    <w:p w14:paraId="08F0AD7C" w14:textId="4BAF9175" w:rsidR="00265F0A" w:rsidRPr="00711662" w:rsidRDefault="00265F0A" w:rsidP="00265F0A">
      <w:pPr>
        <w:keepNext/>
        <w:keepLines/>
        <w:spacing w:before="480" w:after="0"/>
        <w:outlineLvl w:val="0"/>
        <w:rPr>
          <w:b/>
          <w:bCs/>
          <w:color w:val="0A77B3"/>
          <w:sz w:val="28"/>
          <w:szCs w:val="28"/>
          <w:lang w:val="fr-BE"/>
        </w:rPr>
      </w:pPr>
      <w:bookmarkStart w:id="122" w:name="_Toc179464902"/>
      <w:bookmarkStart w:id="123" w:name="_Toc180402150"/>
      <w:bookmarkStart w:id="124" w:name="_Toc199268305"/>
      <w:r w:rsidRPr="00711662">
        <w:rPr>
          <w:b/>
          <w:bCs/>
          <w:color w:val="0A77B3"/>
          <w:sz w:val="28"/>
          <w:szCs w:val="28"/>
          <w:lang w:val="fr-BE"/>
        </w:rPr>
        <w:t>Contacts au secrétariat du FE</w:t>
      </w:r>
      <w:r w:rsidR="00F22193">
        <w:rPr>
          <w:b/>
          <w:bCs/>
          <w:color w:val="0A77B3"/>
          <w:sz w:val="28"/>
          <w:szCs w:val="28"/>
          <w:lang w:val="fr-BE"/>
        </w:rPr>
        <w:t>PH</w:t>
      </w:r>
      <w:r w:rsidRPr="00711662">
        <w:rPr>
          <w:b/>
          <w:bCs/>
          <w:color w:val="0A77B3"/>
          <w:sz w:val="28"/>
          <w:szCs w:val="28"/>
          <w:lang w:val="fr-BE"/>
        </w:rPr>
        <w:t xml:space="preserve"> :</w:t>
      </w:r>
      <w:bookmarkEnd w:id="122"/>
      <w:bookmarkEnd w:id="123"/>
      <w:bookmarkEnd w:id="124"/>
      <w:r w:rsidRPr="00711662">
        <w:rPr>
          <w:b/>
          <w:bCs/>
          <w:color w:val="0A77B3"/>
          <w:sz w:val="28"/>
          <w:szCs w:val="28"/>
          <w:lang w:val="fr-BE"/>
        </w:rPr>
        <w:br/>
      </w:r>
    </w:p>
    <w:p w14:paraId="143C3382" w14:textId="77777777" w:rsidR="00265F0A" w:rsidRPr="00265F0A" w:rsidRDefault="00265F0A" w:rsidP="00265F0A">
      <w:pPr>
        <w:numPr>
          <w:ilvl w:val="0"/>
          <w:numId w:val="8"/>
        </w:numPr>
        <w:spacing w:line="360" w:lineRule="auto"/>
        <w:contextualSpacing/>
        <w:rPr>
          <w:rFonts w:eastAsia="Calibri" w:cs="Arial"/>
          <w:sz w:val="24"/>
          <w:szCs w:val="24"/>
          <w:lang w:val="es-ES" w:bidi="ar-SA"/>
        </w:rPr>
      </w:pPr>
      <w:r w:rsidRPr="00265F0A">
        <w:rPr>
          <w:rFonts w:eastAsia="Calibri" w:cs="Arial"/>
          <w:sz w:val="24"/>
          <w:szCs w:val="24"/>
          <w:lang w:val="es-ES" w:bidi="ar-SA"/>
        </w:rPr>
        <w:t xml:space="preserve">Alejandro Moledo : </w:t>
      </w:r>
      <w:hyperlink r:id="rId130" w:history="1">
        <w:r w:rsidRPr="00265F0A">
          <w:rPr>
            <w:rFonts w:eastAsia="Calibri" w:cs="Arial"/>
            <w:color w:val="0000FF"/>
            <w:sz w:val="24"/>
            <w:szCs w:val="24"/>
            <w:u w:val="single"/>
            <w:lang w:val="es-ES" w:bidi="ar-SA"/>
          </w:rPr>
          <w:t>alejandro.moledo@edf-feph.org</w:t>
        </w:r>
      </w:hyperlink>
    </w:p>
    <w:p w14:paraId="6490C450" w14:textId="77777777" w:rsidR="00265F0A" w:rsidRPr="00265F0A" w:rsidRDefault="00265F0A" w:rsidP="00265F0A">
      <w:pPr>
        <w:numPr>
          <w:ilvl w:val="0"/>
          <w:numId w:val="8"/>
        </w:numPr>
        <w:spacing w:line="360" w:lineRule="auto"/>
        <w:contextualSpacing/>
        <w:rPr>
          <w:rFonts w:eastAsia="Calibri" w:cs="Arial"/>
          <w:sz w:val="24"/>
          <w:szCs w:val="24"/>
          <w:lang w:bidi="ar-SA"/>
        </w:rPr>
      </w:pPr>
      <w:r w:rsidRPr="00265F0A">
        <w:rPr>
          <w:rFonts w:eastAsia="Calibri" w:cs="Arial"/>
          <w:sz w:val="24"/>
          <w:szCs w:val="24"/>
          <w:lang w:bidi="ar-SA"/>
        </w:rPr>
        <w:t xml:space="preserve">Marie Denninghaus : </w:t>
      </w:r>
      <w:hyperlink r:id="rId131" w:history="1">
        <w:r w:rsidRPr="00265F0A">
          <w:rPr>
            <w:rFonts w:eastAsia="Calibri" w:cs="Arial"/>
            <w:color w:val="0000FF"/>
            <w:sz w:val="24"/>
            <w:szCs w:val="24"/>
            <w:u w:val="single"/>
            <w:lang w:bidi="ar-SA"/>
          </w:rPr>
          <w:t>marie.denninghaus@edf-feph.org</w:t>
        </w:r>
      </w:hyperlink>
    </w:p>
    <w:p w14:paraId="20C812D9" w14:textId="77777777" w:rsidR="00265F0A" w:rsidRPr="0016227A" w:rsidRDefault="00265F0A" w:rsidP="00265F0A">
      <w:pPr>
        <w:numPr>
          <w:ilvl w:val="0"/>
          <w:numId w:val="8"/>
        </w:numPr>
        <w:spacing w:line="360" w:lineRule="auto"/>
        <w:contextualSpacing/>
        <w:rPr>
          <w:rFonts w:eastAsia="Calibri" w:cs="Arial"/>
          <w:sz w:val="24"/>
          <w:szCs w:val="24"/>
          <w:lang w:val="da-DK" w:bidi="ar-SA"/>
        </w:rPr>
      </w:pPr>
      <w:r w:rsidRPr="0016227A">
        <w:rPr>
          <w:rFonts w:eastAsia="Calibri" w:cs="Arial"/>
          <w:sz w:val="24"/>
          <w:szCs w:val="24"/>
          <w:lang w:val="da-DK" w:bidi="ar-SA"/>
        </w:rPr>
        <w:t xml:space="preserve">Marine Uldry : </w:t>
      </w:r>
      <w:hyperlink r:id="rId132" w:history="1">
        <w:r w:rsidRPr="0016227A">
          <w:rPr>
            <w:rFonts w:eastAsia="Calibri" w:cs="Arial"/>
            <w:color w:val="0000FF"/>
            <w:sz w:val="24"/>
            <w:szCs w:val="24"/>
            <w:u w:val="single"/>
            <w:lang w:val="da-DK" w:bidi="ar-SA"/>
          </w:rPr>
          <w:t>marine.uldry@edf-feph.org</w:t>
        </w:r>
      </w:hyperlink>
    </w:p>
    <w:p w14:paraId="5F00C275" w14:textId="2E7CD29E" w:rsidR="00C54D95" w:rsidRPr="00C54D95" w:rsidRDefault="00C54D95" w:rsidP="00265F0A">
      <w:pPr>
        <w:numPr>
          <w:ilvl w:val="0"/>
          <w:numId w:val="8"/>
        </w:numPr>
        <w:spacing w:line="360" w:lineRule="auto"/>
        <w:contextualSpacing/>
        <w:rPr>
          <w:rFonts w:eastAsia="Calibri" w:cs="Arial"/>
          <w:sz w:val="24"/>
          <w:szCs w:val="24"/>
          <w:lang w:val="it-IT" w:bidi="ar-SA"/>
        </w:rPr>
      </w:pPr>
      <w:r w:rsidRPr="00C54D95">
        <w:rPr>
          <w:rFonts w:eastAsia="Calibri" w:cs="Arial"/>
          <w:sz w:val="24"/>
          <w:szCs w:val="24"/>
          <w:lang w:val="it-IT" w:bidi="ar-SA"/>
        </w:rPr>
        <w:t xml:space="preserve">Giulia Traversi : </w:t>
      </w:r>
      <w:hyperlink r:id="rId133" w:history="1">
        <w:r w:rsidRPr="00E85681">
          <w:rPr>
            <w:rStyle w:val="Hyperlink"/>
            <w:rFonts w:eastAsia="Calibri" w:cs="Arial"/>
            <w:sz w:val="24"/>
            <w:szCs w:val="24"/>
            <w:lang w:val="it-IT" w:bidi="ar-SA"/>
          </w:rPr>
          <w:t>giulia.traversi@edf-feph.org</w:t>
        </w:r>
      </w:hyperlink>
    </w:p>
    <w:p w14:paraId="3687C3E2" w14:textId="027BB5F9" w:rsidR="00265F0A" w:rsidRPr="0016227A" w:rsidRDefault="00265F0A" w:rsidP="00265F0A">
      <w:pPr>
        <w:numPr>
          <w:ilvl w:val="0"/>
          <w:numId w:val="8"/>
        </w:numPr>
        <w:spacing w:line="360" w:lineRule="auto"/>
        <w:contextualSpacing/>
        <w:rPr>
          <w:rFonts w:eastAsia="Calibri" w:cs="Arial"/>
          <w:sz w:val="24"/>
          <w:szCs w:val="24"/>
          <w:lang w:val="nb-NO" w:bidi="ar-SA"/>
        </w:rPr>
      </w:pPr>
      <w:r w:rsidRPr="0016227A">
        <w:rPr>
          <w:rFonts w:eastAsia="Calibri" w:cs="Arial"/>
          <w:sz w:val="24"/>
          <w:szCs w:val="24"/>
          <w:lang w:val="nb-NO" w:bidi="ar-SA"/>
        </w:rPr>
        <w:t xml:space="preserve">Haydn Hammersley : </w:t>
      </w:r>
      <w:hyperlink r:id="rId134" w:history="1">
        <w:r w:rsidRPr="0016227A">
          <w:rPr>
            <w:rFonts w:eastAsia="Calibri" w:cs="Arial"/>
            <w:color w:val="0000FF"/>
            <w:sz w:val="24"/>
            <w:szCs w:val="24"/>
            <w:u w:val="single"/>
            <w:lang w:val="nb-NO" w:bidi="ar-SA"/>
          </w:rPr>
          <w:t>haydn.hammersley@edf-feph.org</w:t>
        </w:r>
      </w:hyperlink>
    </w:p>
    <w:p w14:paraId="70981F9A" w14:textId="77777777" w:rsidR="00265F0A" w:rsidRPr="00265F0A" w:rsidRDefault="00265F0A" w:rsidP="00265F0A">
      <w:pPr>
        <w:numPr>
          <w:ilvl w:val="0"/>
          <w:numId w:val="8"/>
        </w:numPr>
        <w:spacing w:line="360" w:lineRule="auto"/>
        <w:contextualSpacing/>
        <w:rPr>
          <w:rFonts w:eastAsia="Calibri" w:cs="Arial"/>
          <w:sz w:val="24"/>
          <w:szCs w:val="24"/>
          <w:lang w:val="it-IT" w:bidi="ar-SA"/>
        </w:rPr>
      </w:pPr>
      <w:r w:rsidRPr="00265F0A">
        <w:rPr>
          <w:rFonts w:eastAsia="Calibri" w:cs="Arial"/>
          <w:sz w:val="24"/>
          <w:szCs w:val="24"/>
          <w:lang w:val="it-IT" w:bidi="ar-SA"/>
        </w:rPr>
        <w:t xml:space="preserve">Loredana Dicsi : </w:t>
      </w:r>
      <w:hyperlink r:id="rId135" w:history="1">
        <w:r w:rsidRPr="00265F0A">
          <w:rPr>
            <w:rFonts w:eastAsia="Calibri" w:cs="Arial"/>
            <w:color w:val="0000FF"/>
            <w:sz w:val="24"/>
            <w:szCs w:val="24"/>
            <w:u w:val="single"/>
            <w:lang w:val="it-IT" w:bidi="ar-SA"/>
          </w:rPr>
          <w:t>loredana.dicsi@edf-feph.org</w:t>
        </w:r>
      </w:hyperlink>
    </w:p>
    <w:p w14:paraId="17015367" w14:textId="77777777" w:rsidR="00265F0A" w:rsidRPr="00265F0A" w:rsidRDefault="00265F0A" w:rsidP="00265F0A">
      <w:pPr>
        <w:numPr>
          <w:ilvl w:val="0"/>
          <w:numId w:val="8"/>
        </w:numPr>
        <w:spacing w:line="360" w:lineRule="auto"/>
        <w:contextualSpacing/>
        <w:rPr>
          <w:rFonts w:eastAsia="Calibri" w:cs="Arial"/>
          <w:sz w:val="24"/>
          <w:szCs w:val="24"/>
          <w:lang w:val="it-IT" w:bidi="ar-SA"/>
        </w:rPr>
      </w:pPr>
      <w:r w:rsidRPr="00265F0A">
        <w:rPr>
          <w:rFonts w:eastAsia="Calibri" w:cs="Arial"/>
          <w:sz w:val="24"/>
          <w:szCs w:val="24"/>
          <w:lang w:val="it-IT" w:bidi="ar-SA"/>
        </w:rPr>
        <w:t xml:space="preserve">Daniel Casas : </w:t>
      </w:r>
      <w:hyperlink r:id="rId136" w:history="1">
        <w:r w:rsidRPr="00265F0A">
          <w:rPr>
            <w:rFonts w:eastAsia="Calibri" w:cs="Arial"/>
            <w:color w:val="0000FF"/>
            <w:sz w:val="24"/>
            <w:szCs w:val="24"/>
            <w:u w:val="single"/>
            <w:lang w:val="it-IT" w:bidi="ar-SA"/>
          </w:rPr>
          <w:t>daniel.casas@edf-feph.org</w:t>
        </w:r>
      </w:hyperlink>
    </w:p>
    <w:p w14:paraId="28E96505" w14:textId="77777777" w:rsidR="00265F0A" w:rsidRPr="005A350B" w:rsidRDefault="00265F0A" w:rsidP="00265F0A">
      <w:pPr>
        <w:numPr>
          <w:ilvl w:val="0"/>
          <w:numId w:val="8"/>
        </w:numPr>
        <w:spacing w:line="360" w:lineRule="auto"/>
        <w:contextualSpacing/>
        <w:rPr>
          <w:rFonts w:eastAsia="Calibri" w:cs="Arial"/>
          <w:sz w:val="24"/>
          <w:szCs w:val="24"/>
          <w:lang w:val="nl-BE" w:bidi="ar-SA"/>
        </w:rPr>
      </w:pPr>
      <w:r w:rsidRPr="005A350B">
        <w:rPr>
          <w:rFonts w:eastAsia="Calibri" w:cs="Arial"/>
          <w:sz w:val="24"/>
          <w:szCs w:val="24"/>
          <w:lang w:val="nl-BE" w:bidi="ar-SA"/>
        </w:rPr>
        <w:t xml:space="preserve">Kave Noori : </w:t>
      </w:r>
      <w:hyperlink r:id="rId137" w:history="1">
        <w:r w:rsidRPr="005A350B">
          <w:rPr>
            <w:rFonts w:eastAsia="Calibri" w:cs="Arial"/>
            <w:color w:val="0000FF"/>
            <w:sz w:val="24"/>
            <w:szCs w:val="24"/>
            <w:u w:val="single"/>
            <w:lang w:val="nl-BE" w:bidi="ar-SA"/>
          </w:rPr>
          <w:t>Kave.Noori@edf-feph.org</w:t>
        </w:r>
      </w:hyperlink>
    </w:p>
    <w:p w14:paraId="1CD5390D" w14:textId="77777777" w:rsidR="00265F0A" w:rsidRPr="005A350B" w:rsidRDefault="00265F0A" w:rsidP="00265F0A">
      <w:pPr>
        <w:numPr>
          <w:ilvl w:val="0"/>
          <w:numId w:val="8"/>
        </w:numPr>
        <w:spacing w:line="360" w:lineRule="auto"/>
        <w:contextualSpacing/>
        <w:rPr>
          <w:rFonts w:eastAsia="Calibri" w:cs="Arial"/>
          <w:sz w:val="24"/>
          <w:szCs w:val="24"/>
          <w:lang w:val="sv-SE" w:bidi="ar-SA"/>
        </w:rPr>
      </w:pPr>
      <w:r w:rsidRPr="005A350B">
        <w:rPr>
          <w:rFonts w:eastAsia="Calibri" w:cs="Arial"/>
          <w:sz w:val="24"/>
          <w:szCs w:val="24"/>
          <w:lang w:val="sv-SE" w:bidi="ar-SA"/>
        </w:rPr>
        <w:t xml:space="preserve">Markaya Henderson : </w:t>
      </w:r>
      <w:hyperlink r:id="rId138" w:history="1">
        <w:r w:rsidRPr="005A350B">
          <w:rPr>
            <w:rFonts w:eastAsia="Calibri" w:cs="Arial"/>
            <w:color w:val="0000FF"/>
            <w:sz w:val="24"/>
            <w:szCs w:val="24"/>
            <w:u w:val="single"/>
            <w:lang w:val="sv-SE" w:bidi="ar-SA"/>
          </w:rPr>
          <w:t>markaya.henderson@edf-feph.org</w:t>
        </w:r>
      </w:hyperlink>
    </w:p>
    <w:p w14:paraId="3AFA5F18" w14:textId="77777777" w:rsidR="00265F0A" w:rsidRPr="00265F0A" w:rsidRDefault="00265F0A" w:rsidP="00265F0A">
      <w:pPr>
        <w:numPr>
          <w:ilvl w:val="0"/>
          <w:numId w:val="8"/>
        </w:numPr>
        <w:spacing w:line="360" w:lineRule="auto"/>
        <w:contextualSpacing/>
        <w:rPr>
          <w:rFonts w:eastAsia="Calibri" w:cs="Arial"/>
          <w:sz w:val="24"/>
          <w:szCs w:val="24"/>
          <w:lang w:val="it-IT" w:bidi="ar-SA"/>
        </w:rPr>
      </w:pPr>
      <w:r w:rsidRPr="00265F0A">
        <w:rPr>
          <w:rFonts w:eastAsia="Calibri" w:cs="Arial"/>
          <w:sz w:val="24"/>
          <w:szCs w:val="24"/>
          <w:lang w:val="it-IT" w:bidi="ar-SA"/>
        </w:rPr>
        <w:lastRenderedPageBreak/>
        <w:t xml:space="preserve">Roberta Lulli : </w:t>
      </w:r>
      <w:hyperlink r:id="rId139" w:history="1">
        <w:r w:rsidRPr="00265F0A">
          <w:rPr>
            <w:rFonts w:eastAsia="Calibri" w:cs="Arial"/>
            <w:color w:val="0000FF"/>
            <w:sz w:val="24"/>
            <w:szCs w:val="24"/>
            <w:u w:val="single"/>
            <w:lang w:val="it-IT" w:bidi="ar-SA"/>
          </w:rPr>
          <w:t>roberta.lulli@edf-feph.org</w:t>
        </w:r>
      </w:hyperlink>
    </w:p>
    <w:p w14:paraId="321EFE7A" w14:textId="77777777" w:rsidR="00265F0A" w:rsidRPr="00265F0A" w:rsidRDefault="00265F0A" w:rsidP="00265F0A">
      <w:pPr>
        <w:numPr>
          <w:ilvl w:val="0"/>
          <w:numId w:val="8"/>
        </w:numPr>
        <w:spacing w:line="360" w:lineRule="auto"/>
        <w:contextualSpacing/>
        <w:rPr>
          <w:rFonts w:eastAsia="Calibri" w:cs="Arial"/>
          <w:sz w:val="24"/>
          <w:szCs w:val="24"/>
          <w:lang w:bidi="ar-SA"/>
        </w:rPr>
      </w:pPr>
      <w:r w:rsidRPr="00265F0A">
        <w:rPr>
          <w:rFonts w:eastAsia="Calibri" w:cs="Arial"/>
          <w:sz w:val="24"/>
          <w:szCs w:val="24"/>
          <w:lang w:bidi="ar-SA"/>
        </w:rPr>
        <w:t xml:space="preserve">Marion Steff : </w:t>
      </w:r>
      <w:hyperlink r:id="rId140" w:history="1">
        <w:r w:rsidRPr="00265F0A">
          <w:rPr>
            <w:rFonts w:eastAsia="Calibri" w:cs="Arial"/>
            <w:color w:val="0000FF"/>
            <w:sz w:val="24"/>
            <w:szCs w:val="24"/>
            <w:u w:val="single"/>
            <w:lang w:bidi="ar-SA"/>
          </w:rPr>
          <w:t>marion.steff@edf-feph.org</w:t>
        </w:r>
      </w:hyperlink>
    </w:p>
    <w:p w14:paraId="47379BF1" w14:textId="2C1FE5BB" w:rsidR="002B6099" w:rsidRPr="002B6099" w:rsidRDefault="002B6099" w:rsidP="00265F0A">
      <w:pPr>
        <w:numPr>
          <w:ilvl w:val="0"/>
          <w:numId w:val="8"/>
        </w:numPr>
        <w:spacing w:line="360" w:lineRule="auto"/>
        <w:contextualSpacing/>
        <w:rPr>
          <w:rFonts w:eastAsia="Calibri" w:cs="Arial"/>
          <w:sz w:val="24"/>
          <w:szCs w:val="24"/>
          <w:lang w:val="es-ES" w:bidi="ar-SA"/>
        </w:rPr>
      </w:pPr>
      <w:r w:rsidRPr="002B6099">
        <w:rPr>
          <w:rFonts w:eastAsia="Calibri" w:cs="Arial"/>
          <w:sz w:val="24"/>
          <w:szCs w:val="24"/>
          <w:lang w:val="es-ES" w:bidi="ar-SA"/>
        </w:rPr>
        <w:t xml:space="preserve">Mariya Yasenovska </w:t>
      </w:r>
      <w:hyperlink r:id="rId141" w:history="1">
        <w:r w:rsidRPr="00E85681">
          <w:rPr>
            <w:rStyle w:val="Hyperlink"/>
            <w:rFonts w:eastAsia="Calibri" w:cs="Arial"/>
            <w:sz w:val="24"/>
            <w:szCs w:val="24"/>
            <w:lang w:val="es-ES" w:bidi="ar-SA"/>
          </w:rPr>
          <w:t>Mariya.Yasenovska@edf-feph.org</w:t>
        </w:r>
      </w:hyperlink>
    </w:p>
    <w:p w14:paraId="21F60786" w14:textId="77777777" w:rsidR="00265F0A" w:rsidRPr="005A350B" w:rsidRDefault="00265F0A" w:rsidP="00265F0A">
      <w:pPr>
        <w:numPr>
          <w:ilvl w:val="0"/>
          <w:numId w:val="8"/>
        </w:numPr>
        <w:spacing w:line="360" w:lineRule="auto"/>
        <w:contextualSpacing/>
        <w:rPr>
          <w:lang w:val="nl-BE"/>
        </w:rPr>
      </w:pPr>
      <w:r w:rsidRPr="005A350B">
        <w:rPr>
          <w:rFonts w:eastAsia="Calibri" w:cs="Arial"/>
          <w:sz w:val="24"/>
          <w:szCs w:val="24"/>
          <w:lang w:val="nl-BE" w:bidi="ar-SA"/>
        </w:rPr>
        <w:t xml:space="preserve">An-Sofie Leenknecht : </w:t>
      </w:r>
      <w:hyperlink r:id="rId142" w:history="1">
        <w:r w:rsidRPr="005A350B">
          <w:rPr>
            <w:rFonts w:eastAsia="Calibri" w:cs="Arial"/>
            <w:color w:val="0000FF"/>
            <w:sz w:val="24"/>
            <w:szCs w:val="24"/>
            <w:u w:val="single"/>
            <w:lang w:val="nl-BE" w:bidi="ar-SA"/>
          </w:rPr>
          <w:t>ansofie.leenknecht@edf-feph.org</w:t>
        </w:r>
      </w:hyperlink>
    </w:p>
    <w:p w14:paraId="3035F465" w14:textId="185E9FB8" w:rsidR="00913671" w:rsidRPr="005A350B" w:rsidRDefault="00913671" w:rsidP="00D90CB9">
      <w:pPr>
        <w:pStyle w:val="ListParagraph"/>
        <w:spacing w:line="256" w:lineRule="auto"/>
        <w:ind w:left="0"/>
        <w:rPr>
          <w:lang w:val="nl-BE"/>
        </w:rPr>
      </w:pPr>
      <w:r w:rsidRPr="005A350B">
        <w:rPr>
          <w:lang w:val="nl-BE"/>
        </w:rPr>
        <w:t xml:space="preserve"> </w:t>
      </w:r>
    </w:p>
    <w:sectPr w:rsidR="00913671" w:rsidRPr="005A350B" w:rsidSect="00204E44">
      <w:headerReference w:type="default" r:id="rId143"/>
      <w:footerReference w:type="default" r:id="rId144"/>
      <w:pgSz w:w="11906" w:h="16838"/>
      <w:pgMar w:top="2041" w:right="836" w:bottom="1440" w:left="1080" w:header="450" w:footer="1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8FF09" w14:textId="77777777" w:rsidR="007416AE" w:rsidRDefault="007416AE" w:rsidP="00F86167">
      <w:pPr>
        <w:spacing w:after="0" w:line="240" w:lineRule="auto"/>
      </w:pPr>
      <w:r>
        <w:separator/>
      </w:r>
    </w:p>
  </w:endnote>
  <w:endnote w:type="continuationSeparator" w:id="0">
    <w:p w14:paraId="2C8D10A5" w14:textId="77777777" w:rsidR="007416AE" w:rsidRDefault="007416AE"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CF7C" w14:textId="77777777" w:rsidR="007D4987" w:rsidRDefault="00000000" w:rsidP="00CD5671">
    <w:pPr>
      <w:pStyle w:val="Footer"/>
      <w:jc w:val="center"/>
      <w:rPr>
        <w:noProof/>
      </w:rPr>
    </w:pPr>
    <w:r>
      <w:rPr>
        <w:noProof/>
      </w:rPr>
      <w:pict w14:anchorId="599476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41" type="#_x0000_t75" style="position:absolute;left:0;text-align:left;margin-left:75.8pt;margin-top:19.25pt;width:347pt;height:37.5pt;z-index:-2;visibility:visible" wrapcoords="-47 0 -47 21168 21600 21168 21600 0 -47 0">
          <v:imagedata r:id="rId1" o:title=""/>
          <w10:wrap type="square"/>
        </v:shape>
      </w:pict>
    </w:r>
    <w:r w:rsidR="007D4987">
      <w:fldChar w:fldCharType="begin"/>
    </w:r>
    <w:r w:rsidR="007D4987">
      <w:instrText xml:space="preserve"> PAGE   \* MERGEFORMAT </w:instrText>
    </w:r>
    <w:r w:rsidR="007D4987">
      <w:fldChar w:fldCharType="separate"/>
    </w:r>
    <w:r w:rsidR="00913671">
      <w:rPr>
        <w:noProof/>
      </w:rPr>
      <w:t>1</w:t>
    </w:r>
    <w:r w:rsidR="007D49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405E3" w14:textId="77777777" w:rsidR="007416AE" w:rsidRDefault="007416AE" w:rsidP="00F86167">
      <w:pPr>
        <w:spacing w:after="0" w:line="240" w:lineRule="auto"/>
      </w:pPr>
      <w:r>
        <w:separator/>
      </w:r>
    </w:p>
  </w:footnote>
  <w:footnote w:type="continuationSeparator" w:id="0">
    <w:p w14:paraId="1420E666" w14:textId="77777777" w:rsidR="007416AE" w:rsidRDefault="007416AE" w:rsidP="00F86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3D26" w14:textId="597A56EF" w:rsidR="007D4987" w:rsidRPr="00DB6451" w:rsidRDefault="00000000" w:rsidP="00DB6451">
    <w:pPr>
      <w:tabs>
        <w:tab w:val="center" w:pos="4320"/>
        <w:tab w:val="right" w:pos="8640"/>
      </w:tabs>
      <w:spacing w:after="0" w:line="240" w:lineRule="auto"/>
      <w:ind w:right="902"/>
      <w:jc w:val="center"/>
      <w:rPr>
        <w:rFonts w:ascii="Open Sans" w:hAnsi="Open Sans"/>
        <w:b/>
        <w:bCs/>
        <w:color w:val="003480"/>
        <w:sz w:val="12"/>
        <w:szCs w:val="12"/>
        <w:lang w:val="en"/>
      </w:rPr>
    </w:pPr>
    <w:r>
      <w:rPr>
        <w:noProof/>
      </w:rPr>
      <w:pict w14:anchorId="658C7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 o:spid="_x0000_s1043" type="#_x0000_t75" alt="logo edf" style="position:absolute;left:0;text-align:left;margin-left:6.95pt;margin-top:17.2pt;width:43.55pt;height:48.3pt;z-index:1;visibility:visible">
          <v:imagedata r:id="rId1" o:title="logo edf"/>
          <w10:wrap type="square"/>
        </v:shape>
      </w:pict>
    </w:r>
    <w:r>
      <w:rPr>
        <w:noProof/>
      </w:rPr>
      <w:pict w14:anchorId="6ECB03C5">
        <v:shape id="Picture 1" o:spid="_x0000_s1045" type="#_x0000_t75" alt="A logo with black and green triangles&#10;&#10;Description automatically generated" style="position:absolute;left:0;text-align:left;margin-left:230.9pt;margin-top:12.9pt;width:133.5pt;height:66.75pt;z-index:-1;visibility:visible;mso-position-horizontal-relative:page;mso-width-relative:margin;mso-height-relative:margin" wrapcoords="-121 0 -121 21357 21600 21357 21600 0 -121 0">
          <v:imagedata r:id="rId2" o:title="A logo with black and green triangles&#10;&#10;Description automatically generated"/>
          <w10:wrap type="tight" anchorx="page"/>
        </v:shape>
      </w:pict>
    </w:r>
    <w:r>
      <w:rPr>
        <w:noProof/>
      </w:rPr>
      <w:pict w14:anchorId="7D5CA0A9">
        <v:shape id="Picture 62" o:spid="_x0000_s1042" type="#_x0000_t75" alt="logo funded by the european union" style="position:absolute;left:0;text-align:left;margin-left:426.55pt;margin-top:13.95pt;width:74.6pt;height:65.7pt;z-index:2;visibility:visible;mso-position-horizontal-relative:margin">
          <v:imagedata r:id="rId3" o:title="logo funded by the european union"/>
          <w10:wrap type="square" anchorx="margin"/>
        </v:shape>
      </w:pict>
    </w:r>
    <w:r w:rsidR="00DB645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9A8"/>
    <w:multiLevelType w:val="hybridMultilevel"/>
    <w:tmpl w:val="CF3A60D4"/>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4C3752"/>
    <w:multiLevelType w:val="hybridMultilevel"/>
    <w:tmpl w:val="61F8CA8A"/>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1F43BB"/>
    <w:multiLevelType w:val="hybridMultilevel"/>
    <w:tmpl w:val="33AA5DB2"/>
    <w:lvl w:ilvl="0" w:tplc="080C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04FE4079"/>
    <w:multiLevelType w:val="multilevel"/>
    <w:tmpl w:val="2852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954AB"/>
    <w:multiLevelType w:val="hybridMultilevel"/>
    <w:tmpl w:val="FFFFFFFF"/>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37F1913"/>
    <w:multiLevelType w:val="hybridMultilevel"/>
    <w:tmpl w:val="25A80F9E"/>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6" w15:restartNumberingAfterBreak="0">
    <w:nsid w:val="153D669E"/>
    <w:multiLevelType w:val="hybridMultilevel"/>
    <w:tmpl w:val="6DBE8E2E"/>
    <w:lvl w:ilvl="0" w:tplc="64A6A160">
      <w:start w:val="10"/>
      <w:numFmt w:val="bullet"/>
      <w:lvlText w:val=""/>
      <w:lvlJc w:val="left"/>
      <w:pPr>
        <w:ind w:left="720" w:hanging="360"/>
      </w:pPr>
      <w:rPr>
        <w:rFonts w:ascii="Symbol" w:hAnsi="Symbol" w:cs="Times New Roman"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4D8332F"/>
    <w:multiLevelType w:val="hybridMultilevel"/>
    <w:tmpl w:val="FFFFFFFF"/>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8" w15:restartNumberingAfterBreak="0">
    <w:nsid w:val="29670967"/>
    <w:multiLevelType w:val="multilevel"/>
    <w:tmpl w:val="DDA4618A"/>
    <w:lvl w:ilvl="0">
      <w:start w:val="10"/>
      <w:numFmt w:val="bullet"/>
      <w:lvlText w:val=""/>
      <w:lvlJc w:val="left"/>
      <w:pPr>
        <w:tabs>
          <w:tab w:val="num" w:pos="720"/>
        </w:tabs>
        <w:ind w:left="720" w:hanging="360"/>
      </w:pPr>
      <w:rPr>
        <w:rFonts w:ascii="Symbol" w:hAnsi="Symbol" w:cs="Times New Roman" w:hint="default"/>
        <w:color w:val="0070C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342A4E"/>
    <w:multiLevelType w:val="multilevel"/>
    <w:tmpl w:val="4BAA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40795"/>
    <w:multiLevelType w:val="hybridMultilevel"/>
    <w:tmpl w:val="186068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2536471"/>
    <w:multiLevelType w:val="hybridMultilevel"/>
    <w:tmpl w:val="9F4490D8"/>
    <w:lvl w:ilvl="0" w:tplc="64A6A160">
      <w:start w:val="10"/>
      <w:numFmt w:val="bullet"/>
      <w:lvlText w:val=""/>
      <w:lvlJc w:val="left"/>
      <w:pPr>
        <w:ind w:left="720" w:hanging="360"/>
      </w:pPr>
      <w:rPr>
        <w:rFonts w:ascii="Symbol" w:hAnsi="Symbol" w:cs="Times New Roman" w:hint="default"/>
        <w:color w:val="0070C0"/>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2" w15:restartNumberingAfterBreak="0">
    <w:nsid w:val="358D1990"/>
    <w:multiLevelType w:val="hybridMultilevel"/>
    <w:tmpl w:val="5D0ACC78"/>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7EF0E6F"/>
    <w:multiLevelType w:val="hybridMultilevel"/>
    <w:tmpl w:val="8DC06D1C"/>
    <w:lvl w:ilvl="0" w:tplc="64A6A160">
      <w:start w:val="10"/>
      <w:numFmt w:val="bullet"/>
      <w:lvlText w:val=""/>
      <w:lvlJc w:val="left"/>
      <w:pPr>
        <w:ind w:left="720" w:hanging="360"/>
      </w:pPr>
      <w:rPr>
        <w:rFonts w:ascii="Symbol" w:hAnsi="Symbol" w:cs="Times New Roman" w:hint="default"/>
        <w:color w:val="0070C0"/>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3C24622C"/>
    <w:multiLevelType w:val="hybridMultilevel"/>
    <w:tmpl w:val="DB2CAB8A"/>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3265778"/>
    <w:multiLevelType w:val="hybridMultilevel"/>
    <w:tmpl w:val="AE0C8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BAB158"/>
    <w:multiLevelType w:val="hybridMultilevel"/>
    <w:tmpl w:val="FFFFFFFF"/>
    <w:lvl w:ilvl="0" w:tplc="4DB0DAA6">
      <w:start w:val="1"/>
      <w:numFmt w:val="bullet"/>
      <w:lvlText w:val=""/>
      <w:lvlJc w:val="left"/>
      <w:pPr>
        <w:ind w:left="720" w:hanging="360"/>
      </w:pPr>
      <w:rPr>
        <w:rFonts w:ascii="Symbol" w:hAnsi="Symbol" w:hint="default"/>
      </w:rPr>
    </w:lvl>
    <w:lvl w:ilvl="1" w:tplc="CF323F56">
      <w:start w:val="1"/>
      <w:numFmt w:val="bullet"/>
      <w:lvlText w:val="o"/>
      <w:lvlJc w:val="left"/>
      <w:pPr>
        <w:ind w:left="1440" w:hanging="360"/>
      </w:pPr>
      <w:rPr>
        <w:rFonts w:ascii="Courier New" w:hAnsi="Courier New" w:hint="default"/>
      </w:rPr>
    </w:lvl>
    <w:lvl w:ilvl="2" w:tplc="1BC22B98">
      <w:start w:val="1"/>
      <w:numFmt w:val="bullet"/>
      <w:lvlText w:val=""/>
      <w:lvlJc w:val="left"/>
      <w:pPr>
        <w:ind w:left="2160" w:hanging="360"/>
      </w:pPr>
      <w:rPr>
        <w:rFonts w:ascii="Wingdings" w:hAnsi="Wingdings" w:hint="default"/>
      </w:rPr>
    </w:lvl>
    <w:lvl w:ilvl="3" w:tplc="EDAA181A">
      <w:start w:val="1"/>
      <w:numFmt w:val="bullet"/>
      <w:lvlText w:val=""/>
      <w:lvlJc w:val="left"/>
      <w:pPr>
        <w:ind w:left="2880" w:hanging="360"/>
      </w:pPr>
      <w:rPr>
        <w:rFonts w:ascii="Symbol" w:hAnsi="Symbol" w:hint="default"/>
      </w:rPr>
    </w:lvl>
    <w:lvl w:ilvl="4" w:tplc="04CC7492">
      <w:start w:val="1"/>
      <w:numFmt w:val="bullet"/>
      <w:lvlText w:val="o"/>
      <w:lvlJc w:val="left"/>
      <w:pPr>
        <w:ind w:left="3600" w:hanging="360"/>
      </w:pPr>
      <w:rPr>
        <w:rFonts w:ascii="Courier New" w:hAnsi="Courier New" w:hint="default"/>
      </w:rPr>
    </w:lvl>
    <w:lvl w:ilvl="5" w:tplc="94EE0F06">
      <w:start w:val="1"/>
      <w:numFmt w:val="bullet"/>
      <w:lvlText w:val=""/>
      <w:lvlJc w:val="left"/>
      <w:pPr>
        <w:ind w:left="4320" w:hanging="360"/>
      </w:pPr>
      <w:rPr>
        <w:rFonts w:ascii="Wingdings" w:hAnsi="Wingdings" w:hint="default"/>
      </w:rPr>
    </w:lvl>
    <w:lvl w:ilvl="6" w:tplc="C47E8788">
      <w:start w:val="1"/>
      <w:numFmt w:val="bullet"/>
      <w:lvlText w:val=""/>
      <w:lvlJc w:val="left"/>
      <w:pPr>
        <w:ind w:left="5040" w:hanging="360"/>
      </w:pPr>
      <w:rPr>
        <w:rFonts w:ascii="Symbol" w:hAnsi="Symbol" w:hint="default"/>
      </w:rPr>
    </w:lvl>
    <w:lvl w:ilvl="7" w:tplc="D3BC5A58">
      <w:start w:val="1"/>
      <w:numFmt w:val="bullet"/>
      <w:lvlText w:val="o"/>
      <w:lvlJc w:val="left"/>
      <w:pPr>
        <w:ind w:left="5760" w:hanging="360"/>
      </w:pPr>
      <w:rPr>
        <w:rFonts w:ascii="Courier New" w:hAnsi="Courier New" w:hint="default"/>
      </w:rPr>
    </w:lvl>
    <w:lvl w:ilvl="8" w:tplc="71DC65A4">
      <w:start w:val="1"/>
      <w:numFmt w:val="bullet"/>
      <w:lvlText w:val=""/>
      <w:lvlJc w:val="left"/>
      <w:pPr>
        <w:ind w:left="6480" w:hanging="360"/>
      </w:pPr>
      <w:rPr>
        <w:rFonts w:ascii="Wingdings" w:hAnsi="Wingdings" w:hint="default"/>
      </w:rPr>
    </w:lvl>
  </w:abstractNum>
  <w:abstractNum w:abstractNumId="17" w15:restartNumberingAfterBreak="0">
    <w:nsid w:val="4777590E"/>
    <w:multiLevelType w:val="hybridMultilevel"/>
    <w:tmpl w:val="56E4E4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7FF35DC"/>
    <w:multiLevelType w:val="hybridMultilevel"/>
    <w:tmpl w:val="0BB8E8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C034625"/>
    <w:multiLevelType w:val="hybridMultilevel"/>
    <w:tmpl w:val="C5CCCDB2"/>
    <w:lvl w:ilvl="0" w:tplc="F04653B6">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4D835A5D"/>
    <w:multiLevelType w:val="multilevel"/>
    <w:tmpl w:val="BAF0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3C4374"/>
    <w:multiLevelType w:val="hybridMultilevel"/>
    <w:tmpl w:val="34F8844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64449C"/>
    <w:multiLevelType w:val="multilevel"/>
    <w:tmpl w:val="CB1A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CF9689"/>
    <w:multiLevelType w:val="hybridMultilevel"/>
    <w:tmpl w:val="FFFFFFFF"/>
    <w:lvl w:ilvl="0" w:tplc="B9B0204E">
      <w:start w:val="1"/>
      <w:numFmt w:val="bullet"/>
      <w:lvlText w:val=""/>
      <w:lvlJc w:val="left"/>
      <w:pPr>
        <w:ind w:left="720" w:hanging="360"/>
      </w:pPr>
      <w:rPr>
        <w:rFonts w:ascii="Symbol" w:hAnsi="Symbol" w:hint="default"/>
      </w:rPr>
    </w:lvl>
    <w:lvl w:ilvl="1" w:tplc="A4C222FE">
      <w:start w:val="1"/>
      <w:numFmt w:val="bullet"/>
      <w:lvlText w:val="o"/>
      <w:lvlJc w:val="left"/>
      <w:pPr>
        <w:ind w:left="1440" w:hanging="360"/>
      </w:pPr>
      <w:rPr>
        <w:rFonts w:ascii="Courier New" w:hAnsi="Courier New" w:hint="default"/>
      </w:rPr>
    </w:lvl>
    <w:lvl w:ilvl="2" w:tplc="CBCAACD0">
      <w:start w:val="1"/>
      <w:numFmt w:val="bullet"/>
      <w:lvlText w:val=""/>
      <w:lvlJc w:val="left"/>
      <w:pPr>
        <w:ind w:left="2160" w:hanging="360"/>
      </w:pPr>
      <w:rPr>
        <w:rFonts w:ascii="Wingdings" w:hAnsi="Wingdings" w:hint="default"/>
      </w:rPr>
    </w:lvl>
    <w:lvl w:ilvl="3" w:tplc="55563074">
      <w:start w:val="1"/>
      <w:numFmt w:val="bullet"/>
      <w:lvlText w:val=""/>
      <w:lvlJc w:val="left"/>
      <w:pPr>
        <w:ind w:left="2880" w:hanging="360"/>
      </w:pPr>
      <w:rPr>
        <w:rFonts w:ascii="Symbol" w:hAnsi="Symbol" w:hint="default"/>
      </w:rPr>
    </w:lvl>
    <w:lvl w:ilvl="4" w:tplc="1974E566">
      <w:start w:val="1"/>
      <w:numFmt w:val="bullet"/>
      <w:lvlText w:val="o"/>
      <w:lvlJc w:val="left"/>
      <w:pPr>
        <w:ind w:left="3600" w:hanging="360"/>
      </w:pPr>
      <w:rPr>
        <w:rFonts w:ascii="Courier New" w:hAnsi="Courier New" w:hint="default"/>
      </w:rPr>
    </w:lvl>
    <w:lvl w:ilvl="5" w:tplc="18409DA8">
      <w:start w:val="1"/>
      <w:numFmt w:val="bullet"/>
      <w:lvlText w:val=""/>
      <w:lvlJc w:val="left"/>
      <w:pPr>
        <w:ind w:left="4320" w:hanging="360"/>
      </w:pPr>
      <w:rPr>
        <w:rFonts w:ascii="Wingdings" w:hAnsi="Wingdings" w:hint="default"/>
      </w:rPr>
    </w:lvl>
    <w:lvl w:ilvl="6" w:tplc="BB2637DE">
      <w:start w:val="1"/>
      <w:numFmt w:val="bullet"/>
      <w:lvlText w:val=""/>
      <w:lvlJc w:val="left"/>
      <w:pPr>
        <w:ind w:left="5040" w:hanging="360"/>
      </w:pPr>
      <w:rPr>
        <w:rFonts w:ascii="Symbol" w:hAnsi="Symbol" w:hint="default"/>
      </w:rPr>
    </w:lvl>
    <w:lvl w:ilvl="7" w:tplc="8FD45D38">
      <w:start w:val="1"/>
      <w:numFmt w:val="bullet"/>
      <w:lvlText w:val="o"/>
      <w:lvlJc w:val="left"/>
      <w:pPr>
        <w:ind w:left="5760" w:hanging="360"/>
      </w:pPr>
      <w:rPr>
        <w:rFonts w:ascii="Courier New" w:hAnsi="Courier New" w:hint="default"/>
      </w:rPr>
    </w:lvl>
    <w:lvl w:ilvl="8" w:tplc="B9125B92">
      <w:start w:val="1"/>
      <w:numFmt w:val="bullet"/>
      <w:lvlText w:val=""/>
      <w:lvlJc w:val="left"/>
      <w:pPr>
        <w:ind w:left="6480" w:hanging="360"/>
      </w:pPr>
      <w:rPr>
        <w:rFonts w:ascii="Wingdings" w:hAnsi="Wingdings" w:hint="default"/>
      </w:rPr>
    </w:lvl>
  </w:abstractNum>
  <w:abstractNum w:abstractNumId="25" w15:restartNumberingAfterBreak="0">
    <w:nsid w:val="67248C8E"/>
    <w:multiLevelType w:val="hybridMultilevel"/>
    <w:tmpl w:val="FFFFFFFF"/>
    <w:lvl w:ilvl="0" w:tplc="D292B598">
      <w:start w:val="1"/>
      <w:numFmt w:val="bullet"/>
      <w:lvlText w:val=""/>
      <w:lvlJc w:val="left"/>
      <w:pPr>
        <w:ind w:left="720" w:hanging="360"/>
      </w:pPr>
      <w:rPr>
        <w:rFonts w:ascii="Symbol" w:hAnsi="Symbol" w:hint="default"/>
      </w:rPr>
    </w:lvl>
    <w:lvl w:ilvl="1" w:tplc="00F2953A">
      <w:start w:val="1"/>
      <w:numFmt w:val="bullet"/>
      <w:lvlText w:val="o"/>
      <w:lvlJc w:val="left"/>
      <w:pPr>
        <w:ind w:left="1440" w:hanging="360"/>
      </w:pPr>
      <w:rPr>
        <w:rFonts w:ascii="Courier New" w:hAnsi="Courier New" w:hint="default"/>
      </w:rPr>
    </w:lvl>
    <w:lvl w:ilvl="2" w:tplc="354057C6">
      <w:start w:val="1"/>
      <w:numFmt w:val="bullet"/>
      <w:lvlText w:val=""/>
      <w:lvlJc w:val="left"/>
      <w:pPr>
        <w:ind w:left="2160" w:hanging="360"/>
      </w:pPr>
      <w:rPr>
        <w:rFonts w:ascii="Wingdings" w:hAnsi="Wingdings" w:hint="default"/>
      </w:rPr>
    </w:lvl>
    <w:lvl w:ilvl="3" w:tplc="ADF897C8">
      <w:start w:val="1"/>
      <w:numFmt w:val="bullet"/>
      <w:lvlText w:val=""/>
      <w:lvlJc w:val="left"/>
      <w:pPr>
        <w:ind w:left="2880" w:hanging="360"/>
      </w:pPr>
      <w:rPr>
        <w:rFonts w:ascii="Symbol" w:hAnsi="Symbol" w:hint="default"/>
      </w:rPr>
    </w:lvl>
    <w:lvl w:ilvl="4" w:tplc="37D2C26C">
      <w:start w:val="1"/>
      <w:numFmt w:val="bullet"/>
      <w:lvlText w:val="o"/>
      <w:lvlJc w:val="left"/>
      <w:pPr>
        <w:ind w:left="3600" w:hanging="360"/>
      </w:pPr>
      <w:rPr>
        <w:rFonts w:ascii="Courier New" w:hAnsi="Courier New" w:hint="default"/>
      </w:rPr>
    </w:lvl>
    <w:lvl w:ilvl="5" w:tplc="324AB308">
      <w:start w:val="1"/>
      <w:numFmt w:val="bullet"/>
      <w:lvlText w:val=""/>
      <w:lvlJc w:val="left"/>
      <w:pPr>
        <w:ind w:left="4320" w:hanging="360"/>
      </w:pPr>
      <w:rPr>
        <w:rFonts w:ascii="Wingdings" w:hAnsi="Wingdings" w:hint="default"/>
      </w:rPr>
    </w:lvl>
    <w:lvl w:ilvl="6" w:tplc="B492C3AA">
      <w:start w:val="1"/>
      <w:numFmt w:val="bullet"/>
      <w:lvlText w:val=""/>
      <w:lvlJc w:val="left"/>
      <w:pPr>
        <w:ind w:left="5040" w:hanging="360"/>
      </w:pPr>
      <w:rPr>
        <w:rFonts w:ascii="Symbol" w:hAnsi="Symbol" w:hint="default"/>
      </w:rPr>
    </w:lvl>
    <w:lvl w:ilvl="7" w:tplc="052A9DB0">
      <w:start w:val="1"/>
      <w:numFmt w:val="bullet"/>
      <w:lvlText w:val="o"/>
      <w:lvlJc w:val="left"/>
      <w:pPr>
        <w:ind w:left="5760" w:hanging="360"/>
      </w:pPr>
      <w:rPr>
        <w:rFonts w:ascii="Courier New" w:hAnsi="Courier New" w:hint="default"/>
      </w:rPr>
    </w:lvl>
    <w:lvl w:ilvl="8" w:tplc="12440B92">
      <w:start w:val="1"/>
      <w:numFmt w:val="bullet"/>
      <w:lvlText w:val=""/>
      <w:lvlJc w:val="left"/>
      <w:pPr>
        <w:ind w:left="6480" w:hanging="360"/>
      </w:pPr>
      <w:rPr>
        <w:rFonts w:ascii="Wingdings" w:hAnsi="Wingdings" w:hint="default"/>
      </w:rPr>
    </w:lvl>
  </w:abstractNum>
  <w:abstractNum w:abstractNumId="26" w15:restartNumberingAfterBreak="0">
    <w:nsid w:val="6D10570E"/>
    <w:multiLevelType w:val="hybridMultilevel"/>
    <w:tmpl w:val="0B2CD29C"/>
    <w:lvl w:ilvl="0" w:tplc="64A6A160">
      <w:start w:val="10"/>
      <w:numFmt w:val="bullet"/>
      <w:lvlText w:val=""/>
      <w:lvlJc w:val="left"/>
      <w:pPr>
        <w:ind w:left="720" w:hanging="360"/>
      </w:pPr>
      <w:rPr>
        <w:rFonts w:ascii="Symbol" w:hAnsi="Symbol"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C17806"/>
    <w:multiLevelType w:val="multilevel"/>
    <w:tmpl w:val="9C34DE78"/>
    <w:lvl w:ilvl="0">
      <w:start w:val="10"/>
      <w:numFmt w:val="bullet"/>
      <w:lvlText w:val=""/>
      <w:lvlJc w:val="left"/>
      <w:pPr>
        <w:tabs>
          <w:tab w:val="num" w:pos="720"/>
        </w:tabs>
        <w:ind w:left="720" w:hanging="360"/>
      </w:pPr>
      <w:rPr>
        <w:rFonts w:ascii="Symbol" w:hAnsi="Symbol" w:cs="Times New Roman"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C522C6"/>
    <w:multiLevelType w:val="hybridMultilevel"/>
    <w:tmpl w:val="FFFFFFFF"/>
    <w:lvl w:ilvl="0" w:tplc="1000000F">
      <w:start w:val="1"/>
      <w:numFmt w:val="decimal"/>
      <w:lvlText w:val="%1."/>
      <w:lvlJc w:val="left"/>
      <w:pPr>
        <w:ind w:left="1080" w:hanging="360"/>
      </w:pPr>
      <w:rPr>
        <w:rFonts w:cs="Times New Roman"/>
      </w:rPr>
    </w:lvl>
    <w:lvl w:ilvl="1" w:tplc="10000019" w:tentative="1">
      <w:start w:val="1"/>
      <w:numFmt w:val="lowerLetter"/>
      <w:lvlText w:val="%2."/>
      <w:lvlJc w:val="left"/>
      <w:pPr>
        <w:ind w:left="1800" w:hanging="360"/>
      </w:pPr>
      <w:rPr>
        <w:rFonts w:cs="Times New Roman"/>
      </w:rPr>
    </w:lvl>
    <w:lvl w:ilvl="2" w:tplc="1000001B" w:tentative="1">
      <w:start w:val="1"/>
      <w:numFmt w:val="lowerRoman"/>
      <w:lvlText w:val="%3."/>
      <w:lvlJc w:val="right"/>
      <w:pPr>
        <w:ind w:left="2520" w:hanging="180"/>
      </w:pPr>
      <w:rPr>
        <w:rFonts w:cs="Times New Roman"/>
      </w:rPr>
    </w:lvl>
    <w:lvl w:ilvl="3" w:tplc="1000000F" w:tentative="1">
      <w:start w:val="1"/>
      <w:numFmt w:val="decimal"/>
      <w:lvlText w:val="%4."/>
      <w:lvlJc w:val="left"/>
      <w:pPr>
        <w:ind w:left="3240" w:hanging="360"/>
      </w:pPr>
      <w:rPr>
        <w:rFonts w:cs="Times New Roman"/>
      </w:rPr>
    </w:lvl>
    <w:lvl w:ilvl="4" w:tplc="10000019" w:tentative="1">
      <w:start w:val="1"/>
      <w:numFmt w:val="lowerLetter"/>
      <w:lvlText w:val="%5."/>
      <w:lvlJc w:val="left"/>
      <w:pPr>
        <w:ind w:left="3960" w:hanging="360"/>
      </w:pPr>
      <w:rPr>
        <w:rFonts w:cs="Times New Roman"/>
      </w:rPr>
    </w:lvl>
    <w:lvl w:ilvl="5" w:tplc="1000001B" w:tentative="1">
      <w:start w:val="1"/>
      <w:numFmt w:val="lowerRoman"/>
      <w:lvlText w:val="%6."/>
      <w:lvlJc w:val="right"/>
      <w:pPr>
        <w:ind w:left="4680" w:hanging="180"/>
      </w:pPr>
      <w:rPr>
        <w:rFonts w:cs="Times New Roman"/>
      </w:rPr>
    </w:lvl>
    <w:lvl w:ilvl="6" w:tplc="1000000F" w:tentative="1">
      <w:start w:val="1"/>
      <w:numFmt w:val="decimal"/>
      <w:lvlText w:val="%7."/>
      <w:lvlJc w:val="left"/>
      <w:pPr>
        <w:ind w:left="5400" w:hanging="360"/>
      </w:pPr>
      <w:rPr>
        <w:rFonts w:cs="Times New Roman"/>
      </w:rPr>
    </w:lvl>
    <w:lvl w:ilvl="7" w:tplc="10000019" w:tentative="1">
      <w:start w:val="1"/>
      <w:numFmt w:val="lowerLetter"/>
      <w:lvlText w:val="%8."/>
      <w:lvlJc w:val="left"/>
      <w:pPr>
        <w:ind w:left="6120" w:hanging="360"/>
      </w:pPr>
      <w:rPr>
        <w:rFonts w:cs="Times New Roman"/>
      </w:rPr>
    </w:lvl>
    <w:lvl w:ilvl="8" w:tplc="1000001B" w:tentative="1">
      <w:start w:val="1"/>
      <w:numFmt w:val="lowerRoman"/>
      <w:lvlText w:val="%9."/>
      <w:lvlJc w:val="right"/>
      <w:pPr>
        <w:ind w:left="6840" w:hanging="180"/>
      </w:pPr>
      <w:rPr>
        <w:rFonts w:cs="Times New Roman"/>
      </w:rPr>
    </w:lvl>
  </w:abstractNum>
  <w:abstractNum w:abstractNumId="29" w15:restartNumberingAfterBreak="0">
    <w:nsid w:val="79CE7E5C"/>
    <w:multiLevelType w:val="hybridMultilevel"/>
    <w:tmpl w:val="FFFFFFFF"/>
    <w:lvl w:ilvl="0" w:tplc="10ECB2FA">
      <w:start w:val="1"/>
      <w:numFmt w:val="bullet"/>
      <w:lvlText w:val=""/>
      <w:lvlJc w:val="left"/>
      <w:pPr>
        <w:ind w:left="720" w:hanging="360"/>
      </w:pPr>
      <w:rPr>
        <w:rFonts w:ascii="Symbol" w:hAnsi="Symbol" w:hint="default"/>
      </w:rPr>
    </w:lvl>
    <w:lvl w:ilvl="1" w:tplc="9CB0B21A">
      <w:start w:val="1"/>
      <w:numFmt w:val="bullet"/>
      <w:lvlText w:val="o"/>
      <w:lvlJc w:val="left"/>
      <w:pPr>
        <w:ind w:left="1440" w:hanging="360"/>
      </w:pPr>
      <w:rPr>
        <w:rFonts w:ascii="Courier New" w:hAnsi="Courier New" w:hint="default"/>
      </w:rPr>
    </w:lvl>
    <w:lvl w:ilvl="2" w:tplc="2B7A751C">
      <w:start w:val="1"/>
      <w:numFmt w:val="bullet"/>
      <w:lvlText w:val=""/>
      <w:lvlJc w:val="left"/>
      <w:pPr>
        <w:ind w:left="2160" w:hanging="360"/>
      </w:pPr>
      <w:rPr>
        <w:rFonts w:ascii="Wingdings" w:hAnsi="Wingdings" w:hint="default"/>
      </w:rPr>
    </w:lvl>
    <w:lvl w:ilvl="3" w:tplc="1F4E7BFA">
      <w:start w:val="1"/>
      <w:numFmt w:val="bullet"/>
      <w:lvlText w:val=""/>
      <w:lvlJc w:val="left"/>
      <w:pPr>
        <w:ind w:left="2880" w:hanging="360"/>
      </w:pPr>
      <w:rPr>
        <w:rFonts w:ascii="Symbol" w:hAnsi="Symbol" w:hint="default"/>
      </w:rPr>
    </w:lvl>
    <w:lvl w:ilvl="4" w:tplc="8D96518C">
      <w:start w:val="1"/>
      <w:numFmt w:val="bullet"/>
      <w:lvlText w:val="o"/>
      <w:lvlJc w:val="left"/>
      <w:pPr>
        <w:ind w:left="3600" w:hanging="360"/>
      </w:pPr>
      <w:rPr>
        <w:rFonts w:ascii="Courier New" w:hAnsi="Courier New" w:hint="default"/>
      </w:rPr>
    </w:lvl>
    <w:lvl w:ilvl="5" w:tplc="D74619B4">
      <w:start w:val="1"/>
      <w:numFmt w:val="bullet"/>
      <w:lvlText w:val=""/>
      <w:lvlJc w:val="left"/>
      <w:pPr>
        <w:ind w:left="4320" w:hanging="360"/>
      </w:pPr>
      <w:rPr>
        <w:rFonts w:ascii="Wingdings" w:hAnsi="Wingdings" w:hint="default"/>
      </w:rPr>
    </w:lvl>
    <w:lvl w:ilvl="6" w:tplc="62CEF44E">
      <w:start w:val="1"/>
      <w:numFmt w:val="bullet"/>
      <w:lvlText w:val=""/>
      <w:lvlJc w:val="left"/>
      <w:pPr>
        <w:ind w:left="5040" w:hanging="360"/>
      </w:pPr>
      <w:rPr>
        <w:rFonts w:ascii="Symbol" w:hAnsi="Symbol" w:hint="default"/>
      </w:rPr>
    </w:lvl>
    <w:lvl w:ilvl="7" w:tplc="E5C41876">
      <w:start w:val="1"/>
      <w:numFmt w:val="bullet"/>
      <w:lvlText w:val="o"/>
      <w:lvlJc w:val="left"/>
      <w:pPr>
        <w:ind w:left="5760" w:hanging="360"/>
      </w:pPr>
      <w:rPr>
        <w:rFonts w:ascii="Courier New" w:hAnsi="Courier New" w:hint="default"/>
      </w:rPr>
    </w:lvl>
    <w:lvl w:ilvl="8" w:tplc="CD468954">
      <w:start w:val="1"/>
      <w:numFmt w:val="bullet"/>
      <w:lvlText w:val=""/>
      <w:lvlJc w:val="left"/>
      <w:pPr>
        <w:ind w:left="6480" w:hanging="360"/>
      </w:pPr>
      <w:rPr>
        <w:rFonts w:ascii="Wingdings" w:hAnsi="Wingdings" w:hint="default"/>
      </w:rPr>
    </w:lvl>
  </w:abstractNum>
  <w:num w:numId="1" w16cid:durableId="1031807748">
    <w:abstractNumId w:val="29"/>
  </w:num>
  <w:num w:numId="2" w16cid:durableId="1056859505">
    <w:abstractNumId w:val="24"/>
  </w:num>
  <w:num w:numId="3" w16cid:durableId="36590408">
    <w:abstractNumId w:val="16"/>
  </w:num>
  <w:num w:numId="4" w16cid:durableId="712775518">
    <w:abstractNumId w:val="25"/>
  </w:num>
  <w:num w:numId="5" w16cid:durableId="1560433798">
    <w:abstractNumId w:val="18"/>
  </w:num>
  <w:num w:numId="6" w16cid:durableId="1065907520">
    <w:abstractNumId w:val="22"/>
  </w:num>
  <w:num w:numId="7" w16cid:durableId="17530439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7357013">
    <w:abstractNumId w:val="14"/>
  </w:num>
  <w:num w:numId="9" w16cid:durableId="470757396">
    <w:abstractNumId w:val="8"/>
  </w:num>
  <w:num w:numId="10" w16cid:durableId="421804450">
    <w:abstractNumId w:val="12"/>
  </w:num>
  <w:num w:numId="11" w16cid:durableId="991252148">
    <w:abstractNumId w:val="1"/>
  </w:num>
  <w:num w:numId="12" w16cid:durableId="232618147">
    <w:abstractNumId w:val="26"/>
  </w:num>
  <w:num w:numId="13" w16cid:durableId="1589464595">
    <w:abstractNumId w:val="20"/>
  </w:num>
  <w:num w:numId="14" w16cid:durableId="70736948">
    <w:abstractNumId w:val="2"/>
  </w:num>
  <w:num w:numId="15" w16cid:durableId="1912082859">
    <w:abstractNumId w:val="15"/>
  </w:num>
  <w:num w:numId="16" w16cid:durableId="1872719262">
    <w:abstractNumId w:val="6"/>
  </w:num>
  <w:num w:numId="17" w16cid:durableId="561447490">
    <w:abstractNumId w:val="13"/>
  </w:num>
  <w:num w:numId="18" w16cid:durableId="994147851">
    <w:abstractNumId w:val="11"/>
  </w:num>
  <w:num w:numId="19" w16cid:durableId="1066758643">
    <w:abstractNumId w:val="3"/>
  </w:num>
  <w:num w:numId="20" w16cid:durableId="1178539770">
    <w:abstractNumId w:val="9"/>
  </w:num>
  <w:num w:numId="21" w16cid:durableId="734859643">
    <w:abstractNumId w:val="23"/>
  </w:num>
  <w:num w:numId="22" w16cid:durableId="1226188418">
    <w:abstractNumId w:val="27"/>
  </w:num>
  <w:num w:numId="23" w16cid:durableId="1974017571">
    <w:abstractNumId w:val="5"/>
  </w:num>
  <w:num w:numId="24" w16cid:durableId="1310666512">
    <w:abstractNumId w:val="17"/>
  </w:num>
  <w:num w:numId="25" w16cid:durableId="633483960">
    <w:abstractNumId w:val="19"/>
  </w:num>
  <w:num w:numId="26" w16cid:durableId="1905676062">
    <w:abstractNumId w:val="7"/>
  </w:num>
  <w:num w:numId="27" w16cid:durableId="2086487974">
    <w:abstractNumId w:val="28"/>
  </w:num>
  <w:num w:numId="28" w16cid:durableId="2007659902">
    <w:abstractNumId w:val="4"/>
  </w:num>
  <w:num w:numId="29" w16cid:durableId="721907204">
    <w:abstractNumId w:val="0"/>
  </w:num>
  <w:num w:numId="30" w16cid:durableId="1735813136">
    <w:abstractNumId w:val="21"/>
  </w:num>
  <w:num w:numId="31" w16cid:durableId="1875923760">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2102"/>
    <w:rsid w:val="000023E1"/>
    <w:rsid w:val="00004D5F"/>
    <w:rsid w:val="000116EB"/>
    <w:rsid w:val="0001234B"/>
    <w:rsid w:val="00023AC7"/>
    <w:rsid w:val="0002460E"/>
    <w:rsid w:val="00024E6B"/>
    <w:rsid w:val="0003516B"/>
    <w:rsid w:val="0003787F"/>
    <w:rsid w:val="000410DE"/>
    <w:rsid w:val="000520F5"/>
    <w:rsid w:val="0005775A"/>
    <w:rsid w:val="0006433B"/>
    <w:rsid w:val="00070B9F"/>
    <w:rsid w:val="000722BC"/>
    <w:rsid w:val="0007636E"/>
    <w:rsid w:val="000831B3"/>
    <w:rsid w:val="0008446B"/>
    <w:rsid w:val="00086461"/>
    <w:rsid w:val="000904F6"/>
    <w:rsid w:val="00094B7E"/>
    <w:rsid w:val="00096C52"/>
    <w:rsid w:val="000A0C1B"/>
    <w:rsid w:val="000A4D76"/>
    <w:rsid w:val="000B15EF"/>
    <w:rsid w:val="000B6318"/>
    <w:rsid w:val="000B6839"/>
    <w:rsid w:val="000B7DBE"/>
    <w:rsid w:val="000C151D"/>
    <w:rsid w:val="000D1EFA"/>
    <w:rsid w:val="000D5398"/>
    <w:rsid w:val="000D5B4F"/>
    <w:rsid w:val="000D6748"/>
    <w:rsid w:val="000D77E3"/>
    <w:rsid w:val="000E1EF3"/>
    <w:rsid w:val="000E2C61"/>
    <w:rsid w:val="000E3349"/>
    <w:rsid w:val="000E3CB7"/>
    <w:rsid w:val="000E779A"/>
    <w:rsid w:val="000F0DD9"/>
    <w:rsid w:val="000F195C"/>
    <w:rsid w:val="000F281C"/>
    <w:rsid w:val="000F4513"/>
    <w:rsid w:val="000F615C"/>
    <w:rsid w:val="00102288"/>
    <w:rsid w:val="001051D6"/>
    <w:rsid w:val="0010667D"/>
    <w:rsid w:val="001102D0"/>
    <w:rsid w:val="00111C3F"/>
    <w:rsid w:val="001132B5"/>
    <w:rsid w:val="00113802"/>
    <w:rsid w:val="00125A6D"/>
    <w:rsid w:val="00130716"/>
    <w:rsid w:val="001322F0"/>
    <w:rsid w:val="001325FD"/>
    <w:rsid w:val="00136BA0"/>
    <w:rsid w:val="00136F62"/>
    <w:rsid w:val="001433A5"/>
    <w:rsid w:val="00146C15"/>
    <w:rsid w:val="001542F2"/>
    <w:rsid w:val="00156255"/>
    <w:rsid w:val="0016227A"/>
    <w:rsid w:val="00167973"/>
    <w:rsid w:val="0018530D"/>
    <w:rsid w:val="0018534F"/>
    <w:rsid w:val="001878BD"/>
    <w:rsid w:val="0019743D"/>
    <w:rsid w:val="0019779A"/>
    <w:rsid w:val="001A0A58"/>
    <w:rsid w:val="001A0CDD"/>
    <w:rsid w:val="001B25D2"/>
    <w:rsid w:val="001C21A5"/>
    <w:rsid w:val="001E09CC"/>
    <w:rsid w:val="001E2101"/>
    <w:rsid w:val="001F1BA2"/>
    <w:rsid w:val="001F4970"/>
    <w:rsid w:val="00204E44"/>
    <w:rsid w:val="00211C0D"/>
    <w:rsid w:val="00226524"/>
    <w:rsid w:val="002266B1"/>
    <w:rsid w:val="00231000"/>
    <w:rsid w:val="002340A9"/>
    <w:rsid w:val="00234C33"/>
    <w:rsid w:val="002404DC"/>
    <w:rsid w:val="00245A9B"/>
    <w:rsid w:val="0024718A"/>
    <w:rsid w:val="002563BF"/>
    <w:rsid w:val="00257194"/>
    <w:rsid w:val="00264358"/>
    <w:rsid w:val="00265F0A"/>
    <w:rsid w:val="00270413"/>
    <w:rsid w:val="00270533"/>
    <w:rsid w:val="00270809"/>
    <w:rsid w:val="0027112F"/>
    <w:rsid w:val="00281FA6"/>
    <w:rsid w:val="002876EB"/>
    <w:rsid w:val="002912B1"/>
    <w:rsid w:val="00292B80"/>
    <w:rsid w:val="0029348C"/>
    <w:rsid w:val="002A00D3"/>
    <w:rsid w:val="002A06E7"/>
    <w:rsid w:val="002A239A"/>
    <w:rsid w:val="002A342E"/>
    <w:rsid w:val="002B0F32"/>
    <w:rsid w:val="002B3DC5"/>
    <w:rsid w:val="002B6099"/>
    <w:rsid w:val="002B6372"/>
    <w:rsid w:val="002B6845"/>
    <w:rsid w:val="002C05F8"/>
    <w:rsid w:val="002C076E"/>
    <w:rsid w:val="002C169D"/>
    <w:rsid w:val="002C2530"/>
    <w:rsid w:val="002C3CC4"/>
    <w:rsid w:val="002C7D2D"/>
    <w:rsid w:val="002D3BA1"/>
    <w:rsid w:val="002D554E"/>
    <w:rsid w:val="002E1DEA"/>
    <w:rsid w:val="002E2CCB"/>
    <w:rsid w:val="002E4D06"/>
    <w:rsid w:val="002E55B4"/>
    <w:rsid w:val="002ED666"/>
    <w:rsid w:val="002F4D67"/>
    <w:rsid w:val="00300EA3"/>
    <w:rsid w:val="00302150"/>
    <w:rsid w:val="00303D90"/>
    <w:rsid w:val="0030775B"/>
    <w:rsid w:val="00316828"/>
    <w:rsid w:val="003236EF"/>
    <w:rsid w:val="00333531"/>
    <w:rsid w:val="00337D49"/>
    <w:rsid w:val="00342551"/>
    <w:rsid w:val="00343764"/>
    <w:rsid w:val="003459EA"/>
    <w:rsid w:val="00350481"/>
    <w:rsid w:val="00356623"/>
    <w:rsid w:val="003620C9"/>
    <w:rsid w:val="00363B2C"/>
    <w:rsid w:val="0036742E"/>
    <w:rsid w:val="00370623"/>
    <w:rsid w:val="00370645"/>
    <w:rsid w:val="00373AA5"/>
    <w:rsid w:val="0037765C"/>
    <w:rsid w:val="003859DC"/>
    <w:rsid w:val="0039573D"/>
    <w:rsid w:val="003A532D"/>
    <w:rsid w:val="003B00A3"/>
    <w:rsid w:val="003B63DF"/>
    <w:rsid w:val="003C3748"/>
    <w:rsid w:val="003C3ACE"/>
    <w:rsid w:val="003C40FF"/>
    <w:rsid w:val="003C4F36"/>
    <w:rsid w:val="003C5EB6"/>
    <w:rsid w:val="003D2A2D"/>
    <w:rsid w:val="003D2CFB"/>
    <w:rsid w:val="003D5244"/>
    <w:rsid w:val="003E00A4"/>
    <w:rsid w:val="003E10BC"/>
    <w:rsid w:val="003E377A"/>
    <w:rsid w:val="003E5784"/>
    <w:rsid w:val="003E5961"/>
    <w:rsid w:val="003E6B7F"/>
    <w:rsid w:val="003E7527"/>
    <w:rsid w:val="003F7AC0"/>
    <w:rsid w:val="004075AB"/>
    <w:rsid w:val="00407C35"/>
    <w:rsid w:val="0041050A"/>
    <w:rsid w:val="00427689"/>
    <w:rsid w:val="00431E4F"/>
    <w:rsid w:val="004346B4"/>
    <w:rsid w:val="00444755"/>
    <w:rsid w:val="00444FED"/>
    <w:rsid w:val="00457328"/>
    <w:rsid w:val="004602B7"/>
    <w:rsid w:val="00463858"/>
    <w:rsid w:val="00464470"/>
    <w:rsid w:val="00470817"/>
    <w:rsid w:val="00476616"/>
    <w:rsid w:val="00490168"/>
    <w:rsid w:val="0049755B"/>
    <w:rsid w:val="00497901"/>
    <w:rsid w:val="004A15D9"/>
    <w:rsid w:val="004A3C08"/>
    <w:rsid w:val="004B0B31"/>
    <w:rsid w:val="004B18D2"/>
    <w:rsid w:val="004B4155"/>
    <w:rsid w:val="004C0803"/>
    <w:rsid w:val="004C25F5"/>
    <w:rsid w:val="004C4345"/>
    <w:rsid w:val="004C50C7"/>
    <w:rsid w:val="004C7574"/>
    <w:rsid w:val="004D3877"/>
    <w:rsid w:val="004E3887"/>
    <w:rsid w:val="004E5D8A"/>
    <w:rsid w:val="004F53AD"/>
    <w:rsid w:val="004F642D"/>
    <w:rsid w:val="0050545C"/>
    <w:rsid w:val="0051160D"/>
    <w:rsid w:val="00513137"/>
    <w:rsid w:val="00513A6C"/>
    <w:rsid w:val="00514F5E"/>
    <w:rsid w:val="00515EE3"/>
    <w:rsid w:val="005222BC"/>
    <w:rsid w:val="0052395E"/>
    <w:rsid w:val="00526117"/>
    <w:rsid w:val="005324AC"/>
    <w:rsid w:val="00545853"/>
    <w:rsid w:val="00545FF2"/>
    <w:rsid w:val="00555438"/>
    <w:rsid w:val="005618C8"/>
    <w:rsid w:val="00565B87"/>
    <w:rsid w:val="005668CF"/>
    <w:rsid w:val="00570620"/>
    <w:rsid w:val="00580BDE"/>
    <w:rsid w:val="00582AC5"/>
    <w:rsid w:val="00583461"/>
    <w:rsid w:val="00584A92"/>
    <w:rsid w:val="005850CA"/>
    <w:rsid w:val="00590546"/>
    <w:rsid w:val="00593855"/>
    <w:rsid w:val="00593A76"/>
    <w:rsid w:val="00593E78"/>
    <w:rsid w:val="00594E33"/>
    <w:rsid w:val="005A1124"/>
    <w:rsid w:val="005A350B"/>
    <w:rsid w:val="005B1FBC"/>
    <w:rsid w:val="005C05CB"/>
    <w:rsid w:val="005C0899"/>
    <w:rsid w:val="005D2914"/>
    <w:rsid w:val="005E0D54"/>
    <w:rsid w:val="005E11D8"/>
    <w:rsid w:val="005E1BFB"/>
    <w:rsid w:val="005E46B6"/>
    <w:rsid w:val="005E48B5"/>
    <w:rsid w:val="005F3F25"/>
    <w:rsid w:val="005F4DEE"/>
    <w:rsid w:val="005F6967"/>
    <w:rsid w:val="005F6D5E"/>
    <w:rsid w:val="005F736E"/>
    <w:rsid w:val="00611988"/>
    <w:rsid w:val="00614ED0"/>
    <w:rsid w:val="00617C22"/>
    <w:rsid w:val="00617E76"/>
    <w:rsid w:val="00622826"/>
    <w:rsid w:val="006251BF"/>
    <w:rsid w:val="00627D4D"/>
    <w:rsid w:val="00632F7D"/>
    <w:rsid w:val="00634347"/>
    <w:rsid w:val="00635C81"/>
    <w:rsid w:val="00641766"/>
    <w:rsid w:val="006420F7"/>
    <w:rsid w:val="006424F3"/>
    <w:rsid w:val="00646F4E"/>
    <w:rsid w:val="006504AD"/>
    <w:rsid w:val="006527C4"/>
    <w:rsid w:val="0065386E"/>
    <w:rsid w:val="006566FF"/>
    <w:rsid w:val="006569F1"/>
    <w:rsid w:val="006622E5"/>
    <w:rsid w:val="006636F6"/>
    <w:rsid w:val="006737D5"/>
    <w:rsid w:val="006743C9"/>
    <w:rsid w:val="0068126F"/>
    <w:rsid w:val="006830B6"/>
    <w:rsid w:val="006A6684"/>
    <w:rsid w:val="006B6C67"/>
    <w:rsid w:val="006D22FD"/>
    <w:rsid w:val="006D39A0"/>
    <w:rsid w:val="006D4C54"/>
    <w:rsid w:val="006D5502"/>
    <w:rsid w:val="006D6A16"/>
    <w:rsid w:val="006E027F"/>
    <w:rsid w:val="006E5308"/>
    <w:rsid w:val="006E7C42"/>
    <w:rsid w:val="006F6D94"/>
    <w:rsid w:val="006F7E6C"/>
    <w:rsid w:val="007018A3"/>
    <w:rsid w:val="00702749"/>
    <w:rsid w:val="00705851"/>
    <w:rsid w:val="00711662"/>
    <w:rsid w:val="007150B7"/>
    <w:rsid w:val="00720A11"/>
    <w:rsid w:val="00721F26"/>
    <w:rsid w:val="007325A4"/>
    <w:rsid w:val="00732EDC"/>
    <w:rsid w:val="00735289"/>
    <w:rsid w:val="007416AE"/>
    <w:rsid w:val="00747449"/>
    <w:rsid w:val="007523B5"/>
    <w:rsid w:val="00754092"/>
    <w:rsid w:val="00766C5C"/>
    <w:rsid w:val="0077255D"/>
    <w:rsid w:val="00772F63"/>
    <w:rsid w:val="00782102"/>
    <w:rsid w:val="007907CC"/>
    <w:rsid w:val="0079470A"/>
    <w:rsid w:val="00795209"/>
    <w:rsid w:val="007A0A5E"/>
    <w:rsid w:val="007A3F54"/>
    <w:rsid w:val="007B2C20"/>
    <w:rsid w:val="007B7E78"/>
    <w:rsid w:val="007C1E5E"/>
    <w:rsid w:val="007C2FFC"/>
    <w:rsid w:val="007D3B33"/>
    <w:rsid w:val="007D4987"/>
    <w:rsid w:val="007D652A"/>
    <w:rsid w:val="007D66AC"/>
    <w:rsid w:val="007D7D32"/>
    <w:rsid w:val="007E2963"/>
    <w:rsid w:val="007E3A9C"/>
    <w:rsid w:val="007E453D"/>
    <w:rsid w:val="007F6A23"/>
    <w:rsid w:val="007F725D"/>
    <w:rsid w:val="007F7978"/>
    <w:rsid w:val="008014E2"/>
    <w:rsid w:val="00803C21"/>
    <w:rsid w:val="008131BA"/>
    <w:rsid w:val="008152E8"/>
    <w:rsid w:val="008177E5"/>
    <w:rsid w:val="00825148"/>
    <w:rsid w:val="00825AC8"/>
    <w:rsid w:val="00832DB6"/>
    <w:rsid w:val="008377E7"/>
    <w:rsid w:val="00837D28"/>
    <w:rsid w:val="00843344"/>
    <w:rsid w:val="0084728B"/>
    <w:rsid w:val="008530D2"/>
    <w:rsid w:val="00866610"/>
    <w:rsid w:val="008704B1"/>
    <w:rsid w:val="0087596D"/>
    <w:rsid w:val="00875E7E"/>
    <w:rsid w:val="00877356"/>
    <w:rsid w:val="00881DAC"/>
    <w:rsid w:val="008901FF"/>
    <w:rsid w:val="00892BF1"/>
    <w:rsid w:val="00894F90"/>
    <w:rsid w:val="008A3143"/>
    <w:rsid w:val="008A4A20"/>
    <w:rsid w:val="008A52FA"/>
    <w:rsid w:val="008A5866"/>
    <w:rsid w:val="008B2C69"/>
    <w:rsid w:val="008B5D98"/>
    <w:rsid w:val="008B73DB"/>
    <w:rsid w:val="008B7D7C"/>
    <w:rsid w:val="008B7E9D"/>
    <w:rsid w:val="008C516C"/>
    <w:rsid w:val="008C691B"/>
    <w:rsid w:val="008D0DAE"/>
    <w:rsid w:val="008D651F"/>
    <w:rsid w:val="008D677A"/>
    <w:rsid w:val="008E094E"/>
    <w:rsid w:val="008E2322"/>
    <w:rsid w:val="008E6DAB"/>
    <w:rsid w:val="008F7799"/>
    <w:rsid w:val="00900135"/>
    <w:rsid w:val="009054CB"/>
    <w:rsid w:val="00913671"/>
    <w:rsid w:val="009257D1"/>
    <w:rsid w:val="00926716"/>
    <w:rsid w:val="00926EFF"/>
    <w:rsid w:val="00927FE7"/>
    <w:rsid w:val="009521C7"/>
    <w:rsid w:val="009546E9"/>
    <w:rsid w:val="00957BE8"/>
    <w:rsid w:val="009625D0"/>
    <w:rsid w:val="009661CC"/>
    <w:rsid w:val="00972654"/>
    <w:rsid w:val="009936A8"/>
    <w:rsid w:val="009A0EC2"/>
    <w:rsid w:val="009A181F"/>
    <w:rsid w:val="009A5D9A"/>
    <w:rsid w:val="009A7AB3"/>
    <w:rsid w:val="009B1656"/>
    <w:rsid w:val="009B25D4"/>
    <w:rsid w:val="009B5369"/>
    <w:rsid w:val="009C4D39"/>
    <w:rsid w:val="009C6D5E"/>
    <w:rsid w:val="009D3377"/>
    <w:rsid w:val="009D4BA6"/>
    <w:rsid w:val="009E0409"/>
    <w:rsid w:val="009F25FF"/>
    <w:rsid w:val="00A05096"/>
    <w:rsid w:val="00A20585"/>
    <w:rsid w:val="00A2241C"/>
    <w:rsid w:val="00A264C2"/>
    <w:rsid w:val="00A265C6"/>
    <w:rsid w:val="00A27065"/>
    <w:rsid w:val="00A30D35"/>
    <w:rsid w:val="00A324BA"/>
    <w:rsid w:val="00A32808"/>
    <w:rsid w:val="00A33867"/>
    <w:rsid w:val="00A351C8"/>
    <w:rsid w:val="00A36BFD"/>
    <w:rsid w:val="00A42400"/>
    <w:rsid w:val="00A45BDF"/>
    <w:rsid w:val="00A54144"/>
    <w:rsid w:val="00A73D0F"/>
    <w:rsid w:val="00A83CA9"/>
    <w:rsid w:val="00A95446"/>
    <w:rsid w:val="00A97010"/>
    <w:rsid w:val="00A9796F"/>
    <w:rsid w:val="00AA03D8"/>
    <w:rsid w:val="00AA18EE"/>
    <w:rsid w:val="00AA5BC4"/>
    <w:rsid w:val="00AA6FE7"/>
    <w:rsid w:val="00AB0673"/>
    <w:rsid w:val="00AB1F06"/>
    <w:rsid w:val="00AB6690"/>
    <w:rsid w:val="00AB6B42"/>
    <w:rsid w:val="00AB7675"/>
    <w:rsid w:val="00AB7AA6"/>
    <w:rsid w:val="00AC0B43"/>
    <w:rsid w:val="00AD03B3"/>
    <w:rsid w:val="00AD1438"/>
    <w:rsid w:val="00AD1746"/>
    <w:rsid w:val="00AD48E5"/>
    <w:rsid w:val="00AD7807"/>
    <w:rsid w:val="00AE22DB"/>
    <w:rsid w:val="00AE3FE3"/>
    <w:rsid w:val="00AE484F"/>
    <w:rsid w:val="00AE555A"/>
    <w:rsid w:val="00AE7ABC"/>
    <w:rsid w:val="00AF58D3"/>
    <w:rsid w:val="00B033D4"/>
    <w:rsid w:val="00B05B22"/>
    <w:rsid w:val="00B05CB5"/>
    <w:rsid w:val="00B12225"/>
    <w:rsid w:val="00B17193"/>
    <w:rsid w:val="00B179DE"/>
    <w:rsid w:val="00B23B92"/>
    <w:rsid w:val="00B25296"/>
    <w:rsid w:val="00B27EA5"/>
    <w:rsid w:val="00B307C9"/>
    <w:rsid w:val="00B36D96"/>
    <w:rsid w:val="00B467DD"/>
    <w:rsid w:val="00B5105B"/>
    <w:rsid w:val="00B54215"/>
    <w:rsid w:val="00B57477"/>
    <w:rsid w:val="00B5D9B9"/>
    <w:rsid w:val="00B62799"/>
    <w:rsid w:val="00B62CD4"/>
    <w:rsid w:val="00B632AF"/>
    <w:rsid w:val="00B643D7"/>
    <w:rsid w:val="00B6452E"/>
    <w:rsid w:val="00B73510"/>
    <w:rsid w:val="00B84C2C"/>
    <w:rsid w:val="00B92D67"/>
    <w:rsid w:val="00BA3332"/>
    <w:rsid w:val="00BB3110"/>
    <w:rsid w:val="00BB3CF4"/>
    <w:rsid w:val="00BB7E7A"/>
    <w:rsid w:val="00BC3AD6"/>
    <w:rsid w:val="00BD0513"/>
    <w:rsid w:val="00BD4010"/>
    <w:rsid w:val="00BD4E05"/>
    <w:rsid w:val="00BE2571"/>
    <w:rsid w:val="00BE2708"/>
    <w:rsid w:val="00BE337B"/>
    <w:rsid w:val="00BE555B"/>
    <w:rsid w:val="00BF105F"/>
    <w:rsid w:val="00BF402E"/>
    <w:rsid w:val="00BF4A02"/>
    <w:rsid w:val="00C159F5"/>
    <w:rsid w:val="00C200F7"/>
    <w:rsid w:val="00C2120F"/>
    <w:rsid w:val="00C26C49"/>
    <w:rsid w:val="00C31972"/>
    <w:rsid w:val="00C32860"/>
    <w:rsid w:val="00C36B74"/>
    <w:rsid w:val="00C36E13"/>
    <w:rsid w:val="00C404A1"/>
    <w:rsid w:val="00C518E3"/>
    <w:rsid w:val="00C5465A"/>
    <w:rsid w:val="00C54D95"/>
    <w:rsid w:val="00C6729F"/>
    <w:rsid w:val="00C73A29"/>
    <w:rsid w:val="00C74721"/>
    <w:rsid w:val="00C755F8"/>
    <w:rsid w:val="00C9246D"/>
    <w:rsid w:val="00C9555F"/>
    <w:rsid w:val="00CA0E45"/>
    <w:rsid w:val="00CA1126"/>
    <w:rsid w:val="00CA183A"/>
    <w:rsid w:val="00CA3E46"/>
    <w:rsid w:val="00CA4078"/>
    <w:rsid w:val="00CB360E"/>
    <w:rsid w:val="00CC2135"/>
    <w:rsid w:val="00CC3B17"/>
    <w:rsid w:val="00CC3CFA"/>
    <w:rsid w:val="00CC5BE7"/>
    <w:rsid w:val="00CC6803"/>
    <w:rsid w:val="00CC7367"/>
    <w:rsid w:val="00CD1D02"/>
    <w:rsid w:val="00CD5671"/>
    <w:rsid w:val="00CE144E"/>
    <w:rsid w:val="00CE3D94"/>
    <w:rsid w:val="00CE653B"/>
    <w:rsid w:val="00CF08EA"/>
    <w:rsid w:val="00CF3B77"/>
    <w:rsid w:val="00D003B4"/>
    <w:rsid w:val="00D01BEF"/>
    <w:rsid w:val="00D02932"/>
    <w:rsid w:val="00D03008"/>
    <w:rsid w:val="00D06189"/>
    <w:rsid w:val="00D1320A"/>
    <w:rsid w:val="00D16BF7"/>
    <w:rsid w:val="00D25D09"/>
    <w:rsid w:val="00D311E1"/>
    <w:rsid w:val="00D40CEE"/>
    <w:rsid w:val="00D41527"/>
    <w:rsid w:val="00D57487"/>
    <w:rsid w:val="00D61355"/>
    <w:rsid w:val="00D65136"/>
    <w:rsid w:val="00D65282"/>
    <w:rsid w:val="00D75393"/>
    <w:rsid w:val="00D75F3C"/>
    <w:rsid w:val="00D81B22"/>
    <w:rsid w:val="00D90CB9"/>
    <w:rsid w:val="00D91F38"/>
    <w:rsid w:val="00D93622"/>
    <w:rsid w:val="00DA1601"/>
    <w:rsid w:val="00DA5760"/>
    <w:rsid w:val="00DA5F56"/>
    <w:rsid w:val="00DA6570"/>
    <w:rsid w:val="00DAF2D1"/>
    <w:rsid w:val="00DB2670"/>
    <w:rsid w:val="00DB3FB5"/>
    <w:rsid w:val="00DB6451"/>
    <w:rsid w:val="00DC022B"/>
    <w:rsid w:val="00DC1B14"/>
    <w:rsid w:val="00DD3B03"/>
    <w:rsid w:val="00DE20BA"/>
    <w:rsid w:val="00DE2155"/>
    <w:rsid w:val="00DF4F23"/>
    <w:rsid w:val="00DF50A1"/>
    <w:rsid w:val="00DF53AF"/>
    <w:rsid w:val="00DF5441"/>
    <w:rsid w:val="00DF6BFD"/>
    <w:rsid w:val="00DF6DEA"/>
    <w:rsid w:val="00DF7BCD"/>
    <w:rsid w:val="00E003B6"/>
    <w:rsid w:val="00E0253A"/>
    <w:rsid w:val="00E06405"/>
    <w:rsid w:val="00E06A55"/>
    <w:rsid w:val="00E075BD"/>
    <w:rsid w:val="00E124E7"/>
    <w:rsid w:val="00E159C8"/>
    <w:rsid w:val="00E21BA9"/>
    <w:rsid w:val="00E22935"/>
    <w:rsid w:val="00E31CFE"/>
    <w:rsid w:val="00E34074"/>
    <w:rsid w:val="00E40C9C"/>
    <w:rsid w:val="00E41446"/>
    <w:rsid w:val="00E45F7A"/>
    <w:rsid w:val="00E4638E"/>
    <w:rsid w:val="00E47C5F"/>
    <w:rsid w:val="00E512E6"/>
    <w:rsid w:val="00E657B8"/>
    <w:rsid w:val="00E672DF"/>
    <w:rsid w:val="00E71CE8"/>
    <w:rsid w:val="00E75197"/>
    <w:rsid w:val="00E77B66"/>
    <w:rsid w:val="00E82532"/>
    <w:rsid w:val="00E84D89"/>
    <w:rsid w:val="00E90FA7"/>
    <w:rsid w:val="00E95946"/>
    <w:rsid w:val="00E96A01"/>
    <w:rsid w:val="00EA1A2F"/>
    <w:rsid w:val="00EA59B9"/>
    <w:rsid w:val="00EB5F4E"/>
    <w:rsid w:val="00EC2628"/>
    <w:rsid w:val="00EC57A6"/>
    <w:rsid w:val="00EC7FA1"/>
    <w:rsid w:val="00ED09FC"/>
    <w:rsid w:val="00ED43D1"/>
    <w:rsid w:val="00ED50C9"/>
    <w:rsid w:val="00ED5865"/>
    <w:rsid w:val="00ED6D40"/>
    <w:rsid w:val="00F045D0"/>
    <w:rsid w:val="00F103A6"/>
    <w:rsid w:val="00F10EBF"/>
    <w:rsid w:val="00F13C40"/>
    <w:rsid w:val="00F167DA"/>
    <w:rsid w:val="00F174B6"/>
    <w:rsid w:val="00F22193"/>
    <w:rsid w:val="00F25E08"/>
    <w:rsid w:val="00F34501"/>
    <w:rsid w:val="00F40196"/>
    <w:rsid w:val="00F45FF2"/>
    <w:rsid w:val="00F514DA"/>
    <w:rsid w:val="00F6470F"/>
    <w:rsid w:val="00F67043"/>
    <w:rsid w:val="00F67FFA"/>
    <w:rsid w:val="00F81145"/>
    <w:rsid w:val="00F86167"/>
    <w:rsid w:val="00F90C80"/>
    <w:rsid w:val="00F94B69"/>
    <w:rsid w:val="00F9623E"/>
    <w:rsid w:val="00FA37B4"/>
    <w:rsid w:val="00FA6938"/>
    <w:rsid w:val="00FA7136"/>
    <w:rsid w:val="00FB4974"/>
    <w:rsid w:val="00FD7B41"/>
    <w:rsid w:val="00FE19A7"/>
    <w:rsid w:val="00FF1EBB"/>
    <w:rsid w:val="00FF231A"/>
    <w:rsid w:val="00FF2795"/>
    <w:rsid w:val="00FF3AC6"/>
    <w:rsid w:val="00FF4E71"/>
    <w:rsid w:val="0117C0FC"/>
    <w:rsid w:val="027CB1C2"/>
    <w:rsid w:val="0287B547"/>
    <w:rsid w:val="02E8B0C8"/>
    <w:rsid w:val="03DE9451"/>
    <w:rsid w:val="04A7DDA6"/>
    <w:rsid w:val="054B7414"/>
    <w:rsid w:val="056C7840"/>
    <w:rsid w:val="0604AAFA"/>
    <w:rsid w:val="06090F96"/>
    <w:rsid w:val="071F122A"/>
    <w:rsid w:val="076052B1"/>
    <w:rsid w:val="0869DDFC"/>
    <w:rsid w:val="08D049AC"/>
    <w:rsid w:val="090565FF"/>
    <w:rsid w:val="09719A6B"/>
    <w:rsid w:val="09BEC384"/>
    <w:rsid w:val="09FA5ABA"/>
    <w:rsid w:val="0A7E156D"/>
    <w:rsid w:val="0C1836DA"/>
    <w:rsid w:val="0C32CEC2"/>
    <w:rsid w:val="0DBF25C1"/>
    <w:rsid w:val="0DD3A756"/>
    <w:rsid w:val="0E0284F1"/>
    <w:rsid w:val="0E784561"/>
    <w:rsid w:val="0EA414FE"/>
    <w:rsid w:val="0F641448"/>
    <w:rsid w:val="0F79B1E8"/>
    <w:rsid w:val="0F9C752A"/>
    <w:rsid w:val="0FE20B51"/>
    <w:rsid w:val="0FF83531"/>
    <w:rsid w:val="1037ECC7"/>
    <w:rsid w:val="10D89FAE"/>
    <w:rsid w:val="113C9CBB"/>
    <w:rsid w:val="11DAA1D7"/>
    <w:rsid w:val="1205DEBA"/>
    <w:rsid w:val="124EBE3E"/>
    <w:rsid w:val="12B0C313"/>
    <w:rsid w:val="12BC12A1"/>
    <w:rsid w:val="13A950C1"/>
    <w:rsid w:val="15A45CE2"/>
    <w:rsid w:val="15E3A091"/>
    <w:rsid w:val="16A77383"/>
    <w:rsid w:val="18557971"/>
    <w:rsid w:val="193E95A9"/>
    <w:rsid w:val="1983F913"/>
    <w:rsid w:val="1ADD580E"/>
    <w:rsid w:val="1B152D43"/>
    <w:rsid w:val="1B476461"/>
    <w:rsid w:val="1B877000"/>
    <w:rsid w:val="1B93D273"/>
    <w:rsid w:val="1C51670E"/>
    <w:rsid w:val="1C5486C6"/>
    <w:rsid w:val="1CCE8DCC"/>
    <w:rsid w:val="1D1B0256"/>
    <w:rsid w:val="1DC0A54F"/>
    <w:rsid w:val="1EAB7054"/>
    <w:rsid w:val="1F16BA67"/>
    <w:rsid w:val="1F902874"/>
    <w:rsid w:val="2044AB0B"/>
    <w:rsid w:val="2049EF5D"/>
    <w:rsid w:val="206675C5"/>
    <w:rsid w:val="213D6447"/>
    <w:rsid w:val="21A4DCEA"/>
    <w:rsid w:val="21CC7A58"/>
    <w:rsid w:val="21D4068D"/>
    <w:rsid w:val="2221F2E5"/>
    <w:rsid w:val="23808C34"/>
    <w:rsid w:val="23A381EE"/>
    <w:rsid w:val="23FA7AB7"/>
    <w:rsid w:val="2428263A"/>
    <w:rsid w:val="25238248"/>
    <w:rsid w:val="2529EAB5"/>
    <w:rsid w:val="2552AC8E"/>
    <w:rsid w:val="256EC8E4"/>
    <w:rsid w:val="25C866A6"/>
    <w:rsid w:val="25F45419"/>
    <w:rsid w:val="263E1B2F"/>
    <w:rsid w:val="2760DE8C"/>
    <w:rsid w:val="27ECE3EB"/>
    <w:rsid w:val="29326C55"/>
    <w:rsid w:val="29D12E9E"/>
    <w:rsid w:val="2A88E78A"/>
    <w:rsid w:val="2B76C34F"/>
    <w:rsid w:val="2C140C33"/>
    <w:rsid w:val="2D61C4C6"/>
    <w:rsid w:val="2D950D93"/>
    <w:rsid w:val="2DB29FAF"/>
    <w:rsid w:val="2E710C35"/>
    <w:rsid w:val="2E760EE4"/>
    <w:rsid w:val="2EE4C4DD"/>
    <w:rsid w:val="2F0E9750"/>
    <w:rsid w:val="301D680F"/>
    <w:rsid w:val="327C9105"/>
    <w:rsid w:val="32838ECF"/>
    <w:rsid w:val="32FB4BE5"/>
    <w:rsid w:val="33079BBE"/>
    <w:rsid w:val="3477E230"/>
    <w:rsid w:val="35F945A8"/>
    <w:rsid w:val="36D28836"/>
    <w:rsid w:val="36E15881"/>
    <w:rsid w:val="36F3CB0F"/>
    <w:rsid w:val="37BCFB09"/>
    <w:rsid w:val="38148BFE"/>
    <w:rsid w:val="38402D5F"/>
    <w:rsid w:val="3886E42F"/>
    <w:rsid w:val="38AD62CF"/>
    <w:rsid w:val="38C262B2"/>
    <w:rsid w:val="39362C65"/>
    <w:rsid w:val="39503918"/>
    <w:rsid w:val="39608359"/>
    <w:rsid w:val="3A19A31E"/>
    <w:rsid w:val="3A76257C"/>
    <w:rsid w:val="3B13BC2D"/>
    <w:rsid w:val="3B1DCB39"/>
    <w:rsid w:val="3B1F8E89"/>
    <w:rsid w:val="3B526770"/>
    <w:rsid w:val="3BE6A78D"/>
    <w:rsid w:val="3C0E0771"/>
    <w:rsid w:val="3C2C2388"/>
    <w:rsid w:val="3C314244"/>
    <w:rsid w:val="3C397681"/>
    <w:rsid w:val="3CC903D7"/>
    <w:rsid w:val="3D2840AC"/>
    <w:rsid w:val="3D29D1C2"/>
    <w:rsid w:val="3E15D6BD"/>
    <w:rsid w:val="3E7311C5"/>
    <w:rsid w:val="3E9E1C1D"/>
    <w:rsid w:val="3EA1E6AE"/>
    <w:rsid w:val="3ED05182"/>
    <w:rsid w:val="3EEDE9CE"/>
    <w:rsid w:val="40341A72"/>
    <w:rsid w:val="40B259C7"/>
    <w:rsid w:val="410AC871"/>
    <w:rsid w:val="412BADF3"/>
    <w:rsid w:val="41C9824E"/>
    <w:rsid w:val="431EB8D2"/>
    <w:rsid w:val="433F69BD"/>
    <w:rsid w:val="43CB1101"/>
    <w:rsid w:val="45253E41"/>
    <w:rsid w:val="45793B3D"/>
    <w:rsid w:val="464A5B7B"/>
    <w:rsid w:val="464F4F67"/>
    <w:rsid w:val="46BF52F7"/>
    <w:rsid w:val="46DA463B"/>
    <w:rsid w:val="4715BF8E"/>
    <w:rsid w:val="4724E03D"/>
    <w:rsid w:val="473B9EA5"/>
    <w:rsid w:val="488887D5"/>
    <w:rsid w:val="48A6FCED"/>
    <w:rsid w:val="48F27531"/>
    <w:rsid w:val="48FE5B8D"/>
    <w:rsid w:val="4937BBB5"/>
    <w:rsid w:val="4A12E318"/>
    <w:rsid w:val="4A42AA36"/>
    <w:rsid w:val="4A5065FA"/>
    <w:rsid w:val="4A9D9E81"/>
    <w:rsid w:val="4B5ADC8E"/>
    <w:rsid w:val="4CEDF11C"/>
    <w:rsid w:val="4D0FD784"/>
    <w:rsid w:val="4D9A450D"/>
    <w:rsid w:val="4D9FD5D8"/>
    <w:rsid w:val="4DCAF63C"/>
    <w:rsid w:val="4E71D857"/>
    <w:rsid w:val="4EC1E17E"/>
    <w:rsid w:val="4EC60974"/>
    <w:rsid w:val="4F87E429"/>
    <w:rsid w:val="4FA4CB4E"/>
    <w:rsid w:val="4FB401CC"/>
    <w:rsid w:val="4FC7F1BD"/>
    <w:rsid w:val="4FEEF511"/>
    <w:rsid w:val="504F0F9F"/>
    <w:rsid w:val="505AB42D"/>
    <w:rsid w:val="50C18CE5"/>
    <w:rsid w:val="5136D3D2"/>
    <w:rsid w:val="51386F1A"/>
    <w:rsid w:val="5146B41E"/>
    <w:rsid w:val="52060F4A"/>
    <w:rsid w:val="5367DD9E"/>
    <w:rsid w:val="54A3AD06"/>
    <w:rsid w:val="54B7B9F8"/>
    <w:rsid w:val="54D1F877"/>
    <w:rsid w:val="5588289F"/>
    <w:rsid w:val="55DC1126"/>
    <w:rsid w:val="563C25C1"/>
    <w:rsid w:val="5667E392"/>
    <w:rsid w:val="56B23023"/>
    <w:rsid w:val="56FDF2F5"/>
    <w:rsid w:val="57677631"/>
    <w:rsid w:val="5769C571"/>
    <w:rsid w:val="57D3B0C1"/>
    <w:rsid w:val="587AD485"/>
    <w:rsid w:val="58BC94AE"/>
    <w:rsid w:val="591871B7"/>
    <w:rsid w:val="599111C8"/>
    <w:rsid w:val="59C53023"/>
    <w:rsid w:val="59CA057E"/>
    <w:rsid w:val="59F76138"/>
    <w:rsid w:val="5A3FD78A"/>
    <w:rsid w:val="5A745CB5"/>
    <w:rsid w:val="5B286F4C"/>
    <w:rsid w:val="5B69DFDA"/>
    <w:rsid w:val="5B9996FA"/>
    <w:rsid w:val="5BCA34C2"/>
    <w:rsid w:val="5BF20E5A"/>
    <w:rsid w:val="5C6E3CDD"/>
    <w:rsid w:val="5C8A69C0"/>
    <w:rsid w:val="5D8FBC88"/>
    <w:rsid w:val="5F63D032"/>
    <w:rsid w:val="5F68EE93"/>
    <w:rsid w:val="5FF4064E"/>
    <w:rsid w:val="6132CC26"/>
    <w:rsid w:val="6141DA87"/>
    <w:rsid w:val="61BDE631"/>
    <w:rsid w:val="61F9268F"/>
    <w:rsid w:val="621155C8"/>
    <w:rsid w:val="62700F47"/>
    <w:rsid w:val="63171DCC"/>
    <w:rsid w:val="632A94C4"/>
    <w:rsid w:val="634D4596"/>
    <w:rsid w:val="63BD220E"/>
    <w:rsid w:val="640A5606"/>
    <w:rsid w:val="6533EF8F"/>
    <w:rsid w:val="6552E487"/>
    <w:rsid w:val="655D9D93"/>
    <w:rsid w:val="65E9EFBC"/>
    <w:rsid w:val="6699771D"/>
    <w:rsid w:val="66C488B6"/>
    <w:rsid w:val="67399F42"/>
    <w:rsid w:val="673F73F9"/>
    <w:rsid w:val="67815AF3"/>
    <w:rsid w:val="67F06496"/>
    <w:rsid w:val="6952AB30"/>
    <w:rsid w:val="69BD9D7B"/>
    <w:rsid w:val="69E8E660"/>
    <w:rsid w:val="6A11648B"/>
    <w:rsid w:val="6A77E2DA"/>
    <w:rsid w:val="6AB1C68A"/>
    <w:rsid w:val="6ACB39D0"/>
    <w:rsid w:val="6AF026BE"/>
    <w:rsid w:val="6B1129C9"/>
    <w:rsid w:val="6B385584"/>
    <w:rsid w:val="6BE55FFB"/>
    <w:rsid w:val="6C094E52"/>
    <w:rsid w:val="6C573EDC"/>
    <w:rsid w:val="6D801AA5"/>
    <w:rsid w:val="6DA96A2D"/>
    <w:rsid w:val="6DE6DE72"/>
    <w:rsid w:val="6DEAFD2D"/>
    <w:rsid w:val="6E7729AC"/>
    <w:rsid w:val="6F8159AD"/>
    <w:rsid w:val="6F81FCA3"/>
    <w:rsid w:val="6F948348"/>
    <w:rsid w:val="6FC57833"/>
    <w:rsid w:val="6FCD9CEA"/>
    <w:rsid w:val="6FDD41BF"/>
    <w:rsid w:val="70310E4F"/>
    <w:rsid w:val="708D79C9"/>
    <w:rsid w:val="70B4FD33"/>
    <w:rsid w:val="728357E2"/>
    <w:rsid w:val="7376FA45"/>
    <w:rsid w:val="73B74C82"/>
    <w:rsid w:val="73DD5785"/>
    <w:rsid w:val="74D88FD6"/>
    <w:rsid w:val="757AD442"/>
    <w:rsid w:val="75917690"/>
    <w:rsid w:val="76914335"/>
    <w:rsid w:val="79652741"/>
    <w:rsid w:val="79928286"/>
    <w:rsid w:val="7A967AF7"/>
    <w:rsid w:val="7B0AD778"/>
    <w:rsid w:val="7B6DAF96"/>
    <w:rsid w:val="7BFA496D"/>
    <w:rsid w:val="7C0E8ADE"/>
    <w:rsid w:val="7C5B56D8"/>
    <w:rsid w:val="7CA9E283"/>
    <w:rsid w:val="7DAC58BC"/>
    <w:rsid w:val="7DE7996C"/>
    <w:rsid w:val="7E3FA9A4"/>
    <w:rsid w:val="7E4EFF3D"/>
    <w:rsid w:val="7E70DFC7"/>
    <w:rsid w:val="7E9713F1"/>
    <w:rsid w:val="7F6F7E34"/>
    <w:rsid w:val="7FA973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6207CF"/>
  <w15:chartTrackingRefBased/>
  <w15:docId w15:val="{F682EB87-E046-4D9B-A527-B5F93117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817"/>
    <w:pPr>
      <w:spacing w:after="200" w:line="276" w:lineRule="auto"/>
    </w:pPr>
    <w:rPr>
      <w:rFonts w:ascii="Arial" w:eastAsia="Times New Roman" w:hAnsi="Arial"/>
      <w:sz w:val="22"/>
      <w:szCs w:val="22"/>
      <w:lang w:val="en-GB" w:eastAsia="en-GB"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 w:val="24"/>
      <w:szCs w:val="26"/>
    </w:rPr>
  </w:style>
  <w:style w:type="paragraph" w:styleId="Heading3">
    <w:name w:val="heading 3"/>
    <w:basedOn w:val="Normal"/>
    <w:next w:val="Normal"/>
    <w:link w:val="Heading3Char"/>
    <w:uiPriority w:val="9"/>
    <w:qFormat/>
    <w:rsid w:val="005F6967"/>
    <w:pPr>
      <w:keepNext/>
      <w:keepLines/>
      <w:spacing w:before="200" w:after="0"/>
      <w:outlineLvl w:val="2"/>
    </w:pPr>
    <w:rPr>
      <w:b/>
      <w:bCs/>
      <w:color w:val="E22B21"/>
      <w:sz w:val="24"/>
    </w:rPr>
  </w:style>
  <w:style w:type="paragraph" w:styleId="Heading4">
    <w:name w:val="heading 4"/>
    <w:basedOn w:val="Normal"/>
    <w:next w:val="Normal"/>
    <w:link w:val="Heading4Char"/>
    <w:uiPriority w:val="9"/>
    <w:semiHidden/>
    <w:unhideWhenUsed/>
    <w:qFormat/>
    <w:rsid w:val="00470817"/>
    <w:pPr>
      <w:keepNext/>
      <w:spacing w:before="240" w:after="60"/>
      <w:outlineLvl w:val="3"/>
    </w:pPr>
    <w:rPr>
      <w:rFonts w:ascii="Aptos" w:eastAsia="Yu Mincho" w:hAnsi="Aptos"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rsid w:val="005F6967"/>
    <w:rPr>
      <w:rFonts w:ascii="Arial" w:eastAsia="Times New Roman" w:hAnsi="Arial" w:cs="Times New Roman"/>
      <w:b/>
      <w:bCs/>
      <w:color w:val="E22B21"/>
      <w:sz w:val="24"/>
    </w:rPr>
  </w:style>
  <w:style w:type="paragraph" w:styleId="Title">
    <w:name w:val="Title"/>
    <w:basedOn w:val="Normal"/>
    <w:next w:val="Normal"/>
    <w:link w:val="TitleChar"/>
    <w:qFormat/>
    <w:rsid w:val="00023AC7"/>
    <w:pPr>
      <w:spacing w:after="300" w:line="240" w:lineRule="auto"/>
      <w:contextualSpacing/>
      <w:jc w:val="center"/>
    </w:pPr>
    <w:rPr>
      <w:b/>
      <w:color w:val="0070C0"/>
      <w:spacing w:val="5"/>
      <w:kern w:val="28"/>
      <w:sz w:val="28"/>
      <w:szCs w:val="52"/>
    </w:rPr>
  </w:style>
  <w:style w:type="character" w:customStyle="1" w:styleId="TitleChar">
    <w:name w:val="Title Char"/>
    <w:link w:val="Title"/>
    <w:rsid w:val="00023AC7"/>
    <w:rPr>
      <w:rFonts w:ascii="Arial" w:eastAsia="Times New Roman" w:hAnsi="Arial"/>
      <w:b/>
      <w:color w:val="0070C0"/>
      <w:spacing w:val="5"/>
      <w:kern w:val="28"/>
      <w:sz w:val="28"/>
      <w:szCs w:val="52"/>
      <w:lang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val="en-GB" w:eastAsia="en-GB"/>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unhideWhenUsed/>
    <w:qFormat/>
    <w:rsid w:val="007D4987"/>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E124E7"/>
    <w:pPr>
      <w:tabs>
        <w:tab w:val="right" w:leader="dot" w:pos="9980"/>
      </w:tabs>
      <w:ind w:left="220"/>
    </w:pPr>
    <w:rPr>
      <w:noProof/>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eastAsia="Times New Roman" w:hAnsi="Arial"/>
      <w:sz w:val="24"/>
      <w:szCs w:val="22"/>
      <w:lang w:val="en-GB" w:eastAsia="en-GB" w:bidi="en-US"/>
    </w:rPr>
  </w:style>
  <w:style w:type="character" w:styleId="Mention">
    <w:name w:val="Mention"/>
    <w:uiPriority w:val="99"/>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 w:type="paragraph" w:customStyle="1" w:styleId="ColorfulList-Accent110">
    <w:name w:val="Colorful List - Accent 110"/>
    <w:basedOn w:val="Normal"/>
    <w:uiPriority w:val="34"/>
    <w:qFormat/>
    <w:rsid w:val="00265F0A"/>
    <w:pPr>
      <w:ind w:left="720"/>
      <w:contextualSpacing/>
    </w:pPr>
  </w:style>
  <w:style w:type="paragraph" w:customStyle="1" w:styleId="GridTable310">
    <w:name w:val="Grid Table 310"/>
    <w:basedOn w:val="Heading1"/>
    <w:next w:val="Normal"/>
    <w:uiPriority w:val="39"/>
    <w:semiHidden/>
    <w:unhideWhenUsed/>
    <w:qFormat/>
    <w:rsid w:val="00265F0A"/>
    <w:pPr>
      <w:outlineLvl w:val="9"/>
    </w:pPr>
    <w:rPr>
      <w:rFonts w:ascii="Cambria" w:hAnsi="Cambria"/>
      <w:color w:val="365F91"/>
      <w:lang w:val="en-US" w:eastAsia="ja-JP"/>
    </w:rPr>
  </w:style>
  <w:style w:type="table" w:styleId="TableGrid">
    <w:name w:val="Table Grid"/>
    <w:basedOn w:val="TableNormal"/>
    <w:uiPriority w:val="59"/>
    <w:rsid w:val="00265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semiHidden/>
    <w:rsid w:val="00470817"/>
    <w:rPr>
      <w:rFonts w:ascii="Aptos" w:eastAsia="Yu Mincho" w:hAnsi="Aptos" w:cs="Arial"/>
      <w:b/>
      <w:bCs/>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733552195">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124233877">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458331026">
      <w:bodyDiv w:val="1"/>
      <w:marLeft w:val="0"/>
      <w:marRight w:val="0"/>
      <w:marTop w:val="0"/>
      <w:marBottom w:val="0"/>
      <w:divBdr>
        <w:top w:val="none" w:sz="0" w:space="0" w:color="auto"/>
        <w:left w:val="none" w:sz="0" w:space="0" w:color="auto"/>
        <w:bottom w:val="none" w:sz="0" w:space="0" w:color="auto"/>
        <w:right w:val="none" w:sz="0" w:space="0" w:color="auto"/>
      </w:divBdr>
    </w:div>
    <w:div w:id="1781147623">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ur-lex.europa.eu/legal-content/EN/TXT/?uri=CELEX%3A32024R1679" TargetMode="External"/><Relationship Id="rId21" Type="http://schemas.openxmlformats.org/officeDocument/2006/relationships/hyperlink" Target="https://accessible-eu-centre.ec.europa.eu/accessible-public-transport-eu-what-law-says-and-what-it-means_en" TargetMode="External"/><Relationship Id="rId42" Type="http://schemas.openxmlformats.org/officeDocument/2006/relationships/hyperlink" Target="https://ec.europa.eu/commission/presscorner/detail/en/ip_23_2955" TargetMode="External"/><Relationship Id="rId63" Type="http://schemas.openxmlformats.org/officeDocument/2006/relationships/hyperlink" Target="https://ec.europa.eu/info/law/better-regulation/have-your-say/initiatives/13446-European-standardisation-evaluation/F3437102_en" TargetMode="External"/><Relationship Id="rId84" Type="http://schemas.openxmlformats.org/officeDocument/2006/relationships/hyperlink" Target="https://www.edf-feph.org/content/uploads/2024/10/EDF-Toolkit-EU-Accession.pdf" TargetMode="External"/><Relationship Id="rId138" Type="http://schemas.openxmlformats.org/officeDocument/2006/relationships/hyperlink" Target="mailto:markaya.henderson@edf-feph.org" TargetMode="External"/><Relationship Id="rId107" Type="http://schemas.openxmlformats.org/officeDocument/2006/relationships/hyperlink" Target="https://eur-lex.europa.eu/legal-content/EN/TXT/?uri=CELEX%3A32024L1499&amp;qid=1728566065726" TargetMode="External"/><Relationship Id="rId11" Type="http://schemas.openxmlformats.org/officeDocument/2006/relationships/hyperlink" Target="https://www.edf-feph.org/content/uploads/2024/12/EDF-Position-Paper-Disability-Strategy-Actions-post-2025.pdf" TargetMode="External"/><Relationship Id="rId32" Type="http://schemas.openxmlformats.org/officeDocument/2006/relationships/hyperlink" Target="https://ec.europa.eu/social/BlobServlet?docId=27702&amp;langId=en" TargetMode="External"/><Relationship Id="rId53" Type="http://schemas.openxmlformats.org/officeDocument/2006/relationships/hyperlink" Target="https://eur-lex.europa.eu/legal-content/EN/TXT/?uri=CELEX:52021PC0732" TargetMode="External"/><Relationship Id="rId74" Type="http://schemas.openxmlformats.org/officeDocument/2006/relationships/hyperlink" Target="https://eur-lex.europa.eu/eli/reg/2017/745/oj/eng" TargetMode="External"/><Relationship Id="rId128" Type="http://schemas.openxmlformats.org/officeDocument/2006/relationships/hyperlink" Target="https://employment-social-affairs.ec.europa.eu/news/commission-adopts-guidance-independent-living-persons-disabilities-2024-11-20_en" TargetMode="External"/><Relationship Id="rId5" Type="http://schemas.openxmlformats.org/officeDocument/2006/relationships/numbering" Target="numbering.xml"/><Relationship Id="rId90" Type="http://schemas.openxmlformats.org/officeDocument/2006/relationships/hyperlink" Target="https://www.eeas.europa.eu/eeas/eu-extends-its-action-plan-human-rights-and-democracy-until-2027_en" TargetMode="External"/><Relationship Id="rId95" Type="http://schemas.openxmlformats.org/officeDocument/2006/relationships/hyperlink" Target="https://www.edf-feph.org/g7-on-disability-political-will-must-be-followed-by-action/" TargetMode="External"/><Relationship Id="rId22" Type="http://schemas.openxmlformats.org/officeDocument/2006/relationships/hyperlink" Target="https://accessible-eu-centre.ec.europa.eu/accessibility-standards-european-level_en" TargetMode="External"/><Relationship Id="rId27" Type="http://schemas.openxmlformats.org/officeDocument/2006/relationships/hyperlink" Target="https://www.edf-feph.org/projects/accessibleeu-centre/" TargetMode="External"/><Relationship Id="rId43" Type="http://schemas.openxmlformats.org/officeDocument/2006/relationships/hyperlink" Target="https://www.edf-feph.org/content/uploads/2023/11/Legal-Opinion-Vulnerable-Adults-Word-version.docx" TargetMode="External"/><Relationship Id="rId48" Type="http://schemas.openxmlformats.org/officeDocument/2006/relationships/hyperlink" Target="https://ec.europa.eu/info/law/better-regulation/have-your-say/initiatives/14551-EU-LGBTIQ-equality-strategy-for-2026-2030_en" TargetMode="External"/><Relationship Id="rId64" Type="http://schemas.openxmlformats.org/officeDocument/2006/relationships/hyperlink" Target="https://www.edf-feph.org/publications/toolkit-energy-performance-of-buildings-directive-recast-2024-1275/" TargetMode="External"/><Relationship Id="rId69" Type="http://schemas.openxmlformats.org/officeDocument/2006/relationships/hyperlink" Target="https://www.edf-feph.org/european-parliament-must-be-ambitious-in-improving-passenger-rights/" TargetMode="External"/><Relationship Id="rId113" Type="http://schemas.openxmlformats.org/officeDocument/2006/relationships/hyperlink" Target="https://www.edf-feph.org/publications/eus-ai-act-fails-to-set-gold-standard-for-human-rights/" TargetMode="External"/><Relationship Id="rId118" Type="http://schemas.openxmlformats.org/officeDocument/2006/relationships/hyperlink" Target="https://www.edf-feph.org/the-european-union-will-update-rules-on-the-development-of-the-trans-european-transport-network-ten-t/" TargetMode="External"/><Relationship Id="rId134" Type="http://schemas.openxmlformats.org/officeDocument/2006/relationships/hyperlink" Target="mailto:haydn.hammersley@edf-feph.org" TargetMode="External"/><Relationship Id="rId139" Type="http://schemas.openxmlformats.org/officeDocument/2006/relationships/hyperlink" Target="mailto:roberta.lulli@edf-feph.org" TargetMode="External"/><Relationship Id="rId80" Type="http://schemas.openxmlformats.org/officeDocument/2006/relationships/hyperlink" Target="https://www.lossanddamagecollaboration.org/resources/human-rights-and-loss-and-damage-key-messages-for-the-unfccc-in-2025" TargetMode="External"/><Relationship Id="rId85" Type="http://schemas.openxmlformats.org/officeDocument/2006/relationships/hyperlink" Target="https://www.edf-feph.org/publications/edfs-input-to-the-eu-talent-pool/" TargetMode="External"/><Relationship Id="rId12" Type="http://schemas.openxmlformats.org/officeDocument/2006/relationships/hyperlink" Target="https://tbinternet.ohchr.org/_layouts/15/treatybodyexternal/Download.aspx?symbolno=CRPD%2FC%2FEUR%2FCO%2F2-3&amp;Lang=en" TargetMode="External"/><Relationship Id="rId17" Type="http://schemas.openxmlformats.org/officeDocument/2006/relationships/hyperlink" Target="https://www.linkedin.com/groups/9350023/" TargetMode="External"/><Relationship Id="rId33" Type="http://schemas.openxmlformats.org/officeDocument/2006/relationships/hyperlink" Target="https://ec.europa.eu/social/BlobServlet?docId=27805&amp;langId=en" TargetMode="External"/><Relationship Id="rId38" Type="http://schemas.openxmlformats.org/officeDocument/2006/relationships/hyperlink" Target="https://easpd.eu/policy-detail/eu-framework-on-social-services-of-excellence-for-persons-with-disabilities-input-of-the-taskforce-on-quality-of-services/" TargetMode="External"/><Relationship Id="rId59" Type="http://schemas.openxmlformats.org/officeDocument/2006/relationships/hyperlink" Target="https://ec.europa.eu/commission/presscorner/detail/en/inf_24_3228" TargetMode="External"/><Relationship Id="rId103" Type="http://schemas.openxmlformats.org/officeDocument/2006/relationships/hyperlink" Target="https://eur-lex.europa.eu/legal-content/EN/TXT/?uri=CELEX%3A32024L1385&amp;qid=1728565541051" TargetMode="External"/><Relationship Id="rId108" Type="http://schemas.openxmlformats.org/officeDocument/2006/relationships/hyperlink" Target="https://www.edf-feph.org/eu-adopts-standards-for-equality-bodies/" TargetMode="External"/><Relationship Id="rId124" Type="http://schemas.openxmlformats.org/officeDocument/2006/relationships/hyperlink" Target="https://www.europarl.europa.eu/doceo/document/TA-9-2024-0331_EN.html" TargetMode="External"/><Relationship Id="rId129" Type="http://schemas.openxmlformats.org/officeDocument/2006/relationships/hyperlink" Target="https://www.edf-feph.org/eu-guidance-on-independent-living-a-positive-step-towards-compliance-with-human-rights/" TargetMode="External"/><Relationship Id="rId54" Type="http://schemas.openxmlformats.org/officeDocument/2006/relationships/hyperlink" Target="https://eur-lex.europa.eu/legal-content/EN/TXT/?uri=CELEX:52021PC0733" TargetMode="External"/><Relationship Id="rId70" Type="http://schemas.openxmlformats.org/officeDocument/2006/relationships/hyperlink" Target="https://www.edf-feph.org/eu-council-unacceptably-weakens-the-rights-of-passengers-with-disabilities/" TargetMode="External"/><Relationship Id="rId75" Type="http://schemas.openxmlformats.org/officeDocument/2006/relationships/hyperlink" Target="https://eur-lex.europa.eu/eli/reg/2017/746/oj/eng" TargetMode="External"/><Relationship Id="rId91" Type="http://schemas.openxmlformats.org/officeDocument/2006/relationships/hyperlink" Target="https://www.globaldisabilitysummit.org/resource/amman-berlin-declaration/" TargetMode="External"/><Relationship Id="rId96" Type="http://schemas.openxmlformats.org/officeDocument/2006/relationships/hyperlink" Target="https://eur-lex.europa.eu/eli/dir/2024/2841/oj/eng" TargetMode="External"/><Relationship Id="rId140" Type="http://schemas.openxmlformats.org/officeDocument/2006/relationships/hyperlink" Target="mailto:marion.steff@edf-feph.org"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accessible-eu-centre.ec.europa.eu/content-corner/digital-library/multimodal-solutions-foster-accessibility-digital-products-and-services_en?prefLang=sv" TargetMode="External"/><Relationship Id="rId28" Type="http://schemas.openxmlformats.org/officeDocument/2006/relationships/hyperlink" Target="https://ec.europa.eu/social/main.jsp?catId=738&amp;langId=en&amp;pubId=8505&amp;furtherPubs=yes" TargetMode="External"/><Relationship Id="rId49" Type="http://schemas.openxmlformats.org/officeDocument/2006/relationships/hyperlink" Target="https://ec.europa.eu/info/law/better-regulation/have-your-say/initiatives/14552-Anti-racism-Strategy_en" TargetMode="External"/><Relationship Id="rId114" Type="http://schemas.openxmlformats.org/officeDocument/2006/relationships/hyperlink" Target="https://www.edf-feph.org/publications/a-disability-inclusive-artificial-intelligence-act-a-guide-to-monitor-implementation-in-your-country/" TargetMode="External"/><Relationship Id="rId119" Type="http://schemas.openxmlformats.org/officeDocument/2006/relationships/hyperlink" Target="https://eur-lex.europa.eu/legal-content/EN/TXT/?uri=CELEX%3A32022L2464" TargetMode="External"/><Relationship Id="rId44" Type="http://schemas.openxmlformats.org/officeDocument/2006/relationships/hyperlink" Target="https://www.edf-feph.org/protection-of-adults-across-borders/" TargetMode="External"/><Relationship Id="rId60" Type="http://schemas.openxmlformats.org/officeDocument/2006/relationships/hyperlink" Target="https://ec.europa.eu/commission/presscorner/detail/en/inf_25_503" TargetMode="External"/><Relationship Id="rId65" Type="http://schemas.openxmlformats.org/officeDocument/2006/relationships/hyperlink" Target="https://eur-lex.europa.eu/legal-content/EN/TXT/?uri=CELEX:52023PC0369" TargetMode="External"/><Relationship Id="rId81" Type="http://schemas.openxmlformats.org/officeDocument/2006/relationships/hyperlink" Target="https://civil-protection-humanitarian-aid.ec.europa.eu/news-stories/news/eu-preparedness-union-strategy-prevent-and-react-emerging-threats-and-crises-2025-03-26_en" TargetMode="External"/><Relationship Id="rId86" Type="http://schemas.openxmlformats.org/officeDocument/2006/relationships/hyperlink" Target="https://www.europarl.europa.eu/RegData/docs_autres_institutions/commission_europeenne/com/2023/0716/COM_COM(2023)0716_EN.pdf" TargetMode="External"/><Relationship Id="rId130" Type="http://schemas.openxmlformats.org/officeDocument/2006/relationships/hyperlink" Target="mailto:alejandro.moledo@edf-feph.org" TargetMode="External"/><Relationship Id="rId135" Type="http://schemas.openxmlformats.org/officeDocument/2006/relationships/hyperlink" Target="mailto:loredana.dicsi@edf-feph.org" TargetMode="External"/><Relationship Id="rId13" Type="http://schemas.openxmlformats.org/officeDocument/2006/relationships/hyperlink" Target="https://www.edf-feph.org/publications/edf-toolkit-european-disability-card-and-european-parking-card/" TargetMode="External"/><Relationship Id="rId18" Type="http://schemas.openxmlformats.org/officeDocument/2006/relationships/hyperlink" Target="https://accessible-eu-centre.ec.europa.eu/accessibility-legislation-european-level_en" TargetMode="External"/><Relationship Id="rId39" Type="http://schemas.openxmlformats.org/officeDocument/2006/relationships/hyperlink" Target="https://data.consilium.europa.eu/doc/document/ST-10817-2024-INIT/en/pdf" TargetMode="External"/><Relationship Id="rId109" Type="http://schemas.openxmlformats.org/officeDocument/2006/relationships/hyperlink" Target="https://equineteurope.org/publications/understanding-the-new-eu-directives-on-standards-for-equality-bodies-key-principles-derived-from-the-legal-digest-on-standards-for-equality-bodies/" TargetMode="External"/><Relationship Id="rId34" Type="http://schemas.openxmlformats.org/officeDocument/2006/relationships/hyperlink" Target="https://commission.europa.eu/document/download/52de0506-6f2e-40e2-bc85-67f883952d3a_en" TargetMode="External"/><Relationship Id="rId50" Type="http://schemas.openxmlformats.org/officeDocument/2006/relationships/hyperlink" Target="https://ec.europa.eu/info/law/better-regulation/have-your-say/initiatives/14611-2026-2030-gender-equality-strategy_en" TargetMode="External"/><Relationship Id="rId55" Type="http://schemas.openxmlformats.org/officeDocument/2006/relationships/hyperlink" Target="https://www.edf-feph.org/publications/edf-position-paper-on-mobile-eu-citizens-directives/" TargetMode="External"/><Relationship Id="rId76" Type="http://schemas.openxmlformats.org/officeDocument/2006/relationships/hyperlink" Target="https://www.edf-feph.org/disability-still-an-afterthought-at-international-climate-negotiations/" TargetMode="External"/><Relationship Id="rId97" Type="http://schemas.openxmlformats.org/officeDocument/2006/relationships/hyperlink" Target="https://www.edf-feph.org/eu-disability-card/" TargetMode="External"/><Relationship Id="rId104" Type="http://schemas.openxmlformats.org/officeDocument/2006/relationships/hyperlink" Target="https://www.edf-feph.org/eu-directive-on-combating-violence-against-women-specific-improvements-on-disability/" TargetMode="External"/><Relationship Id="rId120" Type="http://schemas.openxmlformats.org/officeDocument/2006/relationships/hyperlink" Target="https://eur-lex.europa.eu/legal-content/EN/TXT/?uri=pi_com%3AC%282023%295303" TargetMode="External"/><Relationship Id="rId125" Type="http://schemas.openxmlformats.org/officeDocument/2006/relationships/hyperlink" Target="https://www.edf-feph.org/update-on-the-european-health-data-space-regulation/" TargetMode="External"/><Relationship Id="rId141" Type="http://schemas.openxmlformats.org/officeDocument/2006/relationships/hyperlink" Target="mailto:Mariya.Yasenovska@edf-feph.org" TargetMode="External"/><Relationship Id="rId14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europarl.europa.eu/committees/en/tran/documents/search?committeeMnemoCode=TRAN&amp;textualSearchMode=TITLE&amp;textualSearch=passenger+right&amp;documentTypeCode=&amp;reporterPersId=&amp;procedureYear=&amp;procedureNum=&amp;procedureCodeType=&amp;peNumber=&amp;sessionDocumentDocTypePrefix=&amp;sessionDocumentNumber=&amp;sessionDocumentYear=&amp;documentDateFrom=&amp;documentDateTo=&amp;meetingDateFrom=&amp;meetingDateTo=&amp;performSearch=true&amp;term=10&amp;page=0" TargetMode="External"/><Relationship Id="rId92" Type="http://schemas.openxmlformats.org/officeDocument/2006/relationships/hyperlink" Target="https://www.edf-feph.org/edf-and-the-global-disability-summit-2025-thats-a-wrap-for-now/" TargetMode="External"/><Relationship Id="rId2" Type="http://schemas.openxmlformats.org/officeDocument/2006/relationships/customXml" Target="../customXml/item2.xml"/><Relationship Id="rId29" Type="http://schemas.openxmlformats.org/officeDocument/2006/relationships/hyperlink" Target="https://www.youtube.com/watch?v=dJcz0JP120Q" TargetMode="External"/><Relationship Id="rId24" Type="http://schemas.openxmlformats.org/officeDocument/2006/relationships/hyperlink" Target="https://accessibilitas.es/en/technical-and-legal-standards/" TargetMode="External"/><Relationship Id="rId40" Type="http://schemas.openxmlformats.org/officeDocument/2006/relationships/hyperlink" Target="https://www.edf-feph.org/publications/equality-betrayed-commission-unilaterally-gives-up-on-anti-discrimination-law/" TargetMode="External"/><Relationship Id="rId45" Type="http://schemas.openxmlformats.org/officeDocument/2006/relationships/hyperlink" Target="https://www.edf-feph.org/publications/joint-proposed-amendments-on-the-regulation-on-protection-of-adults-in-cross-border-situations/" TargetMode="External"/><Relationship Id="rId66" Type="http://schemas.openxmlformats.org/officeDocument/2006/relationships/hyperlink" Target="https://eur-lex.europa.eu/legal-content/EN/TXT/?uri=COM%3A2023%3A753%3AFIN" TargetMode="External"/><Relationship Id="rId87" Type="http://schemas.openxmlformats.org/officeDocument/2006/relationships/hyperlink" Target="https://www.edf-feph.org/content/uploads/2024/02/EDF-proposed-Amendments-EU-Talent-Pool-Regulation.pdf" TargetMode="External"/><Relationship Id="rId110" Type="http://schemas.openxmlformats.org/officeDocument/2006/relationships/hyperlink" Target="https://commission.europa.eu/publications/guide-good-electoral-practices-member-states-addressing-participation-citizens-disabilities_en" TargetMode="External"/><Relationship Id="rId115" Type="http://schemas.openxmlformats.org/officeDocument/2006/relationships/hyperlink" Target="https://eur-lex.europa.eu/legal-content/EN/TXT/?uri=CELEX%3A32024L1275" TargetMode="External"/><Relationship Id="rId131" Type="http://schemas.openxmlformats.org/officeDocument/2006/relationships/hyperlink" Target="mailto:marie.denninghaus@edf-feph.org" TargetMode="External"/><Relationship Id="rId136" Type="http://schemas.openxmlformats.org/officeDocument/2006/relationships/hyperlink" Target="mailto:daniel.casas@edf-feph.org" TargetMode="External"/><Relationship Id="rId61" Type="http://schemas.openxmlformats.org/officeDocument/2006/relationships/hyperlink" Target="https://ec.europa.eu/growth/tools-databases/mandates/index.cfm?fuseaction=search.detail&amp;id=613" TargetMode="External"/><Relationship Id="rId82" Type="http://schemas.openxmlformats.org/officeDocument/2006/relationships/hyperlink" Target="https://civil-protection-knowledge-network.europa.eu/projects/prepareu" TargetMode="External"/><Relationship Id="rId19" Type="http://schemas.openxmlformats.org/officeDocument/2006/relationships/hyperlink" Target="https://accessible-eu-centre.ec.europa.eu/digital-accessibility_en" TargetMode="External"/><Relationship Id="rId14" Type="http://schemas.openxmlformats.org/officeDocument/2006/relationships/hyperlink" Target="https://accessible-eu-centre.ec.europa.eu/index_en" TargetMode="External"/><Relationship Id="rId30" Type="http://schemas.openxmlformats.org/officeDocument/2006/relationships/hyperlink" Target="https://ec.europa.eu/social/main.jsp?catId=738&amp;langId=en&amp;pubId=8570&amp;furtherPubs=yes" TargetMode="External"/><Relationship Id="rId35" Type="http://schemas.openxmlformats.org/officeDocument/2006/relationships/hyperlink" Target="https://employment-social-affairs.ec.europa.eu/news/commission-adopts-guidance-independent-living-persons-disabilities-2024-11-20_en" TargetMode="External"/><Relationship Id="rId56" Type="http://schemas.openxmlformats.org/officeDocument/2006/relationships/hyperlink" Target="https://data.consilium.europa.eu/doc/document/ST-9789-2024-INIT/en/pdf" TargetMode="External"/><Relationship Id="rId77" Type="http://schemas.openxmlformats.org/officeDocument/2006/relationships/hyperlink" Target="https://www.edf-feph.org/publications/rights-of-persons-with-disabilities-and-climate-action-final-report/" TargetMode="External"/><Relationship Id="rId100" Type="http://schemas.openxmlformats.org/officeDocument/2006/relationships/hyperlink" Target="https://www.edf-feph.org/publications/eaa-toolkit/" TargetMode="External"/><Relationship Id="rId105" Type="http://schemas.openxmlformats.org/officeDocument/2006/relationships/hyperlink" Target="https://www.edf-feph.org/new-edf-guidance-transposing-the-eu-directive-on-combating-violence-against-women/" TargetMode="External"/><Relationship Id="rId126" Type="http://schemas.openxmlformats.org/officeDocument/2006/relationships/hyperlink" Target="https://eur-lex.europa.eu/eli/C/2024/5992/oj/eng" TargetMode="External"/><Relationship Id="rId8" Type="http://schemas.openxmlformats.org/officeDocument/2006/relationships/webSettings" Target="webSettings.xml"/><Relationship Id="rId51" Type="http://schemas.openxmlformats.org/officeDocument/2006/relationships/hyperlink" Target="https://citizens.ec.europa.eu/intergenerational-fairness_en" TargetMode="External"/><Relationship Id="rId72" Type="http://schemas.openxmlformats.org/officeDocument/2006/relationships/hyperlink" Target="https://eur-lex.europa.eu/legal-content/EN/TXT/?uri=CELEX%3A02014R1300-20230928" TargetMode="External"/><Relationship Id="rId93" Type="http://schemas.openxmlformats.org/officeDocument/2006/relationships/hyperlink" Target="https://www.globaldisabilitysummit.org/commitments/" TargetMode="External"/><Relationship Id="rId98" Type="http://schemas.openxmlformats.org/officeDocument/2006/relationships/hyperlink" Target="https://www.edf-feph.org/publications/edf-toolkit-european-disability-card-and-european-parking-card/" TargetMode="External"/><Relationship Id="rId121" Type="http://schemas.openxmlformats.org/officeDocument/2006/relationships/hyperlink" Target="https://www.edf-feph.org/companies-in-the-eu-will-have-to-report-on-disability-inclusion/" TargetMode="External"/><Relationship Id="rId142" Type="http://schemas.openxmlformats.org/officeDocument/2006/relationships/hyperlink" Target="mailto:ansofie.leenknecht@edf-feph.org" TargetMode="External"/><Relationship Id="rId3" Type="http://schemas.openxmlformats.org/officeDocument/2006/relationships/customXml" Target="../customXml/item3.xml"/><Relationship Id="rId25" Type="http://schemas.openxmlformats.org/officeDocument/2006/relationships/hyperlink" Target="https://accessibilitas.es/en/register-as-a-premium-user/" TargetMode="External"/><Relationship Id="rId46" Type="http://schemas.openxmlformats.org/officeDocument/2006/relationships/hyperlink" Target="https://www.edf-feph.org/publications/what-is-wrong-with-the-proposed-law-on-cross-border-protection-of-adults-infographic/" TargetMode="External"/><Relationship Id="rId67" Type="http://schemas.openxmlformats.org/officeDocument/2006/relationships/hyperlink" Target="https://eur-lex.europa.eu/legal-content/EN/TXT/?uri=CELEX%3A52023PC0752" TargetMode="External"/><Relationship Id="rId116" Type="http://schemas.openxmlformats.org/officeDocument/2006/relationships/hyperlink" Target="https://www.edf-feph.org/publications/toolkit-energy-performance-of-buildings-directive-recast-2024-1275/" TargetMode="External"/><Relationship Id="rId137" Type="http://schemas.openxmlformats.org/officeDocument/2006/relationships/hyperlink" Target="mailto:Kave.Noori@edf-feph.org" TargetMode="External"/><Relationship Id="rId20" Type="http://schemas.openxmlformats.org/officeDocument/2006/relationships/hyperlink" Target="https://accessible-eu-centre.ec.europa.eu/accessibility-built-environment-european-union_en" TargetMode="External"/><Relationship Id="rId41" Type="http://schemas.openxmlformats.org/officeDocument/2006/relationships/hyperlink" Target="https://www.edf-feph.org/equal-treatment-directive-governments-must-find-agreement-before-its-too-late/" TargetMode="External"/><Relationship Id="rId62" Type="http://schemas.openxmlformats.org/officeDocument/2006/relationships/hyperlink" Target="https://eur-lex.europa.eu/legal-content/EN/TXT/?uri=CELEX%3A02012R1025-20230709" TargetMode="External"/><Relationship Id="rId83" Type="http://schemas.openxmlformats.org/officeDocument/2006/relationships/hyperlink" Target="https://civil-protection-knowledge-network.europa.eu/events/inclusive-preparedness-gender-equality-and-inclusion-drm" TargetMode="External"/><Relationship Id="rId88" Type="http://schemas.openxmlformats.org/officeDocument/2006/relationships/hyperlink" Target="https://www.europarl.europa.eu/doceo/document/A-10-2025-0045_EN.html" TargetMode="External"/><Relationship Id="rId111" Type="http://schemas.openxmlformats.org/officeDocument/2006/relationships/hyperlink" Target="https://www.edf-feph.org/european-commission-publishes-guide-on-good-electoral-practices-for-persons-with-disabilities/" TargetMode="External"/><Relationship Id="rId132" Type="http://schemas.openxmlformats.org/officeDocument/2006/relationships/hyperlink" Target="mailto:marine.uldry@edf-feph.org" TargetMode="External"/><Relationship Id="rId15" Type="http://schemas.openxmlformats.org/officeDocument/2006/relationships/hyperlink" Target="https://accessible-eu-centre.ec.europa.eu/index_en" TargetMode="External"/><Relationship Id="rId36" Type="http://schemas.openxmlformats.org/officeDocument/2006/relationships/hyperlink" Target="https://www.edf-feph.org/eu-guidance-on-independent-living-a-positive-step-towards-compliance-with-human-rights/" TargetMode="External"/><Relationship Id="rId57" Type="http://schemas.openxmlformats.org/officeDocument/2006/relationships/hyperlink" Target="https://www.edf-feph.org/the-eu-parliament-proposes-a-new-electoral-law-ensuring-the-political-rights-of-persons-with-disabilities/" TargetMode="External"/><Relationship Id="rId106" Type="http://schemas.openxmlformats.org/officeDocument/2006/relationships/hyperlink" Target="https://eur-lex.europa.eu/legal-content/EN/TXT/?uri=CELEX%3A32024L1500&amp;qid=1728565732605" TargetMode="External"/><Relationship Id="rId127" Type="http://schemas.openxmlformats.org/officeDocument/2006/relationships/hyperlink" Target="https://www.edf-feph.org/eu-passenger-rights-what-happened-in-2024/" TargetMode="External"/><Relationship Id="rId10" Type="http://schemas.openxmlformats.org/officeDocument/2006/relationships/endnotes" Target="endnotes.xml"/><Relationship Id="rId31" Type="http://schemas.openxmlformats.org/officeDocument/2006/relationships/hyperlink" Target="https://ec.europa.eu/social/main.jsp?catId=738&amp;langId=en&amp;pubId=8612&amp;furtherPubs=yes" TargetMode="External"/><Relationship Id="rId52" Type="http://schemas.openxmlformats.org/officeDocument/2006/relationships/hyperlink" Target="https://ec.europa.eu/info/law/better-regulation/have-your-say/initiatives/14587-European-Democracy-Shield/F3557377_en" TargetMode="External"/><Relationship Id="rId73" Type="http://schemas.openxmlformats.org/officeDocument/2006/relationships/hyperlink" Target="https://www.withdrawoviedo.info/join" TargetMode="External"/><Relationship Id="rId78" Type="http://schemas.openxmlformats.org/officeDocument/2006/relationships/hyperlink" Target="https://left.eu/events/people-first-centring-the-just-transition-in-eu-policy/" TargetMode="External"/><Relationship Id="rId94" Type="http://schemas.openxmlformats.org/officeDocument/2006/relationships/hyperlink" Target="https://www.edf-feph.org/g7-on-disability-political-will-must-be-followed-by-action/" TargetMode="External"/><Relationship Id="rId99" Type="http://schemas.openxmlformats.org/officeDocument/2006/relationships/hyperlink" Target="https://eur-lex.europa.eu/legal-content/EN/TXT/?uri=uriserv:OJ.L_.2019.151.01.0070.01.ENG&amp;toc=OJ:L:2019:151:TOC" TargetMode="External"/><Relationship Id="rId101" Type="http://schemas.openxmlformats.org/officeDocument/2006/relationships/hyperlink" Target="https://www.edf-feph.org/publications/webinar-advocating-for-strong-national-adoption-of-the-european-accessibility-act-september-2019/" TargetMode="External"/><Relationship Id="rId122" Type="http://schemas.openxmlformats.org/officeDocument/2006/relationships/hyperlink" Target="https://eur-lex.europa.eu/eli/dir/2024/1760/oj" TargetMode="External"/><Relationship Id="rId14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accessible-eu-centre.ec.europa.eu/accessibility-monitoring-0_en?prefLang=sv" TargetMode="External"/><Relationship Id="rId47" Type="http://schemas.openxmlformats.org/officeDocument/2006/relationships/hyperlink" Target="https://data.consilium.europa.eu/doc/document/ST-10255-2024-INIT/en/pdf" TargetMode="External"/><Relationship Id="rId68" Type="http://schemas.openxmlformats.org/officeDocument/2006/relationships/hyperlink" Target="https://www.edf-feph.org/new-proposals-on-passenger-rights-what-is-in-it-for-us/" TargetMode="External"/><Relationship Id="rId89" Type="http://schemas.openxmlformats.org/officeDocument/2006/relationships/hyperlink" Target="https://www.eeas.europa.eu/sites/default/files/eu_action_plan_on_human_rights_and_democracy_2020-2024.pdf" TargetMode="External"/><Relationship Id="rId112" Type="http://schemas.openxmlformats.org/officeDocument/2006/relationships/hyperlink" Target="https://eur-lex.europa.eu/eli/reg/2024/1689/oj" TargetMode="External"/><Relationship Id="rId133" Type="http://schemas.openxmlformats.org/officeDocument/2006/relationships/hyperlink" Target="mailto:giulia.traversi@edf-feph.org" TargetMode="External"/><Relationship Id="rId16" Type="http://schemas.openxmlformats.org/officeDocument/2006/relationships/hyperlink" Target="https://ec.europa.eu/eusurvey/runner/accessible-eu-community-of-practice" TargetMode="External"/><Relationship Id="rId37" Type="http://schemas.openxmlformats.org/officeDocument/2006/relationships/hyperlink" Target="https://bdf.belgium.be/resource/static/files/news/edf-position-paper-community-based-services-and-independent-living.pdf" TargetMode="External"/><Relationship Id="rId58" Type="http://schemas.openxmlformats.org/officeDocument/2006/relationships/hyperlink" Target="https://ec.europa.eu/commission/presscorner/detail/en/ip_24_1489" TargetMode="External"/><Relationship Id="rId79" Type="http://schemas.openxmlformats.org/officeDocument/2006/relationships/hyperlink" Target="https://drive.google.com/file/d/1zueTvGZ651FQh5sU3R4He4NUVmDy6iVZ/view" TargetMode="External"/><Relationship Id="rId102" Type="http://schemas.openxmlformats.org/officeDocument/2006/relationships/hyperlink" Target="https://www.edf-feph.org/eu-accessibility-act/" TargetMode="External"/><Relationship Id="rId123" Type="http://schemas.openxmlformats.org/officeDocument/2006/relationships/hyperlink" Target="https://www.edf-feph.org/due-diligence-directive-agreement-fails-to-protect-persons-with-disabilities/" TargetMode="External"/><Relationship Id="rId14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5ff6876b7ab586cbfe48bde8cbfb1be9">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56305f06d357d2e6ff310f1ad0ca8bdc"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3486B-BB78-40D5-AA37-807B6F1CF56A}">
  <ds:schemaRefs>
    <ds:schemaRef ds:uri="http://schemas.microsoft.com/sharepoint/v3/contenttype/forms"/>
  </ds:schemaRefs>
</ds:datastoreItem>
</file>

<file path=customXml/itemProps2.xml><?xml version="1.0" encoding="utf-8"?>
<ds:datastoreItem xmlns:ds="http://schemas.openxmlformats.org/officeDocument/2006/customXml" ds:itemID="{00B50407-8B69-493A-BD66-F7AFAA9FEDE6}">
  <ds:schemaRefs>
    <ds:schemaRef ds:uri="http://schemas.microsoft.com/office/2006/metadata/properties"/>
    <ds:schemaRef ds:uri="http://schemas.microsoft.com/office/infopath/2007/PartnerControls"/>
    <ds:schemaRef ds:uri="3da24565-8b77-45e0-9465-ff23cf6f6a01"/>
    <ds:schemaRef ds:uri="252f4827-23ce-43c5-a232-6be14f1d3f55"/>
  </ds:schemaRefs>
</ds:datastoreItem>
</file>

<file path=customXml/itemProps3.xml><?xml version="1.0" encoding="utf-8"?>
<ds:datastoreItem xmlns:ds="http://schemas.openxmlformats.org/officeDocument/2006/customXml" ds:itemID="{87CC722B-4DF1-4834-967B-9A6785C1A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B51CC2-F4B9-4F1F-8179-A007D37D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27</Pages>
  <Words>9110</Words>
  <Characters>51927</Characters>
  <Application>Microsoft Office Word</Application>
  <DocSecurity>0</DocSecurity>
  <Lines>432</Lines>
  <Paragraphs>121</Paragraphs>
  <ScaleCrop>false</ScaleCrop>
  <Company/>
  <LinksUpToDate>false</LinksUpToDate>
  <CharactersWithSpaces>60916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docId:36CD5C96443975EBD53DD421750734C8</cp:keywords>
  <dc:description/>
  <cp:lastModifiedBy>Roberta Lulli</cp:lastModifiedBy>
  <cp:revision>138</cp:revision>
  <dcterms:created xsi:type="dcterms:W3CDTF">2025-05-12T23:55:00Z</dcterms:created>
  <dcterms:modified xsi:type="dcterms:W3CDTF">2025-06-19T07:15:00Z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0x010100BA90EF7695DDD6468D86AFF65ECDCF5F</vt:lpwstr>
  </property>
  <property fmtid="{D5CDD505-2E9C-101B-9397-08002B2CF9AE}" pid="4" name="GrammarlyDocumentId">
    <vt:lpwstr>74ae90cd-e4b2-42d2-a095-54902b70da74</vt:lpwstr>
  </property>
</Properties>
</file>