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64BA3" w14:textId="77777777" w:rsidR="00FF3AC6" w:rsidRDefault="00FF3AC6" w:rsidP="00023AC7">
      <w:pPr>
        <w:spacing w:before="240" w:after="240"/>
        <w:rPr>
          <w:rStyle w:val="BookTitle"/>
          <w:rFonts w:cs="Arial"/>
          <w:sz w:val="24"/>
          <w:szCs w:val="24"/>
          <w:lang w:val="en-US"/>
        </w:rPr>
      </w:pPr>
    </w:p>
    <w:p w14:paraId="46B094F7" w14:textId="39E17F19" w:rsidR="006D6A16" w:rsidRPr="00565481" w:rsidRDefault="00D25D09" w:rsidP="006D6A16">
      <w:pPr>
        <w:spacing w:before="240" w:after="240"/>
        <w:jc w:val="right"/>
        <w:rPr>
          <w:rStyle w:val="BookTitle"/>
          <w:rFonts w:cs="Arial"/>
          <w:sz w:val="24"/>
          <w:szCs w:val="24"/>
          <w:lang w:val="fr-BE"/>
        </w:rPr>
      </w:pPr>
      <w:r w:rsidRPr="00565481">
        <w:rPr>
          <w:rStyle w:val="BookTitle"/>
          <w:rFonts w:cs="Arial"/>
          <w:sz w:val="24"/>
          <w:szCs w:val="24"/>
          <w:lang w:val="fr-BE"/>
        </w:rPr>
        <w:t xml:space="preserve">   </w:t>
      </w:r>
      <w:r w:rsidRPr="00565481">
        <w:rPr>
          <w:rStyle w:val="BookTitle"/>
          <w:rFonts w:cs="Arial"/>
          <w:sz w:val="24"/>
          <w:szCs w:val="24"/>
          <w:lang w:val="fr-BE"/>
        </w:rPr>
        <w:tab/>
      </w:r>
      <w:r w:rsidR="00A5459E" w:rsidRPr="00565481">
        <w:rPr>
          <w:rStyle w:val="BookTitle"/>
          <w:rFonts w:cs="Arial"/>
          <w:sz w:val="24"/>
          <w:szCs w:val="24"/>
          <w:lang w:val="fr-BE"/>
        </w:rPr>
        <w:t>DOC-AGA-25-06-08-C</w:t>
      </w:r>
    </w:p>
    <w:p w14:paraId="7F4F9F05" w14:textId="77777777" w:rsidR="00617C22" w:rsidRPr="00565481" w:rsidRDefault="00617C22" w:rsidP="00617C22">
      <w:pPr>
        <w:pStyle w:val="IntenseQuote"/>
        <w:pBdr>
          <w:top w:val="none" w:sz="0" w:space="0" w:color="auto"/>
          <w:bottom w:val="none" w:sz="0" w:space="0" w:color="auto"/>
        </w:pBdr>
        <w:tabs>
          <w:tab w:val="left" w:pos="7230"/>
          <w:tab w:val="left" w:pos="7371"/>
        </w:tabs>
        <w:ind w:left="0" w:right="0" w:firstLine="1010"/>
        <w:rPr>
          <w:b/>
          <w:bCs/>
          <w:i w:val="0"/>
          <w:iCs w:val="0"/>
          <w:color w:val="0A77B3"/>
          <w:sz w:val="28"/>
          <w:szCs w:val="28"/>
          <w:lang w:val="fr-BE"/>
        </w:rPr>
      </w:pPr>
      <w:r w:rsidRPr="00565481">
        <w:rPr>
          <w:b/>
          <w:bCs/>
          <w:i w:val="0"/>
          <w:iCs w:val="0"/>
          <w:color w:val="0A77B3"/>
          <w:sz w:val="28"/>
          <w:szCs w:val="28"/>
          <w:lang w:val="fr-BE"/>
        </w:rPr>
        <w:t xml:space="preserve">             </w:t>
      </w:r>
    </w:p>
    <w:p w14:paraId="2C94741C" w14:textId="1CDEE0C0" w:rsidR="006D6A16" w:rsidRPr="0071692E" w:rsidRDefault="00FA7239" w:rsidP="351661E3">
      <w:pPr>
        <w:pStyle w:val="Title"/>
        <w:rPr>
          <w:lang w:val="fr-FR"/>
        </w:rPr>
      </w:pPr>
      <w:r w:rsidRPr="351661E3">
        <w:rPr>
          <w:lang w:val="fr-FR"/>
        </w:rPr>
        <w:t>Audit interne 2024</w:t>
      </w:r>
    </w:p>
    <w:p w14:paraId="56372239" w14:textId="1C8543F0" w:rsidR="00E0253A" w:rsidRPr="00753873" w:rsidRDefault="0002460E" w:rsidP="008015D0">
      <w:pPr>
        <w:pStyle w:val="IntenseQuote"/>
        <w:pBdr>
          <w:bottom w:val="single" w:sz="4" w:space="0" w:color="auto"/>
        </w:pBdr>
        <w:tabs>
          <w:tab w:val="left" w:pos="7230"/>
          <w:tab w:val="left" w:pos="7371"/>
        </w:tabs>
        <w:ind w:left="0" w:right="0"/>
        <w:jc w:val="center"/>
        <w:rPr>
          <w:rFonts w:cs="Arial"/>
          <w:b/>
          <w:bCs/>
          <w:i w:val="0"/>
          <w:sz w:val="24"/>
          <w:szCs w:val="24"/>
          <w:lang w:val="fr-BE"/>
        </w:rPr>
      </w:pPr>
      <w:r w:rsidRPr="00753873">
        <w:rPr>
          <w:rStyle w:val="Strong"/>
          <w:rFonts w:cs="Arial"/>
          <w:i w:val="0"/>
          <w:sz w:val="24"/>
          <w:szCs w:val="24"/>
          <w:lang w:val="fr-BE"/>
        </w:rPr>
        <w:t>Document d'information</w:t>
      </w:r>
    </w:p>
    <w:p w14:paraId="65B3F1A7" w14:textId="1E850A48" w:rsidR="009150D3" w:rsidRPr="00753873" w:rsidRDefault="00023AC7" w:rsidP="009150D3">
      <w:pPr>
        <w:pStyle w:val="Heading1"/>
        <w:rPr>
          <w:lang w:val="fr-BE"/>
        </w:rPr>
      </w:pPr>
      <w:r w:rsidRPr="00753873">
        <w:rPr>
          <w:lang w:val="fr-BE"/>
        </w:rPr>
        <w:t>Objectif de ce point</w:t>
      </w:r>
      <w:r w:rsidR="009150D3" w:rsidRPr="00753873">
        <w:rPr>
          <w:lang w:val="fr-BE"/>
        </w:rPr>
        <w:br/>
      </w:r>
    </w:p>
    <w:p w14:paraId="22342A19" w14:textId="59EF11C5" w:rsidR="009150D3" w:rsidRPr="00753873" w:rsidRDefault="00B7628F" w:rsidP="009150D3">
      <w:pPr>
        <w:rPr>
          <w:b/>
          <w:bCs/>
          <w:color w:val="0A77B3"/>
          <w:sz w:val="28"/>
          <w:szCs w:val="28"/>
          <w:lang w:val="fr-BE"/>
        </w:rPr>
      </w:pPr>
      <w:r w:rsidRPr="00753873">
        <w:rPr>
          <w:lang w:val="fr-BE"/>
        </w:rPr>
        <w:t xml:space="preserve">Conformément aux statuts du </w:t>
      </w:r>
      <w:r w:rsidR="00753873">
        <w:rPr>
          <w:lang w:val="fr-BE"/>
        </w:rPr>
        <w:t>FEPH</w:t>
      </w:r>
      <w:r w:rsidRPr="00753873">
        <w:rPr>
          <w:lang w:val="fr-BE"/>
        </w:rPr>
        <w:t>, deux auditeurs internes et un président d'audit ont été nommés pour examiner les contrôles financiers sur les principaux domaines de dépenses pour l'exercice 2024. David Adams et Raymond Ceccotto ont été nommés par l'AGA 2024 pour conduire l'audit interne</w:t>
      </w:r>
      <w:r w:rsidR="0071692E" w:rsidRPr="00753873">
        <w:rPr>
          <w:lang w:val="fr-BE"/>
        </w:rPr>
        <w:t xml:space="preserve">. </w:t>
      </w:r>
      <w:r w:rsidRPr="00753873">
        <w:rPr>
          <w:lang w:val="fr-BE"/>
        </w:rPr>
        <w:t xml:space="preserve">John Patrick Clarke, vice-président du </w:t>
      </w:r>
      <w:r w:rsidR="00753873">
        <w:rPr>
          <w:lang w:val="fr-BE"/>
        </w:rPr>
        <w:t>FEPH</w:t>
      </w:r>
      <w:r w:rsidRPr="00753873">
        <w:rPr>
          <w:lang w:val="fr-BE"/>
        </w:rPr>
        <w:t xml:space="preserve">, </w:t>
      </w:r>
      <w:r w:rsidR="0071692E" w:rsidRPr="00753873">
        <w:rPr>
          <w:lang w:val="fr-BE"/>
        </w:rPr>
        <w:t xml:space="preserve">a assuré la </w:t>
      </w:r>
      <w:r w:rsidRPr="00753873">
        <w:rPr>
          <w:lang w:val="fr-BE"/>
        </w:rPr>
        <w:t xml:space="preserve">présidence de l'audit </w:t>
      </w:r>
      <w:r w:rsidR="00FA3FED" w:rsidRPr="00753873">
        <w:rPr>
          <w:lang w:val="fr-BE"/>
        </w:rPr>
        <w:t>et Marion Steff, responsable de la coopération internationale, a apporté son soutien administratif</w:t>
      </w:r>
      <w:r w:rsidR="00B6554E" w:rsidRPr="00753873">
        <w:rPr>
          <w:lang w:val="fr-BE"/>
        </w:rPr>
        <w:t xml:space="preserve">. </w:t>
      </w:r>
      <w:r w:rsidR="00F175FC" w:rsidRPr="00753873">
        <w:rPr>
          <w:lang w:val="fr-BE"/>
        </w:rPr>
        <w:t xml:space="preserve">Les auditeurs internes ont achevé leur programme de contrôles comme indiqué ci-dessous. </w:t>
      </w:r>
    </w:p>
    <w:p w14:paraId="12F2BB29" w14:textId="130AD904" w:rsidR="00FA7239" w:rsidRPr="00753873" w:rsidRDefault="00B7628F" w:rsidP="009150D3">
      <w:pPr>
        <w:rPr>
          <w:b/>
          <w:bCs/>
          <w:color w:val="0A77B3"/>
          <w:sz w:val="28"/>
          <w:szCs w:val="28"/>
          <w:lang w:val="fr-BE"/>
        </w:rPr>
      </w:pPr>
      <w:r w:rsidRPr="00753873">
        <w:rPr>
          <w:lang w:val="fr-BE"/>
        </w:rPr>
        <w:t>Ce document présente les conclusions de l'audit interne d'EDF 2024.</w:t>
      </w:r>
    </w:p>
    <w:p w14:paraId="7A62DE59" w14:textId="4F0F245C" w:rsidR="00023AC7" w:rsidRDefault="00023AC7" w:rsidP="0002460E">
      <w:pPr>
        <w:pStyle w:val="Heading1"/>
        <w:spacing w:before="0" w:after="240" w:line="360" w:lineRule="auto"/>
        <w:rPr>
          <w:lang w:val="en-US"/>
        </w:rPr>
      </w:pPr>
      <w:r>
        <w:rPr>
          <w:lang w:val="en-US"/>
        </w:rPr>
        <w:t xml:space="preserve">Questions aux </w:t>
      </w:r>
      <w:proofErr w:type="spellStart"/>
      <w:r>
        <w:rPr>
          <w:lang w:val="en-US"/>
        </w:rPr>
        <w:t>délégués</w:t>
      </w:r>
      <w:proofErr w:type="spellEnd"/>
      <w:r>
        <w:rPr>
          <w:lang w:val="en-US"/>
        </w:rPr>
        <w:t xml:space="preserve"> </w:t>
      </w:r>
    </w:p>
    <w:p w14:paraId="4B8E1F49" w14:textId="3EA135A7" w:rsidR="00FA7239" w:rsidRPr="00753873" w:rsidRDefault="00FA7239" w:rsidP="00B7628F">
      <w:pPr>
        <w:numPr>
          <w:ilvl w:val="0"/>
          <w:numId w:val="2"/>
        </w:numPr>
        <w:rPr>
          <w:lang w:val="fr-BE"/>
        </w:rPr>
      </w:pPr>
      <w:r w:rsidRPr="00753873">
        <w:rPr>
          <w:lang w:val="fr-BE"/>
        </w:rPr>
        <w:t>Avez-vous des questions à poser au comité d'audit ?</w:t>
      </w:r>
    </w:p>
    <w:p w14:paraId="3DF8EA41" w14:textId="77777777" w:rsidR="00023AC7" w:rsidRPr="00753873" w:rsidRDefault="00023AC7" w:rsidP="0002460E">
      <w:pPr>
        <w:pStyle w:val="Heading1"/>
        <w:spacing w:before="0" w:after="240" w:line="360" w:lineRule="auto"/>
        <w:rPr>
          <w:lang w:val="fr-BE"/>
        </w:rPr>
      </w:pPr>
      <w:r w:rsidRPr="00753873">
        <w:rPr>
          <w:lang w:val="fr-BE"/>
        </w:rPr>
        <w:t xml:space="preserve">Introduction </w:t>
      </w:r>
    </w:p>
    <w:p w14:paraId="3014AEB4" w14:textId="2215893A" w:rsidR="00B7628F" w:rsidRPr="00753873" w:rsidRDefault="00B7628F" w:rsidP="00B7628F">
      <w:pPr>
        <w:rPr>
          <w:lang w:val="fr-BE"/>
        </w:rPr>
      </w:pPr>
      <w:r w:rsidRPr="00753873">
        <w:rPr>
          <w:lang w:val="fr-BE"/>
        </w:rPr>
        <w:t>L'objectif de l'audit interne était d'évaluer la gestion financière, les mécanismes de contrôle et les procédures de conformité, en particulier dans les sept domaines suivants :</w:t>
      </w:r>
    </w:p>
    <w:p w14:paraId="32B931AD" w14:textId="77777777" w:rsidR="009150D3" w:rsidRDefault="00B7628F" w:rsidP="009150D3">
      <w:pPr>
        <w:pStyle w:val="NoSpacing"/>
        <w:numPr>
          <w:ilvl w:val="0"/>
          <w:numId w:val="2"/>
        </w:numPr>
      </w:pPr>
      <w:r w:rsidRPr="00B7628F">
        <w:t>Voyage</w:t>
      </w:r>
    </w:p>
    <w:p w14:paraId="34EE9802" w14:textId="4592FB22" w:rsidR="00B7628F" w:rsidRPr="00B7628F" w:rsidRDefault="00B7628F" w:rsidP="009150D3">
      <w:pPr>
        <w:pStyle w:val="NoSpacing"/>
        <w:numPr>
          <w:ilvl w:val="0"/>
          <w:numId w:val="2"/>
        </w:numPr>
      </w:pPr>
      <w:r w:rsidRPr="009150D3">
        <w:t xml:space="preserve">Location </w:t>
      </w:r>
      <w:proofErr w:type="spellStart"/>
      <w:r w:rsidRPr="009150D3">
        <w:t>d'espaces</w:t>
      </w:r>
      <w:proofErr w:type="spellEnd"/>
      <w:r w:rsidRPr="009150D3">
        <w:t xml:space="preserve"> pour des </w:t>
      </w:r>
      <w:proofErr w:type="spellStart"/>
      <w:r w:rsidRPr="009150D3">
        <w:t>événements</w:t>
      </w:r>
      <w:proofErr w:type="spellEnd"/>
    </w:p>
    <w:p w14:paraId="404A56A0" w14:textId="3CE61C28" w:rsidR="00B7628F" w:rsidRPr="00B7628F" w:rsidRDefault="00B7628F" w:rsidP="009150D3">
      <w:pPr>
        <w:pStyle w:val="NoSpacing"/>
        <w:numPr>
          <w:ilvl w:val="0"/>
          <w:numId w:val="2"/>
        </w:numPr>
      </w:pPr>
      <w:proofErr w:type="spellStart"/>
      <w:r w:rsidRPr="00B7628F">
        <w:t>Fournisseurs</w:t>
      </w:r>
      <w:proofErr w:type="spellEnd"/>
      <w:r w:rsidRPr="00B7628F">
        <w:t xml:space="preserve"> de services </w:t>
      </w:r>
      <w:proofErr w:type="spellStart"/>
      <w:r w:rsidRPr="00B7628F">
        <w:t>informatiques</w:t>
      </w:r>
      <w:proofErr w:type="spellEnd"/>
    </w:p>
    <w:p w14:paraId="0E88C147" w14:textId="61C151DE" w:rsidR="00B7628F" w:rsidRPr="00753873" w:rsidRDefault="00B7628F" w:rsidP="009150D3">
      <w:pPr>
        <w:pStyle w:val="NoSpacing"/>
        <w:numPr>
          <w:ilvl w:val="0"/>
          <w:numId w:val="2"/>
        </w:numPr>
        <w:rPr>
          <w:lang w:val="fr-BE"/>
        </w:rPr>
      </w:pPr>
      <w:r w:rsidRPr="00753873">
        <w:rPr>
          <w:lang w:val="fr-BE"/>
        </w:rPr>
        <w:t>Services d'interprétation et de sous-titrage</w:t>
      </w:r>
    </w:p>
    <w:p w14:paraId="7211014F" w14:textId="2BF4F99F" w:rsidR="00B7628F" w:rsidRPr="00B7628F" w:rsidRDefault="00B7628F" w:rsidP="009150D3">
      <w:pPr>
        <w:pStyle w:val="NoSpacing"/>
        <w:numPr>
          <w:ilvl w:val="0"/>
          <w:numId w:val="2"/>
        </w:numPr>
      </w:pPr>
      <w:proofErr w:type="spellStart"/>
      <w:r w:rsidRPr="00B7628F">
        <w:t>Édition</w:t>
      </w:r>
      <w:proofErr w:type="spellEnd"/>
      <w:r w:rsidRPr="00B7628F">
        <w:t>/impression</w:t>
      </w:r>
    </w:p>
    <w:p w14:paraId="116C2704" w14:textId="4D19575E" w:rsidR="00B7628F" w:rsidRPr="00B7628F" w:rsidRDefault="00B7628F" w:rsidP="009150D3">
      <w:pPr>
        <w:pStyle w:val="NoSpacing"/>
        <w:numPr>
          <w:ilvl w:val="0"/>
          <w:numId w:val="2"/>
        </w:numPr>
      </w:pPr>
      <w:proofErr w:type="spellStart"/>
      <w:r w:rsidRPr="00B7628F">
        <w:t>Sécurité</w:t>
      </w:r>
      <w:proofErr w:type="spellEnd"/>
      <w:r w:rsidRPr="00B7628F">
        <w:t xml:space="preserve"> du </w:t>
      </w:r>
      <w:proofErr w:type="spellStart"/>
      <w:r w:rsidRPr="00B7628F">
        <w:t>système</w:t>
      </w:r>
      <w:proofErr w:type="spellEnd"/>
      <w:r w:rsidRPr="00B7628F">
        <w:t xml:space="preserve"> de </w:t>
      </w:r>
      <w:proofErr w:type="spellStart"/>
      <w:r w:rsidRPr="00B7628F">
        <w:t>paie</w:t>
      </w:r>
      <w:proofErr w:type="spellEnd"/>
    </w:p>
    <w:p w14:paraId="58234896" w14:textId="2612624E" w:rsidR="009150D3" w:rsidRPr="00753873" w:rsidRDefault="00B7628F" w:rsidP="009150D3">
      <w:pPr>
        <w:pStyle w:val="NoSpacing"/>
        <w:numPr>
          <w:ilvl w:val="0"/>
          <w:numId w:val="2"/>
        </w:numPr>
        <w:rPr>
          <w:lang w:val="fr-BE"/>
        </w:rPr>
      </w:pPr>
      <w:r w:rsidRPr="00753873">
        <w:rPr>
          <w:lang w:val="fr-BE"/>
        </w:rPr>
        <w:t xml:space="preserve">Contrôle des dépenses des cadres supérieurs </w:t>
      </w:r>
      <w:r w:rsidR="17ADC09C" w:rsidRPr="00753873">
        <w:rPr>
          <w:lang w:val="fr-BE"/>
        </w:rPr>
        <w:t>et du comité exécutif</w:t>
      </w:r>
    </w:p>
    <w:p w14:paraId="41B43E7E" w14:textId="77777777" w:rsidR="009150D3" w:rsidRPr="00753873" w:rsidRDefault="009150D3" w:rsidP="009150D3">
      <w:pPr>
        <w:pStyle w:val="NoSpacing"/>
        <w:ind w:left="720"/>
        <w:rPr>
          <w:lang w:val="fr-BE"/>
        </w:rPr>
      </w:pPr>
    </w:p>
    <w:p w14:paraId="27BB3DAA" w14:textId="09AA6658" w:rsidR="00B7628F" w:rsidRPr="00753873" w:rsidRDefault="00B7628F" w:rsidP="009150D3">
      <w:pPr>
        <w:rPr>
          <w:lang w:val="fr-BE"/>
        </w:rPr>
      </w:pPr>
      <w:hyperlink w:anchor="_Annex_1:_Terms" w:history="1">
        <w:r w:rsidRPr="00753873">
          <w:rPr>
            <w:rStyle w:val="Hyperlink"/>
            <w:lang w:val="fr-BE"/>
          </w:rPr>
          <w:t xml:space="preserve">Le mandat figurant à l'annexe 1 </w:t>
        </w:r>
      </w:hyperlink>
      <w:r w:rsidR="00361A82" w:rsidRPr="00753873">
        <w:rPr>
          <w:lang w:val="fr-BE"/>
        </w:rPr>
        <w:t xml:space="preserve">contient de </w:t>
      </w:r>
      <w:r w:rsidRPr="00753873">
        <w:rPr>
          <w:lang w:val="fr-BE"/>
        </w:rPr>
        <w:t xml:space="preserve">plus amples informations sur les sept domaines </w:t>
      </w:r>
      <w:r w:rsidR="009150D3" w:rsidRPr="00753873">
        <w:rPr>
          <w:lang w:val="fr-BE"/>
        </w:rPr>
        <w:t>audités</w:t>
      </w:r>
      <w:r w:rsidRPr="00753873">
        <w:rPr>
          <w:lang w:val="fr-BE"/>
        </w:rPr>
        <w:t xml:space="preserve">, l'étendue des travaux, l'équipe d'audit et la méthodologie. </w:t>
      </w:r>
      <w:hyperlink w:anchor="_Annex_2:_Checklist" w:history="1">
        <w:r w:rsidR="009150D3" w:rsidRPr="00753873">
          <w:rPr>
            <w:rStyle w:val="Hyperlink"/>
            <w:lang w:val="fr-BE"/>
          </w:rPr>
          <w:t xml:space="preserve">L'annexe 2 </w:t>
        </w:r>
        <w:r w:rsidR="00361A82" w:rsidRPr="00753873">
          <w:rPr>
            <w:rStyle w:val="Hyperlink"/>
            <w:lang w:val="fr-BE"/>
          </w:rPr>
          <w:t xml:space="preserve">comprend </w:t>
        </w:r>
        <w:r w:rsidR="009150D3" w:rsidRPr="00753873">
          <w:rPr>
            <w:rStyle w:val="Hyperlink"/>
            <w:lang w:val="fr-BE"/>
          </w:rPr>
          <w:t>une liste de contrôle pour guider les auditeurs</w:t>
        </w:r>
      </w:hyperlink>
      <w:r w:rsidR="009150D3" w:rsidRPr="00753873">
        <w:rPr>
          <w:lang w:val="fr-BE"/>
        </w:rPr>
        <w:t xml:space="preserve">. </w:t>
      </w:r>
    </w:p>
    <w:p w14:paraId="56BA62A4" w14:textId="771B1561" w:rsidR="00382AE7" w:rsidRPr="00753873" w:rsidRDefault="00651E86" w:rsidP="00382AE7">
      <w:pPr>
        <w:pStyle w:val="Heading2"/>
        <w:rPr>
          <w:lang w:val="fr-BE"/>
        </w:rPr>
      </w:pPr>
      <w:r w:rsidRPr="00753873">
        <w:rPr>
          <w:lang w:val="fr-BE"/>
        </w:rPr>
        <w:br w:type="page"/>
      </w:r>
    </w:p>
    <w:p w14:paraId="4C3965A9" w14:textId="0F9EB60A" w:rsidR="008015D0" w:rsidRPr="00753873" w:rsidRDefault="00B7628F" w:rsidP="00382AE7">
      <w:pPr>
        <w:pStyle w:val="Heading2"/>
        <w:rPr>
          <w:lang w:val="fr-BE"/>
        </w:rPr>
      </w:pPr>
      <w:r w:rsidRPr="00753873">
        <w:rPr>
          <w:lang w:val="fr-BE"/>
        </w:rPr>
        <w:lastRenderedPageBreak/>
        <w:t xml:space="preserve">Rapport </w:t>
      </w:r>
    </w:p>
    <w:p w14:paraId="36C9135A" w14:textId="77777777" w:rsidR="00651E86" w:rsidRPr="00753873" w:rsidRDefault="00651E86" w:rsidP="00651E86">
      <w:pPr>
        <w:rPr>
          <w:lang w:val="fr-BE"/>
        </w:rPr>
      </w:pPr>
    </w:p>
    <w:p w14:paraId="1B02D651" w14:textId="651020D9" w:rsidR="00651E86" w:rsidRPr="00753873" w:rsidRDefault="00651E86" w:rsidP="00651E86">
      <w:pPr>
        <w:rPr>
          <w:b/>
          <w:bCs/>
          <w:lang w:val="fr-BE"/>
        </w:rPr>
      </w:pPr>
      <w:r w:rsidRPr="00753873">
        <w:rPr>
          <w:b/>
          <w:bCs/>
          <w:lang w:val="fr-BE"/>
        </w:rPr>
        <w:t>Introduction</w:t>
      </w:r>
    </w:p>
    <w:p w14:paraId="34E8F342" w14:textId="0EACD5A1" w:rsidR="009E1CC5" w:rsidRPr="00753873" w:rsidRDefault="009E1CC5" w:rsidP="009E1CC5">
      <w:pPr>
        <w:rPr>
          <w:lang w:val="fr-BE"/>
        </w:rPr>
      </w:pPr>
      <w:r w:rsidRPr="00753873">
        <w:rPr>
          <w:lang w:val="fr-BE"/>
        </w:rPr>
        <w:t xml:space="preserve">Les auditeurs internes, David Adams et </w:t>
      </w:r>
      <w:proofErr w:type="spellStart"/>
      <w:r w:rsidRPr="00753873">
        <w:rPr>
          <w:lang w:val="fr-BE"/>
        </w:rPr>
        <w:t>Raymon</w:t>
      </w:r>
      <w:proofErr w:type="spellEnd"/>
      <w:r w:rsidRPr="00753873">
        <w:rPr>
          <w:lang w:val="fr-BE"/>
        </w:rPr>
        <w:t xml:space="preserve"> Ceccotto, ont rencontré le trésorier et le </w:t>
      </w:r>
      <w:r w:rsidR="00764AD4" w:rsidRPr="00753873">
        <w:rPr>
          <w:lang w:val="fr-BE"/>
        </w:rPr>
        <w:t xml:space="preserve">directeur </w:t>
      </w:r>
      <w:r w:rsidRPr="00753873">
        <w:rPr>
          <w:lang w:val="fr-BE"/>
        </w:rPr>
        <w:t xml:space="preserve">financier </w:t>
      </w:r>
      <w:r w:rsidR="00AB279C" w:rsidRPr="00753873">
        <w:rPr>
          <w:lang w:val="fr-BE"/>
        </w:rPr>
        <w:t xml:space="preserve">Muriel Da Via </w:t>
      </w:r>
      <w:r w:rsidRPr="00753873">
        <w:rPr>
          <w:lang w:val="fr-BE"/>
        </w:rPr>
        <w:t xml:space="preserve">en mars pour discuter de la manière dont ils pourraient être plus directement impliqués dans la réalisation de la tâche d'audit dans le cadre du renforcement des contrôles financiers du </w:t>
      </w:r>
      <w:r w:rsidR="00753873">
        <w:rPr>
          <w:lang w:val="fr-BE"/>
        </w:rPr>
        <w:t>FEPH</w:t>
      </w:r>
      <w:r w:rsidRPr="00753873">
        <w:rPr>
          <w:lang w:val="fr-BE"/>
        </w:rPr>
        <w:t xml:space="preserve">. Les principes d'identification des principaux domaines de dépenses et d'application des procédures ont été convenus. Le </w:t>
      </w:r>
      <w:r w:rsidR="00764AD4" w:rsidRPr="00753873">
        <w:rPr>
          <w:lang w:val="fr-BE"/>
        </w:rPr>
        <w:t xml:space="preserve">directeur financier </w:t>
      </w:r>
      <w:r w:rsidRPr="00753873">
        <w:rPr>
          <w:lang w:val="fr-BE"/>
        </w:rPr>
        <w:t>rédigera une proposition et facilitera l'accès aux dossiers et au personnel pour que le travail puisse commencer lorsque l'auditeur externe aura terminé son travail.</w:t>
      </w:r>
    </w:p>
    <w:p w14:paraId="58D2953B" w14:textId="096CE0E9" w:rsidR="009E1CC5" w:rsidRPr="00753873" w:rsidRDefault="009E1CC5" w:rsidP="00473A9A">
      <w:pPr>
        <w:rPr>
          <w:lang w:val="fr-BE"/>
        </w:rPr>
      </w:pPr>
      <w:r w:rsidRPr="00753873">
        <w:rPr>
          <w:lang w:val="fr-BE"/>
        </w:rPr>
        <w:t>Avant que les auditeurs internes ne commencent leur travail</w:t>
      </w:r>
      <w:r w:rsidR="00AB279C" w:rsidRPr="00753873">
        <w:rPr>
          <w:lang w:val="fr-BE"/>
        </w:rPr>
        <w:t xml:space="preserve">, </w:t>
      </w:r>
      <w:r w:rsidRPr="00753873">
        <w:rPr>
          <w:lang w:val="fr-BE"/>
        </w:rPr>
        <w:t xml:space="preserve">ils ont été informés par le directeur </w:t>
      </w:r>
      <w:proofErr w:type="gramStart"/>
      <w:r w:rsidRPr="00753873">
        <w:rPr>
          <w:lang w:val="fr-BE"/>
        </w:rPr>
        <w:t>exécutif</w:t>
      </w:r>
      <w:proofErr w:type="gramEnd"/>
      <w:r w:rsidRPr="00753873">
        <w:rPr>
          <w:lang w:val="fr-BE"/>
        </w:rPr>
        <w:t xml:space="preserve"> de la démission de Muriel Da Via et de la réaffectation des tâches au sein de l'équipe de direction, Marion Steff ayant pris la responsabilité de soutenir le travail des auditeurs internes. Sous la direction du trésorier, des termes de référence ont été rédigés et le vice-président, </w:t>
      </w:r>
      <w:r w:rsidR="009B2C93" w:rsidRPr="00753873">
        <w:rPr>
          <w:lang w:val="fr-BE"/>
        </w:rPr>
        <w:t xml:space="preserve">John Patrick </w:t>
      </w:r>
      <w:r w:rsidRPr="00753873">
        <w:rPr>
          <w:lang w:val="fr-BE"/>
        </w:rPr>
        <w:t>Clarke, a été chargé de coordonner le processus et de présider les débats.</w:t>
      </w:r>
    </w:p>
    <w:p w14:paraId="62CA2564" w14:textId="1FEF5709" w:rsidR="00DE3E21" w:rsidRPr="00753873" w:rsidRDefault="00473A9A" w:rsidP="00DE3E21">
      <w:pPr>
        <w:rPr>
          <w:lang w:val="fr-BE"/>
        </w:rPr>
      </w:pPr>
      <w:r w:rsidRPr="00753873">
        <w:rPr>
          <w:lang w:val="fr-BE"/>
        </w:rPr>
        <w:t xml:space="preserve">Une réunion vidéo a été organisée </w:t>
      </w:r>
      <w:r w:rsidR="00DE3E21" w:rsidRPr="00753873">
        <w:rPr>
          <w:lang w:val="fr-BE"/>
        </w:rPr>
        <w:t xml:space="preserve">le </w:t>
      </w:r>
      <w:r w:rsidRPr="00753873">
        <w:rPr>
          <w:lang w:val="fr-BE"/>
        </w:rPr>
        <w:t xml:space="preserve">20 mai </w:t>
      </w:r>
      <w:r w:rsidR="00DE3E21" w:rsidRPr="00753873">
        <w:rPr>
          <w:lang w:val="fr-BE"/>
        </w:rPr>
        <w:t xml:space="preserve">2025 </w:t>
      </w:r>
      <w:r w:rsidRPr="00753873">
        <w:rPr>
          <w:lang w:val="fr-BE"/>
        </w:rPr>
        <w:t xml:space="preserve">pour informer les auditeurs internes de la situation actuelle des comptes </w:t>
      </w:r>
      <w:r w:rsidR="00651E86" w:rsidRPr="00753873">
        <w:rPr>
          <w:lang w:val="fr-BE"/>
        </w:rPr>
        <w:t xml:space="preserve">du FEPH </w:t>
      </w:r>
      <w:r w:rsidR="009B2C93" w:rsidRPr="00753873">
        <w:rPr>
          <w:lang w:val="fr-BE"/>
        </w:rPr>
        <w:t>et des mesures prises à ce jour</w:t>
      </w:r>
      <w:r w:rsidR="00DE3E21" w:rsidRPr="00753873">
        <w:rPr>
          <w:lang w:val="fr-BE"/>
        </w:rPr>
        <w:t xml:space="preserve">. Étaient présents à cette réunion John Patrick Clarke (vice-président du FEPH et président du comité d'audit), Maureen Piggot (trésorière du FEPH), les auditeurs, Catherine Naughton et Marion Steff. Au cours de cette réunion, les auditeurs ont été informés qu'une ancienne dette datant de 2 à 3 ans, mais confirmée au début de l'année 2024, avait eu un impact significatif sur le résultat financier de l'exercice 2024. Cette dette concernait des subventions de projets non perçues et des pénalités pour retard de paiement des charges sociales, qui sont obligatoires en vertu de la législation belge. Grâce aux </w:t>
      </w:r>
      <w:r w:rsidRPr="00753873">
        <w:rPr>
          <w:lang w:val="fr-BE"/>
        </w:rPr>
        <w:t xml:space="preserve">économies réalisées dans d'autres </w:t>
      </w:r>
      <w:r w:rsidR="00DE3E21" w:rsidRPr="00753873">
        <w:rPr>
          <w:lang w:val="fr-BE"/>
        </w:rPr>
        <w:t>domaines et à l'</w:t>
      </w:r>
      <w:r w:rsidRPr="00753873">
        <w:rPr>
          <w:lang w:val="fr-BE"/>
        </w:rPr>
        <w:t xml:space="preserve">intervention </w:t>
      </w:r>
      <w:r w:rsidR="00DE3E21" w:rsidRPr="00753873">
        <w:rPr>
          <w:lang w:val="fr-BE"/>
        </w:rPr>
        <w:t xml:space="preserve">rapide </w:t>
      </w:r>
      <w:r w:rsidRPr="00753873">
        <w:rPr>
          <w:lang w:val="fr-BE"/>
        </w:rPr>
        <w:t>de l'</w:t>
      </w:r>
      <w:r w:rsidR="00651E86" w:rsidRPr="00753873">
        <w:rPr>
          <w:lang w:val="fr-BE"/>
        </w:rPr>
        <w:t xml:space="preserve">équipe de </w:t>
      </w:r>
      <w:r w:rsidRPr="00753873">
        <w:rPr>
          <w:lang w:val="fr-BE"/>
        </w:rPr>
        <w:t>direction d'</w:t>
      </w:r>
      <w:r w:rsidR="00DE3E21" w:rsidRPr="00753873">
        <w:rPr>
          <w:lang w:val="fr-BE"/>
        </w:rPr>
        <w:t xml:space="preserve">EDF, </w:t>
      </w:r>
      <w:r w:rsidRPr="00753873">
        <w:rPr>
          <w:lang w:val="fr-BE"/>
        </w:rPr>
        <w:t xml:space="preserve">la </w:t>
      </w:r>
      <w:r w:rsidR="0096586F" w:rsidRPr="00753873">
        <w:rPr>
          <w:lang w:val="fr-BE"/>
        </w:rPr>
        <w:t xml:space="preserve">perte </w:t>
      </w:r>
      <w:r w:rsidRPr="00753873">
        <w:rPr>
          <w:lang w:val="fr-BE"/>
        </w:rPr>
        <w:t xml:space="preserve">pour 2024 </w:t>
      </w:r>
      <w:r w:rsidR="00DE3E21" w:rsidRPr="00753873">
        <w:rPr>
          <w:lang w:val="fr-BE"/>
        </w:rPr>
        <w:t xml:space="preserve">a été </w:t>
      </w:r>
      <w:r w:rsidRPr="00753873">
        <w:rPr>
          <w:lang w:val="fr-BE"/>
        </w:rPr>
        <w:t xml:space="preserve">limitée à 187 000 euros. </w:t>
      </w:r>
      <w:r w:rsidR="00DE3E21" w:rsidRPr="00753873">
        <w:rPr>
          <w:lang w:val="fr-BE"/>
        </w:rPr>
        <w:t xml:space="preserve">Le trésorier, le directeur </w:t>
      </w:r>
      <w:proofErr w:type="gramStart"/>
      <w:r w:rsidR="00DE3E21" w:rsidRPr="00753873">
        <w:rPr>
          <w:lang w:val="fr-BE"/>
        </w:rPr>
        <w:t>exécutif</w:t>
      </w:r>
      <w:proofErr w:type="gramEnd"/>
      <w:r w:rsidR="00DE3E21" w:rsidRPr="00753873">
        <w:rPr>
          <w:lang w:val="fr-BE"/>
        </w:rPr>
        <w:t xml:space="preserve"> et l'équipe de direction ont </w:t>
      </w:r>
      <w:r w:rsidR="008C2716" w:rsidRPr="00753873">
        <w:rPr>
          <w:lang w:val="fr-BE"/>
        </w:rPr>
        <w:t xml:space="preserve">depuis </w:t>
      </w:r>
      <w:r w:rsidR="00DE3E21" w:rsidRPr="00753873">
        <w:rPr>
          <w:lang w:val="fr-BE"/>
        </w:rPr>
        <w:t xml:space="preserve">revu et amélioré le processus de </w:t>
      </w:r>
      <w:proofErr w:type="spellStart"/>
      <w:r w:rsidR="00DE3E21" w:rsidRPr="00753873">
        <w:rPr>
          <w:lang w:val="fr-BE"/>
        </w:rPr>
        <w:t>reporting</w:t>
      </w:r>
      <w:proofErr w:type="spellEnd"/>
      <w:r w:rsidR="00DE3E21" w:rsidRPr="00753873">
        <w:rPr>
          <w:lang w:val="fr-BE"/>
        </w:rPr>
        <w:t xml:space="preserve"> interne afin d</w:t>
      </w:r>
      <w:r w:rsidR="008C2716" w:rsidRPr="00753873">
        <w:rPr>
          <w:lang w:val="fr-BE"/>
        </w:rPr>
        <w:t>'</w:t>
      </w:r>
      <w:r w:rsidR="00DE3E21" w:rsidRPr="00753873">
        <w:rPr>
          <w:lang w:val="fr-BE"/>
        </w:rPr>
        <w:t xml:space="preserve">éviter qu'une telle situation ne se reproduise. </w:t>
      </w:r>
    </w:p>
    <w:p w14:paraId="2B36B515" w14:textId="6ECDE2F8" w:rsidR="00473A9A" w:rsidRPr="00753873" w:rsidRDefault="00DE3E21" w:rsidP="00473A9A">
      <w:pPr>
        <w:rPr>
          <w:lang w:val="fr-BE"/>
        </w:rPr>
      </w:pPr>
      <w:r w:rsidRPr="00753873">
        <w:rPr>
          <w:lang w:val="fr-BE"/>
        </w:rPr>
        <w:t xml:space="preserve">Les auditeurs </w:t>
      </w:r>
      <w:r w:rsidR="008C2716" w:rsidRPr="00753873">
        <w:rPr>
          <w:lang w:val="fr-BE"/>
        </w:rPr>
        <w:t xml:space="preserve">ont également profité de cette occasion pour réfléchir </w:t>
      </w:r>
      <w:r w:rsidRPr="00753873">
        <w:rPr>
          <w:lang w:val="fr-BE"/>
        </w:rPr>
        <w:t xml:space="preserve">à la manière dont les rôles et les procédures de l'audit interne pourraient être clarifiés et améliorés pour les audits futurs. </w:t>
      </w:r>
      <w:r w:rsidR="00473A9A" w:rsidRPr="00753873">
        <w:rPr>
          <w:lang w:val="fr-BE"/>
        </w:rPr>
        <w:t xml:space="preserve">Ils ont rencontré le personnel </w:t>
      </w:r>
      <w:r w:rsidR="008C2716" w:rsidRPr="00753873">
        <w:rPr>
          <w:lang w:val="fr-BE"/>
        </w:rPr>
        <w:t xml:space="preserve">responsable des </w:t>
      </w:r>
      <w:r w:rsidR="00473A9A" w:rsidRPr="00753873">
        <w:rPr>
          <w:lang w:val="fr-BE"/>
        </w:rPr>
        <w:t xml:space="preserve">différents domaines clés </w:t>
      </w:r>
      <w:r w:rsidR="008C2716" w:rsidRPr="00753873">
        <w:rPr>
          <w:lang w:val="fr-BE"/>
        </w:rPr>
        <w:t xml:space="preserve">examinés </w:t>
      </w:r>
      <w:r w:rsidR="00473A9A" w:rsidRPr="00753873">
        <w:rPr>
          <w:lang w:val="fr-BE"/>
        </w:rPr>
        <w:t xml:space="preserve">et ont reçu des documents internes pour guider leur </w:t>
      </w:r>
      <w:r w:rsidR="008C2716" w:rsidRPr="00753873">
        <w:rPr>
          <w:lang w:val="fr-BE"/>
        </w:rPr>
        <w:t>évaluation</w:t>
      </w:r>
      <w:r w:rsidR="00473A9A" w:rsidRPr="00753873">
        <w:rPr>
          <w:lang w:val="fr-BE"/>
        </w:rPr>
        <w:t xml:space="preserve">. </w:t>
      </w:r>
    </w:p>
    <w:p w14:paraId="6FB18F32" w14:textId="67A13D43" w:rsidR="00EF1CCE" w:rsidRPr="00753873" w:rsidRDefault="00EF1CCE" w:rsidP="00473A9A">
      <w:pPr>
        <w:rPr>
          <w:b/>
          <w:bCs/>
          <w:lang w:val="fr-BE"/>
        </w:rPr>
      </w:pPr>
      <w:r w:rsidRPr="00753873">
        <w:rPr>
          <w:b/>
          <w:bCs/>
          <w:lang w:val="fr-BE"/>
        </w:rPr>
        <w:t xml:space="preserve">Résultats </w:t>
      </w:r>
    </w:p>
    <w:p w14:paraId="4F0A7036" w14:textId="77FE433A" w:rsidR="00473A9A" w:rsidRPr="00753873" w:rsidRDefault="008C2716" w:rsidP="00473A9A">
      <w:pPr>
        <w:rPr>
          <w:lang w:val="fr-BE"/>
        </w:rPr>
      </w:pPr>
      <w:r w:rsidRPr="00753873">
        <w:rPr>
          <w:lang w:val="fr-BE"/>
        </w:rPr>
        <w:t xml:space="preserve">Cette année, </w:t>
      </w:r>
      <w:r w:rsidR="00DE3E21" w:rsidRPr="00753873">
        <w:rPr>
          <w:lang w:val="fr-BE"/>
        </w:rPr>
        <w:t xml:space="preserve">les auditeurs </w:t>
      </w:r>
      <w:r w:rsidR="00473A9A" w:rsidRPr="00753873">
        <w:rPr>
          <w:lang w:val="fr-BE"/>
        </w:rPr>
        <w:t xml:space="preserve">se sont concentrés sur l'examen </w:t>
      </w:r>
      <w:r w:rsidR="00D93E53" w:rsidRPr="00753873">
        <w:rPr>
          <w:lang w:val="fr-BE"/>
        </w:rPr>
        <w:t xml:space="preserve">de </w:t>
      </w:r>
      <w:r w:rsidRPr="00753873">
        <w:rPr>
          <w:lang w:val="fr-BE"/>
        </w:rPr>
        <w:t xml:space="preserve">sept domaines clés </w:t>
      </w:r>
      <w:r w:rsidR="00473A9A" w:rsidRPr="00753873">
        <w:rPr>
          <w:lang w:val="fr-BE"/>
        </w:rPr>
        <w:t xml:space="preserve">et ont </w:t>
      </w:r>
      <w:r w:rsidRPr="00753873">
        <w:rPr>
          <w:lang w:val="fr-BE"/>
        </w:rPr>
        <w:t xml:space="preserve">émis des </w:t>
      </w:r>
      <w:r w:rsidR="00473A9A" w:rsidRPr="00753873">
        <w:rPr>
          <w:lang w:val="fr-BE"/>
        </w:rPr>
        <w:t>recommandations</w:t>
      </w:r>
      <w:r w:rsidRPr="00753873">
        <w:rPr>
          <w:lang w:val="fr-BE"/>
        </w:rPr>
        <w:t xml:space="preserve">. Ils ont également étudié les </w:t>
      </w:r>
      <w:r w:rsidR="00473A9A" w:rsidRPr="00753873">
        <w:rPr>
          <w:lang w:val="fr-BE"/>
        </w:rPr>
        <w:t xml:space="preserve">procédures existantes </w:t>
      </w:r>
      <w:r w:rsidRPr="00753873">
        <w:rPr>
          <w:lang w:val="fr-BE"/>
        </w:rPr>
        <w:t xml:space="preserve">qui semblaient </w:t>
      </w:r>
      <w:r w:rsidR="00473A9A" w:rsidRPr="00753873">
        <w:rPr>
          <w:lang w:val="fr-BE"/>
        </w:rPr>
        <w:t xml:space="preserve">correspondre aux besoins de la gestion </w:t>
      </w:r>
      <w:r w:rsidRPr="00753873">
        <w:rPr>
          <w:lang w:val="fr-BE"/>
        </w:rPr>
        <w:t xml:space="preserve">opérationnelle </w:t>
      </w:r>
      <w:r w:rsidR="00473A9A" w:rsidRPr="00753873">
        <w:rPr>
          <w:lang w:val="fr-BE"/>
        </w:rPr>
        <w:t xml:space="preserve">quotidienne du </w:t>
      </w:r>
      <w:r w:rsidR="00753873">
        <w:rPr>
          <w:lang w:val="fr-BE"/>
        </w:rPr>
        <w:t>FEPH</w:t>
      </w:r>
      <w:r w:rsidR="00473A9A" w:rsidRPr="00753873">
        <w:rPr>
          <w:lang w:val="fr-BE"/>
        </w:rPr>
        <w:t xml:space="preserve">. </w:t>
      </w:r>
      <w:r w:rsidR="00EF1CCE" w:rsidRPr="00753873">
        <w:rPr>
          <w:lang w:val="fr-BE"/>
        </w:rPr>
        <w:t xml:space="preserve">Les auditeurs ont constaté que des procédures robustes étaient suivies, conformément aux exigences de la Commission européenne. </w:t>
      </w:r>
      <w:r w:rsidR="00473A9A" w:rsidRPr="00753873">
        <w:rPr>
          <w:lang w:val="fr-BE"/>
        </w:rPr>
        <w:t xml:space="preserve">Cela devrait permettre à l'avenir d'éviter la situation </w:t>
      </w:r>
      <w:r w:rsidR="00AD72B6" w:rsidRPr="00753873">
        <w:rPr>
          <w:lang w:val="fr-BE"/>
        </w:rPr>
        <w:t>que nous constatons dans les comptes 2024 (qui incluent des questions des dernières années)</w:t>
      </w:r>
      <w:r w:rsidR="00473A9A" w:rsidRPr="00753873">
        <w:rPr>
          <w:lang w:val="fr-BE"/>
        </w:rPr>
        <w:t xml:space="preserve">. </w:t>
      </w:r>
    </w:p>
    <w:p w14:paraId="16C85109" w14:textId="5EDD79AA" w:rsidR="00EF1CCE" w:rsidRPr="00753873" w:rsidRDefault="00EF1CCE" w:rsidP="00473A9A">
      <w:pPr>
        <w:rPr>
          <w:b/>
          <w:bCs/>
          <w:lang w:val="fr-BE"/>
        </w:rPr>
      </w:pPr>
      <w:r w:rsidRPr="00753873">
        <w:rPr>
          <w:b/>
          <w:bCs/>
          <w:lang w:val="fr-BE"/>
        </w:rPr>
        <w:t xml:space="preserve">Recommandations </w:t>
      </w:r>
    </w:p>
    <w:p w14:paraId="50D84C87" w14:textId="6E9A2D10" w:rsidR="00651E86" w:rsidRPr="00753873" w:rsidRDefault="00EF1CCE" w:rsidP="00651E86">
      <w:pPr>
        <w:rPr>
          <w:lang w:val="fr-BE"/>
        </w:rPr>
      </w:pPr>
      <w:r w:rsidRPr="00753873">
        <w:rPr>
          <w:lang w:val="fr-BE"/>
        </w:rPr>
        <w:lastRenderedPageBreak/>
        <w:t>Les auditeurs ont formulé plusieurs recommandations ciblées visant à renforcer la gouvernance et la surveillance financière</w:t>
      </w:r>
      <w:r w:rsidR="00AA2787" w:rsidRPr="00753873">
        <w:rPr>
          <w:lang w:val="fr-BE"/>
        </w:rPr>
        <w:t xml:space="preserve">. Ils se sont concentrés sur la gestion des salaires, le remboursement des frais de voyage </w:t>
      </w:r>
      <w:r w:rsidR="00651E86" w:rsidRPr="00753873">
        <w:rPr>
          <w:lang w:val="fr-BE"/>
        </w:rPr>
        <w:t xml:space="preserve">et le </w:t>
      </w:r>
      <w:r w:rsidR="00AA2787" w:rsidRPr="00753873">
        <w:rPr>
          <w:lang w:val="fr-BE"/>
        </w:rPr>
        <w:t>rôle de l'auditeur externe</w:t>
      </w:r>
      <w:r w:rsidR="00651E86" w:rsidRPr="00753873">
        <w:rPr>
          <w:lang w:val="fr-BE"/>
        </w:rPr>
        <w:t xml:space="preserve">. Ils ont également suggéré que les coordinateurs de projet signalent de manière proactive à l'équipe de gestion, en temps utile et de manière claire, tout problème, risque ou </w:t>
      </w:r>
      <w:proofErr w:type="gramStart"/>
      <w:r w:rsidR="00651E86" w:rsidRPr="00753873">
        <w:rPr>
          <w:lang w:val="fr-BE"/>
        </w:rPr>
        <w:t>irrégularité important</w:t>
      </w:r>
      <w:proofErr w:type="gramEnd"/>
      <w:r w:rsidR="00651E86" w:rsidRPr="00753873">
        <w:rPr>
          <w:lang w:val="fr-BE"/>
        </w:rPr>
        <w:t xml:space="preserve">. </w:t>
      </w:r>
      <w:r w:rsidR="008C2716" w:rsidRPr="00753873">
        <w:rPr>
          <w:lang w:val="fr-BE"/>
        </w:rPr>
        <w:t xml:space="preserve">Ils ont proposé </w:t>
      </w:r>
      <w:r w:rsidR="00651E86" w:rsidRPr="00753873">
        <w:rPr>
          <w:lang w:val="fr-BE"/>
        </w:rPr>
        <w:t>de signaler les situations critiques</w:t>
      </w:r>
      <w:r w:rsidR="00426D35" w:rsidRPr="00753873">
        <w:rPr>
          <w:lang w:val="fr-BE"/>
        </w:rPr>
        <w:t xml:space="preserve">, de </w:t>
      </w:r>
      <w:r w:rsidR="00651E86" w:rsidRPr="00753873">
        <w:rPr>
          <w:lang w:val="fr-BE"/>
        </w:rPr>
        <w:t xml:space="preserve">mettre en œuvre des protocoles de double signature et d'obtenir l'approbation préalable de l'exécutif pour les dépenses extraordinaires ou lorsque les limites financières fixées sont dépassées. </w:t>
      </w:r>
    </w:p>
    <w:p w14:paraId="55B17BB5" w14:textId="1CB35DBA" w:rsidR="00DE3E21" w:rsidRPr="00753873" w:rsidRDefault="00651E86" w:rsidP="00473A9A">
      <w:pPr>
        <w:rPr>
          <w:lang w:val="fr-BE"/>
        </w:rPr>
      </w:pPr>
      <w:r w:rsidRPr="00753873">
        <w:rPr>
          <w:lang w:val="fr-BE"/>
        </w:rPr>
        <w:t xml:space="preserve">En outre, il </w:t>
      </w:r>
      <w:r w:rsidR="00EF1CCE" w:rsidRPr="00753873">
        <w:rPr>
          <w:lang w:val="fr-BE"/>
        </w:rPr>
        <w:t xml:space="preserve">a été noté que cela faisait plusieurs années que les auditeurs internes n'avaient pas rencontré l'auditeur externe. </w:t>
      </w:r>
      <w:r w:rsidR="008C2716" w:rsidRPr="00753873">
        <w:rPr>
          <w:lang w:val="fr-BE"/>
        </w:rPr>
        <w:t xml:space="preserve">Ils ont </w:t>
      </w:r>
      <w:r w:rsidR="00EF1CCE" w:rsidRPr="00753873">
        <w:rPr>
          <w:lang w:val="fr-BE"/>
        </w:rPr>
        <w:t>recommandé qu'une telle réunion soit organisée à l'</w:t>
      </w:r>
      <w:r w:rsidR="009F28B9" w:rsidRPr="00753873">
        <w:rPr>
          <w:lang w:val="fr-BE"/>
        </w:rPr>
        <w:t xml:space="preserve">avenir </w:t>
      </w:r>
      <w:r w:rsidR="00EF1CCE" w:rsidRPr="00753873">
        <w:rPr>
          <w:lang w:val="fr-BE"/>
        </w:rPr>
        <w:t>afin d'examiner les responsabilités respectives et d'assurer une approche d'audit coordonnée et globale.</w:t>
      </w:r>
    </w:p>
    <w:p w14:paraId="21A1AD8E" w14:textId="000833A2" w:rsidR="00EF1CCE" w:rsidRPr="00753873" w:rsidRDefault="00EF1CCE" w:rsidP="00473A9A">
      <w:pPr>
        <w:rPr>
          <w:b/>
          <w:bCs/>
          <w:lang w:val="fr-BE"/>
        </w:rPr>
      </w:pPr>
      <w:r w:rsidRPr="00753873">
        <w:rPr>
          <w:b/>
          <w:bCs/>
          <w:lang w:val="fr-BE"/>
        </w:rPr>
        <w:t>Conclusion</w:t>
      </w:r>
    </w:p>
    <w:p w14:paraId="2CA2D2CE" w14:textId="5A325650" w:rsidR="008015D0" w:rsidRPr="00753873" w:rsidRDefault="00473A9A" w:rsidP="008015D0">
      <w:pPr>
        <w:rPr>
          <w:lang w:val="fr-BE"/>
        </w:rPr>
      </w:pPr>
      <w:r w:rsidRPr="00753873">
        <w:rPr>
          <w:lang w:val="fr-BE"/>
        </w:rPr>
        <w:t xml:space="preserve">Malgré cette </w:t>
      </w:r>
      <w:r w:rsidR="009F28B9" w:rsidRPr="00753873">
        <w:rPr>
          <w:lang w:val="fr-BE"/>
        </w:rPr>
        <w:t xml:space="preserve">perte sur les comptes 2024, </w:t>
      </w:r>
      <w:r w:rsidRPr="00753873">
        <w:rPr>
          <w:lang w:val="fr-BE"/>
        </w:rPr>
        <w:t>les auditeurs internes ont reconnu la réaction rapide de l'</w:t>
      </w:r>
      <w:r w:rsidR="008C2716" w:rsidRPr="00753873">
        <w:rPr>
          <w:lang w:val="fr-BE"/>
        </w:rPr>
        <w:t>équipe de direction et du personnel d</w:t>
      </w:r>
      <w:r w:rsidR="00701544">
        <w:rPr>
          <w:lang w:val="fr-BE"/>
        </w:rPr>
        <w:t>u FEPH</w:t>
      </w:r>
      <w:r w:rsidR="008C2716" w:rsidRPr="00753873">
        <w:rPr>
          <w:lang w:val="fr-BE"/>
        </w:rPr>
        <w:t xml:space="preserve">, </w:t>
      </w:r>
      <w:r w:rsidRPr="00753873">
        <w:rPr>
          <w:lang w:val="fr-BE"/>
        </w:rPr>
        <w:t xml:space="preserve">et ont approuvé les </w:t>
      </w:r>
      <w:r w:rsidR="00651E86" w:rsidRPr="00753873">
        <w:rPr>
          <w:lang w:val="fr-BE"/>
        </w:rPr>
        <w:t>domaines clés audités</w:t>
      </w:r>
      <w:r w:rsidRPr="00753873">
        <w:rPr>
          <w:lang w:val="fr-BE"/>
        </w:rPr>
        <w:t xml:space="preserve">. Ils sont prêts, dans le cadre de ces conditions révisées et complétées, à </w:t>
      </w:r>
      <w:proofErr w:type="gramStart"/>
      <w:r w:rsidRPr="00753873">
        <w:rPr>
          <w:lang w:val="fr-BE"/>
        </w:rPr>
        <w:t>postuler à nouveau pour</w:t>
      </w:r>
      <w:proofErr w:type="gramEnd"/>
      <w:r w:rsidRPr="00753873">
        <w:rPr>
          <w:lang w:val="fr-BE"/>
        </w:rPr>
        <w:t xml:space="preserve"> leurs postes d'auditeurs internes, si la confiance est renouvelée par les membres de l'Assemblée générale de 2025.</w:t>
      </w:r>
    </w:p>
    <w:p w14:paraId="205E8F77" w14:textId="77777777" w:rsidR="008015D0" w:rsidRPr="00753873" w:rsidRDefault="008015D0" w:rsidP="008015D0">
      <w:pPr>
        <w:rPr>
          <w:lang w:val="fr-BE"/>
        </w:rPr>
      </w:pPr>
    </w:p>
    <w:p w14:paraId="0358BF48" w14:textId="4625BA2C" w:rsidR="009150D3" w:rsidRPr="00753873" w:rsidRDefault="00D62675" w:rsidP="00D62675">
      <w:pPr>
        <w:pStyle w:val="Heading2"/>
        <w:rPr>
          <w:lang w:val="fr-BE"/>
        </w:rPr>
      </w:pPr>
      <w:r w:rsidRPr="00753873">
        <w:rPr>
          <w:lang w:val="fr-BE"/>
        </w:rPr>
        <w:br w:type="page"/>
      </w:r>
    </w:p>
    <w:p w14:paraId="6BCA2AB0" w14:textId="30F92B74" w:rsidR="00023AC7" w:rsidRPr="00753873" w:rsidRDefault="00B7628F" w:rsidP="0002460E">
      <w:pPr>
        <w:pStyle w:val="Heading2"/>
        <w:rPr>
          <w:lang w:val="fr-BE"/>
        </w:rPr>
      </w:pPr>
      <w:bookmarkStart w:id="0" w:name="_Annex_1:_Terms"/>
      <w:bookmarkEnd w:id="0"/>
      <w:r w:rsidRPr="00753873">
        <w:rPr>
          <w:lang w:val="fr-BE"/>
        </w:rPr>
        <w:lastRenderedPageBreak/>
        <w:t xml:space="preserve">Annexe 1 </w:t>
      </w:r>
      <w:r w:rsidR="009150D3" w:rsidRPr="00753873">
        <w:rPr>
          <w:lang w:val="fr-BE"/>
        </w:rPr>
        <w:t>: Termes de référence</w:t>
      </w:r>
    </w:p>
    <w:p w14:paraId="086FB91F" w14:textId="77777777" w:rsidR="004358D5" w:rsidRPr="00753873" w:rsidRDefault="004358D5" w:rsidP="004358D5">
      <w:pPr>
        <w:rPr>
          <w:lang w:val="fr-BE"/>
        </w:rPr>
      </w:pPr>
    </w:p>
    <w:p w14:paraId="38CF7C60" w14:textId="16386D18" w:rsidR="004358D5" w:rsidRPr="00753873" w:rsidRDefault="004358D5" w:rsidP="004358D5">
      <w:pPr>
        <w:jc w:val="center"/>
        <w:rPr>
          <w:lang w:val="fr-BE"/>
        </w:rPr>
      </w:pPr>
      <w:r w:rsidRPr="00753873">
        <w:rPr>
          <w:rStyle w:val="TitleChar"/>
          <w:lang w:val="fr-BE"/>
        </w:rPr>
        <w:t xml:space="preserve">Audit interne du </w:t>
      </w:r>
      <w:r w:rsidR="00753873">
        <w:rPr>
          <w:rStyle w:val="TitleChar"/>
          <w:lang w:val="fr-BE"/>
        </w:rPr>
        <w:t>FEPH</w:t>
      </w:r>
    </w:p>
    <w:p w14:paraId="0AE34B1E" w14:textId="77777777" w:rsidR="004358D5" w:rsidRPr="00753873" w:rsidRDefault="004358D5" w:rsidP="004358D5">
      <w:pPr>
        <w:jc w:val="center"/>
        <w:rPr>
          <w:rStyle w:val="TitleChar"/>
          <w:lang w:val="fr-BE"/>
        </w:rPr>
      </w:pPr>
      <w:r w:rsidRPr="00753873">
        <w:rPr>
          <w:rStyle w:val="TitleChar"/>
          <w:lang w:val="fr-BE"/>
        </w:rPr>
        <w:t>Mandat, mai 2025</w:t>
      </w:r>
    </w:p>
    <w:p w14:paraId="4CC56203" w14:textId="77777777" w:rsidR="004358D5" w:rsidRPr="00753873" w:rsidRDefault="004358D5" w:rsidP="004358D5">
      <w:pPr>
        <w:rPr>
          <w:lang w:val="fr-BE"/>
        </w:rPr>
      </w:pPr>
      <w:r w:rsidRPr="00753873">
        <w:rPr>
          <w:rStyle w:val="Heading1Char"/>
          <w:lang w:val="fr-BE"/>
        </w:rPr>
        <w:t>1. Contexte</w:t>
      </w:r>
    </w:p>
    <w:p w14:paraId="4B4DFC0F" w14:textId="47DDCE8B" w:rsidR="004358D5" w:rsidRPr="00753873" w:rsidRDefault="004358D5" w:rsidP="004358D5">
      <w:pPr>
        <w:rPr>
          <w:lang w:val="fr-BE"/>
        </w:rPr>
      </w:pPr>
      <w:r w:rsidRPr="00753873">
        <w:rPr>
          <w:lang w:val="fr-BE"/>
        </w:rPr>
        <w:t xml:space="preserve">Conformément aux statuts du </w:t>
      </w:r>
      <w:r w:rsidR="00753873">
        <w:rPr>
          <w:lang w:val="fr-BE"/>
        </w:rPr>
        <w:t>FEPH</w:t>
      </w:r>
      <w:r w:rsidRPr="00753873">
        <w:rPr>
          <w:lang w:val="fr-BE"/>
        </w:rPr>
        <w:t xml:space="preserve">, deux auditeurs internes et une chaire d'audit ont été désignés pour vérifier les contrôles financiers sur les principaux domaines de dépenses pour l'exercice 2024. </w:t>
      </w:r>
    </w:p>
    <w:p w14:paraId="09CBA5AB" w14:textId="77777777" w:rsidR="004358D5" w:rsidRPr="00753873" w:rsidRDefault="004358D5" w:rsidP="004358D5">
      <w:pPr>
        <w:rPr>
          <w:lang w:val="fr-BE"/>
        </w:rPr>
      </w:pPr>
      <w:r w:rsidRPr="00753873">
        <w:rPr>
          <w:rStyle w:val="Heading1Char"/>
          <w:lang w:val="fr-BE"/>
        </w:rPr>
        <w:t>2. Objectif de l'audit interne</w:t>
      </w:r>
      <w:r w:rsidRPr="00753873">
        <w:rPr>
          <w:lang w:val="fr-BE"/>
        </w:rPr>
        <w:br/>
        <w:t>Évaluer la gestion financière, les mécanismes de contrôle et les procédures de conformité, en particulier dans les sept domaines suivants :</w:t>
      </w:r>
    </w:p>
    <w:p w14:paraId="649F38E8" w14:textId="588E9015" w:rsidR="004358D5" w:rsidRPr="00753873" w:rsidRDefault="004358D5" w:rsidP="004358D5">
      <w:pPr>
        <w:pStyle w:val="ListParagraph"/>
        <w:numPr>
          <w:ilvl w:val="0"/>
          <w:numId w:val="3"/>
        </w:numPr>
        <w:spacing w:line="279" w:lineRule="auto"/>
        <w:rPr>
          <w:rFonts w:ascii="Arial" w:hAnsi="Arial" w:cs="Arial"/>
          <w:lang w:val="fr-BE"/>
        </w:rPr>
      </w:pPr>
      <w:r w:rsidRPr="00753873">
        <w:rPr>
          <w:rFonts w:ascii="Arial" w:hAnsi="Arial" w:cs="Arial"/>
          <w:b/>
          <w:bCs/>
          <w:lang w:val="fr-BE"/>
        </w:rPr>
        <w:t xml:space="preserve">Voyages : </w:t>
      </w:r>
      <w:r w:rsidRPr="00753873">
        <w:rPr>
          <w:rFonts w:ascii="Arial" w:hAnsi="Arial" w:cs="Arial"/>
          <w:lang w:val="fr-BE"/>
        </w:rPr>
        <w:t xml:space="preserve">La procédure relative aux décisions de voyage, aux réservations et aux dépenses connexes est la même pour tous les financements de l'UE et tous les projets du </w:t>
      </w:r>
      <w:r w:rsidR="00753873">
        <w:rPr>
          <w:rFonts w:ascii="Arial" w:hAnsi="Arial" w:cs="Arial"/>
          <w:lang w:val="fr-BE"/>
        </w:rPr>
        <w:t>FEPH</w:t>
      </w:r>
      <w:r w:rsidRPr="00753873">
        <w:rPr>
          <w:rFonts w:ascii="Arial" w:hAnsi="Arial" w:cs="Arial"/>
          <w:lang w:val="fr-BE"/>
        </w:rPr>
        <w:t>.</w:t>
      </w:r>
    </w:p>
    <w:p w14:paraId="4B57076E" w14:textId="77777777" w:rsidR="004358D5" w:rsidRPr="00753873" w:rsidRDefault="004358D5" w:rsidP="004358D5">
      <w:pPr>
        <w:pStyle w:val="ListParagraph"/>
        <w:numPr>
          <w:ilvl w:val="0"/>
          <w:numId w:val="3"/>
        </w:numPr>
        <w:spacing w:line="279" w:lineRule="auto"/>
        <w:rPr>
          <w:rFonts w:ascii="Arial" w:hAnsi="Arial" w:cs="Arial"/>
          <w:lang w:val="fr-BE"/>
        </w:rPr>
      </w:pPr>
      <w:r w:rsidRPr="00753873">
        <w:rPr>
          <w:rFonts w:ascii="Arial" w:hAnsi="Arial" w:cs="Arial"/>
          <w:b/>
          <w:bCs/>
          <w:lang w:val="fr-BE"/>
        </w:rPr>
        <w:t xml:space="preserve">Location de lieux pour des événements </w:t>
      </w:r>
      <w:r w:rsidRPr="00753873">
        <w:rPr>
          <w:rFonts w:ascii="Arial" w:hAnsi="Arial" w:cs="Arial"/>
          <w:lang w:val="fr-BE"/>
        </w:rPr>
        <w:t>: Les événements les plus importants pour lesquels le FEPH loue des salles sont l'AGA du FEPH et les réunions du conseil d'administration, toutes deux financées par notre subvention de fonctionnement du CERV.</w:t>
      </w:r>
    </w:p>
    <w:p w14:paraId="64C4D70F" w14:textId="77777777" w:rsidR="004358D5" w:rsidRPr="00753873" w:rsidRDefault="004358D5" w:rsidP="004358D5">
      <w:pPr>
        <w:pStyle w:val="ListParagraph"/>
        <w:numPr>
          <w:ilvl w:val="0"/>
          <w:numId w:val="3"/>
        </w:numPr>
        <w:spacing w:line="279" w:lineRule="auto"/>
        <w:rPr>
          <w:rFonts w:ascii="Arial" w:hAnsi="Arial" w:cs="Arial"/>
          <w:lang w:val="fr-BE"/>
        </w:rPr>
      </w:pPr>
      <w:r w:rsidRPr="00753873">
        <w:rPr>
          <w:rFonts w:ascii="Arial" w:hAnsi="Arial" w:cs="Arial"/>
          <w:b/>
          <w:bCs/>
          <w:lang w:val="fr-BE"/>
        </w:rPr>
        <w:t xml:space="preserve">Fournisseurs informatiques : </w:t>
      </w:r>
      <w:r w:rsidRPr="00753873">
        <w:rPr>
          <w:rFonts w:ascii="Arial" w:hAnsi="Arial" w:cs="Arial"/>
          <w:lang w:val="fr-BE"/>
        </w:rPr>
        <w:t>En 2024, EDF a entamé la sélection d'un nouveau fournisseur informatique, qui a été finalisée en 2025. Nous avons entrepris un projet majeur : le transfert de notre serveur vers le Cloud.</w:t>
      </w:r>
    </w:p>
    <w:p w14:paraId="6E7B3AF4" w14:textId="0A1E2837" w:rsidR="004358D5" w:rsidRPr="00753873" w:rsidRDefault="004358D5" w:rsidP="004358D5">
      <w:pPr>
        <w:pStyle w:val="ListParagraph"/>
        <w:numPr>
          <w:ilvl w:val="0"/>
          <w:numId w:val="3"/>
        </w:numPr>
        <w:spacing w:line="279" w:lineRule="auto"/>
        <w:rPr>
          <w:rFonts w:ascii="Arial" w:hAnsi="Arial" w:cs="Arial"/>
          <w:lang w:val="fr-BE"/>
        </w:rPr>
      </w:pPr>
      <w:r w:rsidRPr="00753873">
        <w:rPr>
          <w:rFonts w:ascii="Arial" w:hAnsi="Arial" w:cs="Arial"/>
          <w:b/>
          <w:bCs/>
          <w:lang w:val="fr-BE"/>
        </w:rPr>
        <w:t xml:space="preserve">Services d'interprétation et de sous-titrage </w:t>
      </w:r>
      <w:r w:rsidRPr="00753873">
        <w:rPr>
          <w:rFonts w:ascii="Arial" w:hAnsi="Arial" w:cs="Arial"/>
          <w:lang w:val="fr-BE"/>
        </w:rPr>
        <w:t xml:space="preserve">: Le </w:t>
      </w:r>
      <w:r w:rsidR="00753873">
        <w:rPr>
          <w:rFonts w:ascii="Arial" w:hAnsi="Arial" w:cs="Arial"/>
          <w:lang w:val="fr-BE"/>
        </w:rPr>
        <w:t>FEPH</w:t>
      </w:r>
      <w:r w:rsidRPr="00753873">
        <w:rPr>
          <w:rFonts w:ascii="Arial" w:hAnsi="Arial" w:cs="Arial"/>
          <w:lang w:val="fr-BE"/>
        </w:rPr>
        <w:t xml:space="preserve"> fournit ces services tout au long de l'année. Les auditeurs peuvent examiner des exemples de projets financés par le CERV, </w:t>
      </w:r>
      <w:proofErr w:type="spellStart"/>
      <w:r w:rsidRPr="00753873">
        <w:rPr>
          <w:rFonts w:ascii="Arial" w:hAnsi="Arial" w:cs="Arial"/>
          <w:lang w:val="fr-BE"/>
        </w:rPr>
        <w:t>Empower</w:t>
      </w:r>
      <w:proofErr w:type="spellEnd"/>
      <w:r w:rsidRPr="00753873">
        <w:rPr>
          <w:rFonts w:ascii="Arial" w:hAnsi="Arial" w:cs="Arial"/>
          <w:lang w:val="fr-BE"/>
        </w:rPr>
        <w:t xml:space="preserve"> Ukraine et Google.</w:t>
      </w:r>
    </w:p>
    <w:p w14:paraId="0891A10C" w14:textId="77777777" w:rsidR="004358D5" w:rsidRPr="00753873" w:rsidRDefault="004358D5" w:rsidP="004358D5">
      <w:pPr>
        <w:pStyle w:val="ListParagraph"/>
        <w:numPr>
          <w:ilvl w:val="0"/>
          <w:numId w:val="3"/>
        </w:numPr>
        <w:spacing w:line="279" w:lineRule="auto"/>
        <w:rPr>
          <w:rFonts w:ascii="Arial" w:hAnsi="Arial" w:cs="Arial"/>
          <w:lang w:val="fr-BE"/>
        </w:rPr>
      </w:pPr>
      <w:r w:rsidRPr="00753873">
        <w:rPr>
          <w:rFonts w:ascii="Arial" w:hAnsi="Arial" w:cs="Arial"/>
          <w:b/>
          <w:bCs/>
          <w:lang w:val="fr-BE"/>
        </w:rPr>
        <w:t>Publication/impression :</w:t>
      </w:r>
      <w:r w:rsidRPr="00753873">
        <w:rPr>
          <w:rFonts w:ascii="Arial" w:hAnsi="Arial" w:cs="Arial"/>
          <w:lang w:val="fr-BE"/>
        </w:rPr>
        <w:t xml:space="preserve"> Le FEPH fournit ces services tout au long de l'année. Les auditeurs peuvent examiner des exemples de projets financés par le CERV, </w:t>
      </w:r>
      <w:proofErr w:type="spellStart"/>
      <w:r w:rsidRPr="00753873">
        <w:rPr>
          <w:rFonts w:ascii="Arial" w:hAnsi="Arial" w:cs="Arial"/>
          <w:lang w:val="fr-BE"/>
        </w:rPr>
        <w:t>Empower</w:t>
      </w:r>
      <w:proofErr w:type="spellEnd"/>
      <w:r w:rsidRPr="00753873">
        <w:rPr>
          <w:rFonts w:ascii="Arial" w:hAnsi="Arial" w:cs="Arial"/>
          <w:lang w:val="fr-BE"/>
        </w:rPr>
        <w:t xml:space="preserve"> Ukraine et Google.</w:t>
      </w:r>
    </w:p>
    <w:p w14:paraId="55DC0D51" w14:textId="77777777" w:rsidR="004358D5" w:rsidRPr="00753873" w:rsidRDefault="004358D5" w:rsidP="004358D5">
      <w:pPr>
        <w:pStyle w:val="ListParagraph"/>
        <w:numPr>
          <w:ilvl w:val="0"/>
          <w:numId w:val="3"/>
        </w:numPr>
        <w:spacing w:line="279" w:lineRule="auto"/>
        <w:rPr>
          <w:rFonts w:ascii="Arial" w:hAnsi="Arial" w:cs="Arial"/>
          <w:lang w:val="fr-BE"/>
        </w:rPr>
      </w:pPr>
      <w:r w:rsidRPr="00753873">
        <w:rPr>
          <w:rFonts w:ascii="Arial" w:hAnsi="Arial" w:cs="Arial"/>
          <w:b/>
          <w:bCs/>
          <w:lang w:val="fr-BE"/>
        </w:rPr>
        <w:t xml:space="preserve">Sécurité du système de paie </w:t>
      </w:r>
      <w:r w:rsidRPr="00753873">
        <w:rPr>
          <w:rFonts w:ascii="Arial" w:hAnsi="Arial" w:cs="Arial"/>
          <w:lang w:val="fr-BE"/>
        </w:rPr>
        <w:t>: Ce système est géré de manière indépendante par l'Union des Classes Moyennes (UCM), une organisation belge francophone qui représente et soutient les indépendants, les entrepreneurs et les ONG.</w:t>
      </w:r>
    </w:p>
    <w:p w14:paraId="75F7D2F6" w14:textId="77777777" w:rsidR="004358D5" w:rsidRPr="00753873" w:rsidRDefault="004358D5" w:rsidP="004358D5">
      <w:pPr>
        <w:pStyle w:val="ListParagraph"/>
        <w:numPr>
          <w:ilvl w:val="0"/>
          <w:numId w:val="3"/>
        </w:numPr>
        <w:spacing w:line="279" w:lineRule="auto"/>
        <w:rPr>
          <w:rFonts w:ascii="Arial" w:hAnsi="Arial" w:cs="Arial"/>
          <w:lang w:val="fr-BE"/>
        </w:rPr>
      </w:pPr>
      <w:r w:rsidRPr="00753873">
        <w:rPr>
          <w:rFonts w:ascii="Arial" w:hAnsi="Arial" w:cs="Arial"/>
          <w:b/>
          <w:bCs/>
          <w:lang w:val="fr-BE"/>
        </w:rPr>
        <w:t>Contrôles des dépenses de l'encadrement supérieur :</w:t>
      </w:r>
      <w:r w:rsidRPr="00753873">
        <w:rPr>
          <w:rFonts w:ascii="Arial" w:hAnsi="Arial" w:cs="Arial"/>
          <w:lang w:val="fr-BE"/>
        </w:rPr>
        <w:t xml:space="preserve"> Il s'agit des dépenses liées au président et au directeur </w:t>
      </w:r>
      <w:proofErr w:type="gramStart"/>
      <w:r w:rsidRPr="00753873">
        <w:rPr>
          <w:rFonts w:ascii="Arial" w:hAnsi="Arial" w:cs="Arial"/>
          <w:lang w:val="fr-BE"/>
        </w:rPr>
        <w:t>exécutif</w:t>
      </w:r>
      <w:proofErr w:type="gramEnd"/>
      <w:r w:rsidRPr="00753873">
        <w:rPr>
          <w:rFonts w:ascii="Arial" w:hAnsi="Arial" w:cs="Arial"/>
          <w:lang w:val="fr-BE"/>
        </w:rPr>
        <w:t xml:space="preserve">. </w:t>
      </w:r>
    </w:p>
    <w:p w14:paraId="3F650ED8" w14:textId="27051DCF" w:rsidR="004358D5" w:rsidRPr="00753873" w:rsidRDefault="004358D5" w:rsidP="004358D5">
      <w:pPr>
        <w:rPr>
          <w:rFonts w:ascii="Aptos" w:eastAsia="Aptos" w:hAnsi="Aptos" w:cs="Aptos"/>
          <w:lang w:val="fr-BE"/>
        </w:rPr>
      </w:pPr>
      <w:r w:rsidRPr="00753873">
        <w:rPr>
          <w:lang w:val="fr-BE"/>
        </w:rPr>
        <w:t>En particulier, on veillera à ce que la politique de passation des marchés soit appliquée et à ce que les éléments pertinents du manuel financier soient respectés (</w:t>
      </w:r>
      <w:r w:rsidRPr="00753873">
        <w:rPr>
          <w:rFonts w:ascii="Aptos" w:eastAsia="Aptos" w:hAnsi="Aptos" w:cs="Aptos"/>
          <w:lang w:val="fr-BE"/>
        </w:rPr>
        <w:t xml:space="preserve">EDF </w:t>
      </w:r>
      <w:proofErr w:type="spellStart"/>
      <w:r w:rsidRPr="00753873">
        <w:rPr>
          <w:rFonts w:ascii="Aptos" w:eastAsia="Aptos" w:hAnsi="Aptos" w:cs="Aptos"/>
          <w:lang w:val="fr-BE"/>
        </w:rPr>
        <w:t>Procurement</w:t>
      </w:r>
      <w:proofErr w:type="spellEnd"/>
      <w:r w:rsidRPr="00753873">
        <w:rPr>
          <w:rFonts w:ascii="Aptos" w:eastAsia="Aptos" w:hAnsi="Aptos" w:cs="Aptos"/>
          <w:lang w:val="fr-BE"/>
        </w:rPr>
        <w:t xml:space="preserve"> policy and </w:t>
      </w:r>
      <w:proofErr w:type="spellStart"/>
      <w:r w:rsidRPr="00753873">
        <w:rPr>
          <w:rFonts w:ascii="Aptos" w:eastAsia="Aptos" w:hAnsi="Aptos" w:cs="Aptos"/>
          <w:lang w:val="fr-BE"/>
        </w:rPr>
        <w:t>financial</w:t>
      </w:r>
      <w:proofErr w:type="spellEnd"/>
      <w:r w:rsidRPr="00753873">
        <w:rPr>
          <w:rFonts w:ascii="Aptos" w:eastAsia="Aptos" w:hAnsi="Aptos" w:cs="Aptos"/>
          <w:lang w:val="fr-BE"/>
        </w:rPr>
        <w:t xml:space="preserve"> management.docx</w:t>
      </w:r>
      <w:r w:rsidRPr="00753873">
        <w:rPr>
          <w:lang w:val="fr-BE"/>
        </w:rPr>
        <w:t>).</w:t>
      </w:r>
    </w:p>
    <w:p w14:paraId="22F74877" w14:textId="1AC0CEA9" w:rsidR="004358D5" w:rsidRPr="00753873" w:rsidRDefault="004358D5" w:rsidP="004358D5">
      <w:pPr>
        <w:rPr>
          <w:lang w:val="fr-BE"/>
        </w:rPr>
      </w:pPr>
      <w:r w:rsidRPr="00753873">
        <w:rPr>
          <w:lang w:val="fr-BE"/>
        </w:rPr>
        <w:t xml:space="preserve">L'objectif principal est de formuler des recommandations pour le renforcement des politiques et des procédures du </w:t>
      </w:r>
      <w:r w:rsidR="00753873">
        <w:rPr>
          <w:lang w:val="fr-BE"/>
        </w:rPr>
        <w:t>FEPH</w:t>
      </w:r>
      <w:r w:rsidRPr="00753873">
        <w:rPr>
          <w:lang w:val="fr-BE"/>
        </w:rPr>
        <w:t>.</w:t>
      </w:r>
    </w:p>
    <w:p w14:paraId="03A3C876" w14:textId="77777777" w:rsidR="004358D5" w:rsidRDefault="004358D5" w:rsidP="004358D5">
      <w:pPr>
        <w:pStyle w:val="Heading1"/>
      </w:pPr>
      <w:r>
        <w:lastRenderedPageBreak/>
        <w:t xml:space="preserve">3. </w:t>
      </w:r>
      <w:proofErr w:type="spellStart"/>
      <w:r>
        <w:t>L'étendue</w:t>
      </w:r>
      <w:proofErr w:type="spellEnd"/>
      <w:r>
        <w:t xml:space="preserve"> des travaux</w:t>
      </w:r>
    </w:p>
    <w:p w14:paraId="3D4E186E" w14:textId="2B9043B3" w:rsidR="004358D5" w:rsidRPr="00753873" w:rsidRDefault="004358D5" w:rsidP="004358D5">
      <w:pPr>
        <w:pStyle w:val="ListParagraph"/>
        <w:numPr>
          <w:ilvl w:val="0"/>
          <w:numId w:val="7"/>
        </w:numPr>
        <w:spacing w:line="279" w:lineRule="auto"/>
        <w:rPr>
          <w:rFonts w:ascii="Arial" w:hAnsi="Arial" w:cs="Arial"/>
          <w:lang w:val="fr-BE"/>
        </w:rPr>
      </w:pPr>
      <w:r w:rsidRPr="00753873">
        <w:rPr>
          <w:rFonts w:ascii="Arial" w:hAnsi="Arial" w:cs="Arial"/>
          <w:lang w:val="fr-BE"/>
        </w:rPr>
        <w:t xml:space="preserve">Rencontrer différents membres du personnel et examiner les politiques dans les cinq domaines clés, en utilisant divers projets du </w:t>
      </w:r>
      <w:r w:rsidR="00753873">
        <w:rPr>
          <w:rFonts w:ascii="Arial" w:hAnsi="Arial" w:cs="Arial"/>
          <w:lang w:val="fr-BE"/>
        </w:rPr>
        <w:t>FEPH</w:t>
      </w:r>
      <w:r w:rsidRPr="00753873">
        <w:rPr>
          <w:rFonts w:ascii="Arial" w:hAnsi="Arial" w:cs="Arial"/>
          <w:lang w:val="fr-BE"/>
        </w:rPr>
        <w:t xml:space="preserve"> comme exemples (CERV operating, Ukraine et autres projets).</w:t>
      </w:r>
    </w:p>
    <w:p w14:paraId="780C0B53" w14:textId="77777777" w:rsidR="004358D5" w:rsidRPr="00753873" w:rsidRDefault="004358D5" w:rsidP="004358D5">
      <w:pPr>
        <w:pStyle w:val="ListParagraph"/>
        <w:numPr>
          <w:ilvl w:val="0"/>
          <w:numId w:val="7"/>
        </w:numPr>
        <w:spacing w:line="279" w:lineRule="auto"/>
        <w:rPr>
          <w:rFonts w:ascii="Arial" w:hAnsi="Arial" w:cs="Arial"/>
          <w:lang w:val="fr-BE"/>
        </w:rPr>
      </w:pPr>
      <w:r w:rsidRPr="00753873">
        <w:rPr>
          <w:rFonts w:ascii="Arial" w:hAnsi="Arial" w:cs="Arial"/>
          <w:lang w:val="fr-BE"/>
        </w:rPr>
        <w:t>Identifier les risques ou les lacunes en matière de conformité et d'efficacité</w:t>
      </w:r>
    </w:p>
    <w:p w14:paraId="1EEBC0C9" w14:textId="77777777" w:rsidR="008015D0" w:rsidRPr="00753873" w:rsidRDefault="008015D0" w:rsidP="008015D0">
      <w:pPr>
        <w:pStyle w:val="ListParagraph"/>
        <w:spacing w:line="279" w:lineRule="auto"/>
        <w:rPr>
          <w:rFonts w:ascii="Arial" w:hAnsi="Arial" w:cs="Arial"/>
          <w:lang w:val="fr-BE"/>
        </w:rPr>
      </w:pPr>
    </w:p>
    <w:p w14:paraId="68EA8159" w14:textId="77777777" w:rsidR="008015D0" w:rsidRPr="00753873" w:rsidRDefault="008015D0" w:rsidP="008015D0">
      <w:pPr>
        <w:pStyle w:val="ListParagraph"/>
        <w:spacing w:line="279" w:lineRule="auto"/>
        <w:rPr>
          <w:rFonts w:ascii="Arial" w:hAnsi="Arial" w:cs="Arial"/>
          <w:lang w:val="fr-BE"/>
        </w:rPr>
      </w:pPr>
    </w:p>
    <w:p w14:paraId="011B676B" w14:textId="0AA25DF3" w:rsidR="004358D5" w:rsidRPr="00753873" w:rsidRDefault="004358D5" w:rsidP="004358D5">
      <w:pPr>
        <w:pStyle w:val="ListParagraph"/>
        <w:numPr>
          <w:ilvl w:val="0"/>
          <w:numId w:val="7"/>
        </w:numPr>
        <w:spacing w:line="279" w:lineRule="auto"/>
        <w:rPr>
          <w:rFonts w:ascii="Arial" w:hAnsi="Arial" w:cs="Arial"/>
          <w:lang w:val="fr-BE"/>
        </w:rPr>
      </w:pPr>
      <w:r w:rsidRPr="00753873">
        <w:rPr>
          <w:rFonts w:ascii="Arial" w:hAnsi="Arial" w:cs="Arial"/>
          <w:lang w:val="fr-BE"/>
        </w:rPr>
        <w:t xml:space="preserve">Formuler des recommandations pour améliorer les pratiques du </w:t>
      </w:r>
      <w:r w:rsidR="00753873">
        <w:rPr>
          <w:rFonts w:ascii="Arial" w:hAnsi="Arial" w:cs="Arial"/>
          <w:lang w:val="fr-BE"/>
        </w:rPr>
        <w:t>FEPH</w:t>
      </w:r>
      <w:r w:rsidRPr="00753873">
        <w:rPr>
          <w:rFonts w:ascii="Arial" w:hAnsi="Arial" w:cs="Arial"/>
          <w:lang w:val="fr-BE"/>
        </w:rPr>
        <w:t xml:space="preserve"> </w:t>
      </w:r>
    </w:p>
    <w:p w14:paraId="135B1584" w14:textId="77777777" w:rsidR="004358D5" w:rsidRDefault="004358D5" w:rsidP="004358D5">
      <w:pPr>
        <w:pStyle w:val="NoSpacing"/>
      </w:pPr>
      <w:r w:rsidRPr="49E5200E">
        <w:rPr>
          <w:rStyle w:val="Heading1Char"/>
        </w:rPr>
        <w:t>4. La durée</w:t>
      </w:r>
      <w:r>
        <w:br/>
      </w:r>
    </w:p>
    <w:p w14:paraId="285531C9" w14:textId="77777777" w:rsidR="004358D5" w:rsidRPr="004358D5" w:rsidRDefault="004358D5" w:rsidP="004358D5">
      <w:pPr>
        <w:pStyle w:val="NoSpacing"/>
        <w:numPr>
          <w:ilvl w:val="0"/>
          <w:numId w:val="8"/>
        </w:numPr>
        <w:rPr>
          <w:rFonts w:ascii="Aptos Display" w:hAnsi="Aptos Display"/>
          <w:color w:val="0F4761"/>
          <w:sz w:val="40"/>
          <w:szCs w:val="40"/>
        </w:rPr>
      </w:pPr>
      <w:r>
        <w:t xml:space="preserve">Mai et </w:t>
      </w:r>
      <w:proofErr w:type="spellStart"/>
      <w:r>
        <w:t>juin</w:t>
      </w:r>
      <w:proofErr w:type="spellEnd"/>
      <w:r>
        <w:t xml:space="preserve"> 2025. </w:t>
      </w:r>
    </w:p>
    <w:p w14:paraId="6763C046" w14:textId="77777777" w:rsidR="004358D5" w:rsidRPr="00753873" w:rsidRDefault="004358D5" w:rsidP="004358D5">
      <w:pPr>
        <w:pStyle w:val="NoSpacing"/>
        <w:numPr>
          <w:ilvl w:val="0"/>
          <w:numId w:val="8"/>
        </w:numPr>
        <w:rPr>
          <w:rFonts w:ascii="Aptos Display" w:hAnsi="Aptos Display"/>
          <w:color w:val="0F4761"/>
          <w:sz w:val="40"/>
          <w:szCs w:val="40"/>
          <w:lang w:val="fr-BE"/>
        </w:rPr>
      </w:pPr>
      <w:r w:rsidRPr="00753873">
        <w:rPr>
          <w:lang w:val="fr-BE"/>
        </w:rPr>
        <w:t>30</w:t>
      </w:r>
      <w:r w:rsidRPr="00753873">
        <w:rPr>
          <w:vertAlign w:val="superscript"/>
          <w:lang w:val="fr-BE"/>
        </w:rPr>
        <w:t>e</w:t>
      </w:r>
      <w:r w:rsidRPr="00753873">
        <w:rPr>
          <w:lang w:val="fr-BE"/>
        </w:rPr>
        <w:t>mai : Date limite de remise du projet de rapport de l'équipe d'audit</w:t>
      </w:r>
    </w:p>
    <w:p w14:paraId="78D4343A" w14:textId="77777777" w:rsidR="004358D5" w:rsidRPr="00753873" w:rsidRDefault="004358D5" w:rsidP="004358D5">
      <w:pPr>
        <w:pStyle w:val="NoSpacing"/>
        <w:numPr>
          <w:ilvl w:val="0"/>
          <w:numId w:val="8"/>
        </w:numPr>
        <w:rPr>
          <w:lang w:val="fr-BE"/>
        </w:rPr>
      </w:pPr>
      <w:r w:rsidRPr="00753873">
        <w:rPr>
          <w:lang w:val="fr-BE"/>
        </w:rPr>
        <w:t>6 juin : Date limite de remise du rapport final (préparé par Marion)</w:t>
      </w:r>
    </w:p>
    <w:p w14:paraId="7FE481B6" w14:textId="77777777" w:rsidR="004358D5" w:rsidRPr="00753873" w:rsidRDefault="004358D5" w:rsidP="004358D5">
      <w:pPr>
        <w:pStyle w:val="Heading1"/>
        <w:rPr>
          <w:lang w:val="fr-BE"/>
        </w:rPr>
      </w:pPr>
      <w:r w:rsidRPr="00753873">
        <w:rPr>
          <w:lang w:val="fr-BE"/>
        </w:rPr>
        <w:t>5. Équipe d'audit et rôle</w:t>
      </w:r>
    </w:p>
    <w:p w14:paraId="7C513201" w14:textId="77777777" w:rsidR="004358D5" w:rsidRPr="00753873" w:rsidRDefault="004358D5" w:rsidP="004358D5">
      <w:pPr>
        <w:rPr>
          <w:lang w:val="fr-BE"/>
        </w:rPr>
      </w:pPr>
      <w:r w:rsidRPr="00753873">
        <w:rPr>
          <w:lang w:val="fr-BE"/>
        </w:rPr>
        <w:t>L'audit interne sera mené par une équipe d'audit désignée, composée des personnes suivantes :</w:t>
      </w:r>
    </w:p>
    <w:p w14:paraId="51F83930" w14:textId="77777777" w:rsidR="004358D5" w:rsidRPr="00753873" w:rsidRDefault="004358D5" w:rsidP="004358D5">
      <w:pPr>
        <w:pStyle w:val="ListParagraph"/>
        <w:numPr>
          <w:ilvl w:val="0"/>
          <w:numId w:val="4"/>
        </w:numPr>
        <w:spacing w:line="279" w:lineRule="auto"/>
        <w:rPr>
          <w:rFonts w:ascii="Arial" w:hAnsi="Arial" w:cs="Arial"/>
          <w:lang w:val="fr-BE"/>
        </w:rPr>
      </w:pPr>
      <w:r w:rsidRPr="00753873">
        <w:rPr>
          <w:rFonts w:ascii="Arial" w:hAnsi="Arial" w:cs="Arial"/>
          <w:b/>
          <w:bCs/>
          <w:lang w:val="fr-BE"/>
        </w:rPr>
        <w:t xml:space="preserve">Président de l'audit : </w:t>
      </w:r>
      <w:r w:rsidRPr="00753873">
        <w:rPr>
          <w:rFonts w:ascii="Arial" w:hAnsi="Arial" w:cs="Arial"/>
          <w:lang w:val="fr-BE"/>
        </w:rPr>
        <w:t>John Patrick Clarke, vice-président d'EDF. Pat supervisera le processus d'audit, garantira l'objectivité et soutiendra la mise en œuvre des recommandations.</w:t>
      </w:r>
    </w:p>
    <w:p w14:paraId="3AB6C4C6" w14:textId="77777777" w:rsidR="004358D5" w:rsidRPr="00753873" w:rsidRDefault="004358D5" w:rsidP="004358D5">
      <w:pPr>
        <w:pStyle w:val="ListParagraph"/>
        <w:numPr>
          <w:ilvl w:val="0"/>
          <w:numId w:val="4"/>
        </w:numPr>
        <w:spacing w:line="279" w:lineRule="auto"/>
        <w:rPr>
          <w:rFonts w:ascii="Arial" w:hAnsi="Arial" w:cs="Arial"/>
          <w:lang w:val="fr-BE"/>
        </w:rPr>
      </w:pPr>
      <w:r w:rsidRPr="00753873">
        <w:rPr>
          <w:rFonts w:ascii="Arial" w:hAnsi="Arial" w:cs="Arial"/>
          <w:b/>
          <w:bCs/>
          <w:lang w:val="fr-BE"/>
        </w:rPr>
        <w:t xml:space="preserve">Membre du personnel interne : </w:t>
      </w:r>
      <w:r w:rsidRPr="00753873">
        <w:rPr>
          <w:rFonts w:ascii="Arial" w:hAnsi="Arial" w:cs="Arial"/>
          <w:lang w:val="fr-BE"/>
        </w:rPr>
        <w:t xml:space="preserve">Marion Steff, responsable de la coopération internationale. Marion assurera l'accès aux dossiers, coordonnera la logistique et répondra aux questions relatives aux procédures et à la documentation. Elle rédigera un rapport basé sur les conclusions des auditeurs et le finalisera avec les contributions et le retour d'information de l'équipe d'audit pour qu'il soit signé par le président de l'audit. </w:t>
      </w:r>
    </w:p>
    <w:p w14:paraId="10A7ADB5" w14:textId="63A0F2B2" w:rsidR="004358D5" w:rsidRPr="00753873" w:rsidRDefault="004358D5" w:rsidP="004358D5">
      <w:pPr>
        <w:pStyle w:val="ListParagraph"/>
        <w:numPr>
          <w:ilvl w:val="0"/>
          <w:numId w:val="4"/>
        </w:numPr>
        <w:spacing w:line="279" w:lineRule="auto"/>
        <w:rPr>
          <w:rFonts w:ascii="Arial" w:hAnsi="Arial" w:cs="Arial"/>
          <w:lang w:val="fr-BE"/>
        </w:rPr>
      </w:pPr>
      <w:r w:rsidRPr="00753873">
        <w:rPr>
          <w:rFonts w:ascii="Arial" w:hAnsi="Arial" w:cs="Arial"/>
          <w:b/>
          <w:bCs/>
          <w:lang w:val="fr-BE"/>
        </w:rPr>
        <w:t xml:space="preserve">Auditeur 1 : </w:t>
      </w:r>
      <w:r w:rsidRPr="00753873">
        <w:rPr>
          <w:rFonts w:ascii="Arial" w:hAnsi="Arial" w:cs="Arial"/>
          <w:lang w:val="fr-BE"/>
        </w:rPr>
        <w:t xml:space="preserve">Raymond Ceccotto, président de l'ARFIE (Association pour la recherche et la formation sur l'intégration en Europe ; membre du </w:t>
      </w:r>
      <w:r w:rsidR="00753873">
        <w:rPr>
          <w:rFonts w:ascii="Arial" w:hAnsi="Arial" w:cs="Arial"/>
          <w:lang w:val="fr-BE"/>
        </w:rPr>
        <w:t>FEPH</w:t>
      </w:r>
      <w:r w:rsidRPr="00753873">
        <w:rPr>
          <w:rFonts w:ascii="Arial" w:hAnsi="Arial" w:cs="Arial"/>
          <w:lang w:val="fr-BE"/>
        </w:rPr>
        <w:t xml:space="preserve">).  Raymond sera chargé d'auditer l'échantillon dans les </w:t>
      </w:r>
      <w:r w:rsidR="002616B5" w:rsidRPr="00753873">
        <w:rPr>
          <w:rFonts w:ascii="Arial" w:hAnsi="Arial" w:cs="Arial"/>
          <w:lang w:val="fr-BE"/>
        </w:rPr>
        <w:t xml:space="preserve">sept </w:t>
      </w:r>
      <w:r w:rsidRPr="00753873">
        <w:rPr>
          <w:rFonts w:ascii="Arial" w:hAnsi="Arial" w:cs="Arial"/>
          <w:lang w:val="fr-BE"/>
        </w:rPr>
        <w:t xml:space="preserve">domaines clés. </w:t>
      </w:r>
    </w:p>
    <w:p w14:paraId="0BBFC110" w14:textId="7F3D9FAD" w:rsidR="004358D5" w:rsidRPr="00753873" w:rsidRDefault="004358D5" w:rsidP="004358D5">
      <w:pPr>
        <w:pStyle w:val="ListParagraph"/>
        <w:numPr>
          <w:ilvl w:val="0"/>
          <w:numId w:val="4"/>
        </w:numPr>
        <w:spacing w:line="279" w:lineRule="auto"/>
        <w:rPr>
          <w:rFonts w:ascii="Arial" w:hAnsi="Arial" w:cs="Arial"/>
          <w:lang w:val="fr-BE"/>
        </w:rPr>
      </w:pPr>
      <w:r w:rsidRPr="00753873">
        <w:rPr>
          <w:rFonts w:ascii="Arial" w:hAnsi="Arial" w:cs="Arial"/>
          <w:b/>
          <w:bCs/>
          <w:lang w:val="fr-BE"/>
        </w:rPr>
        <w:t xml:space="preserve">Auditeur 2 : </w:t>
      </w:r>
      <w:r w:rsidRPr="00753873">
        <w:rPr>
          <w:rFonts w:ascii="Arial" w:hAnsi="Arial" w:cs="Arial"/>
          <w:lang w:val="fr-BE"/>
        </w:rPr>
        <w:t xml:space="preserve">David Adams, président de la Fédération européenne des chiens guides d'aveugles. </w:t>
      </w:r>
      <w:r w:rsidR="002616B5" w:rsidRPr="00753873">
        <w:rPr>
          <w:rFonts w:ascii="Arial" w:hAnsi="Arial" w:cs="Arial"/>
          <w:lang w:val="fr-BE"/>
        </w:rPr>
        <w:t xml:space="preserve">David </w:t>
      </w:r>
      <w:r w:rsidRPr="00753873">
        <w:rPr>
          <w:rFonts w:ascii="Arial" w:hAnsi="Arial" w:cs="Arial"/>
          <w:lang w:val="fr-BE"/>
        </w:rPr>
        <w:t xml:space="preserve">sera chargé de contrôler l'échantillon dans les </w:t>
      </w:r>
      <w:r w:rsidR="002616B5" w:rsidRPr="00753873">
        <w:rPr>
          <w:rFonts w:ascii="Arial" w:hAnsi="Arial" w:cs="Arial"/>
          <w:lang w:val="fr-BE"/>
        </w:rPr>
        <w:t xml:space="preserve">sept </w:t>
      </w:r>
      <w:r w:rsidRPr="00753873">
        <w:rPr>
          <w:rFonts w:ascii="Arial" w:hAnsi="Arial" w:cs="Arial"/>
          <w:lang w:val="fr-BE"/>
        </w:rPr>
        <w:t>domaines clés.</w:t>
      </w:r>
    </w:p>
    <w:p w14:paraId="565E4127" w14:textId="77777777" w:rsidR="004358D5" w:rsidRPr="00753873" w:rsidRDefault="004358D5" w:rsidP="004358D5">
      <w:pPr>
        <w:rPr>
          <w:lang w:val="fr-BE"/>
        </w:rPr>
      </w:pPr>
      <w:r w:rsidRPr="00753873">
        <w:rPr>
          <w:lang w:val="fr-BE"/>
        </w:rPr>
        <w:t>L'équipe d'audit collaborera, partagera ses conclusions et produira un rapport commun.</w:t>
      </w:r>
    </w:p>
    <w:p w14:paraId="78F653CD" w14:textId="77777777" w:rsidR="004358D5" w:rsidRPr="00753873" w:rsidRDefault="004358D5" w:rsidP="004358D5">
      <w:pPr>
        <w:rPr>
          <w:lang w:val="fr-BE"/>
        </w:rPr>
      </w:pPr>
      <w:r w:rsidRPr="00753873">
        <w:rPr>
          <w:lang w:val="fr-BE"/>
        </w:rPr>
        <w:t xml:space="preserve">Pour la biographie de nos auditeurs internes, voir l'annexe 1. </w:t>
      </w:r>
    </w:p>
    <w:p w14:paraId="1CF9C920" w14:textId="77777777" w:rsidR="004358D5" w:rsidRDefault="004358D5" w:rsidP="004358D5">
      <w:pPr>
        <w:pStyle w:val="Heading2"/>
      </w:pPr>
      <w:r>
        <w:t xml:space="preserve">5. </w:t>
      </w:r>
      <w:proofErr w:type="spellStart"/>
      <w:r>
        <w:t>Méthodologie</w:t>
      </w:r>
      <w:proofErr w:type="spellEnd"/>
    </w:p>
    <w:p w14:paraId="35A58899" w14:textId="77777777" w:rsidR="004358D5" w:rsidRPr="00753873" w:rsidRDefault="004358D5" w:rsidP="004358D5">
      <w:pPr>
        <w:pStyle w:val="ListParagraph"/>
        <w:numPr>
          <w:ilvl w:val="0"/>
          <w:numId w:val="6"/>
        </w:numPr>
        <w:spacing w:line="279" w:lineRule="auto"/>
        <w:rPr>
          <w:rFonts w:ascii="Arial" w:hAnsi="Arial" w:cs="Arial"/>
          <w:lang w:val="fr-BE"/>
        </w:rPr>
      </w:pPr>
      <w:r w:rsidRPr="00753873">
        <w:rPr>
          <w:rFonts w:ascii="Arial" w:hAnsi="Arial" w:cs="Arial"/>
          <w:lang w:val="fr-BE"/>
        </w:rPr>
        <w:t>Examen des politiques, des dossiers de dépenses et des documents financiers</w:t>
      </w:r>
    </w:p>
    <w:p w14:paraId="2A76235C" w14:textId="77777777" w:rsidR="004358D5" w:rsidRPr="00753873" w:rsidRDefault="004358D5" w:rsidP="004358D5">
      <w:pPr>
        <w:pStyle w:val="ListParagraph"/>
        <w:numPr>
          <w:ilvl w:val="0"/>
          <w:numId w:val="6"/>
        </w:numPr>
        <w:spacing w:line="279" w:lineRule="auto"/>
        <w:rPr>
          <w:rFonts w:ascii="Arial" w:hAnsi="Arial" w:cs="Arial"/>
          <w:lang w:val="fr-BE"/>
        </w:rPr>
      </w:pPr>
      <w:r w:rsidRPr="00753873">
        <w:rPr>
          <w:rFonts w:ascii="Arial" w:hAnsi="Arial" w:cs="Arial"/>
          <w:lang w:val="fr-BE"/>
        </w:rPr>
        <w:t>Entretiens avec le personnel chargé de ces domaines de coûts</w:t>
      </w:r>
    </w:p>
    <w:p w14:paraId="113748BB" w14:textId="77777777" w:rsidR="004358D5" w:rsidRPr="00753873" w:rsidRDefault="004358D5" w:rsidP="004358D5">
      <w:pPr>
        <w:pStyle w:val="ListParagraph"/>
        <w:numPr>
          <w:ilvl w:val="0"/>
          <w:numId w:val="6"/>
        </w:numPr>
        <w:spacing w:line="279" w:lineRule="auto"/>
        <w:rPr>
          <w:rFonts w:ascii="Arial" w:hAnsi="Arial" w:cs="Arial"/>
          <w:lang w:val="fr-BE"/>
        </w:rPr>
      </w:pPr>
      <w:r w:rsidRPr="00753873">
        <w:rPr>
          <w:rFonts w:ascii="Arial" w:hAnsi="Arial" w:cs="Arial"/>
          <w:lang w:val="fr-BE"/>
        </w:rPr>
        <w:t>Échantillonnage des paiements et de la documentation</w:t>
      </w:r>
    </w:p>
    <w:p w14:paraId="10EDEC47" w14:textId="77777777" w:rsidR="004358D5" w:rsidRPr="00753873" w:rsidRDefault="004358D5" w:rsidP="004358D5">
      <w:pPr>
        <w:pStyle w:val="ListParagraph"/>
        <w:numPr>
          <w:ilvl w:val="0"/>
          <w:numId w:val="6"/>
        </w:numPr>
        <w:spacing w:line="279" w:lineRule="auto"/>
        <w:rPr>
          <w:rFonts w:ascii="Arial" w:hAnsi="Arial" w:cs="Arial"/>
          <w:lang w:val="fr-BE"/>
        </w:rPr>
      </w:pPr>
      <w:r w:rsidRPr="00753873">
        <w:rPr>
          <w:rFonts w:ascii="Arial" w:hAnsi="Arial" w:cs="Arial"/>
          <w:lang w:val="fr-BE"/>
        </w:rPr>
        <w:t>Utilisation de la liste de contrôle personnalisée</w:t>
      </w:r>
    </w:p>
    <w:p w14:paraId="128E1811" w14:textId="77777777" w:rsidR="004358D5" w:rsidRDefault="004358D5" w:rsidP="004358D5">
      <w:pPr>
        <w:pStyle w:val="Heading2"/>
      </w:pPr>
      <w:r>
        <w:t xml:space="preserve">6. Les </w:t>
      </w:r>
      <w:proofErr w:type="spellStart"/>
      <w:r>
        <w:t>produits</w:t>
      </w:r>
      <w:proofErr w:type="spellEnd"/>
      <w:r>
        <w:t xml:space="preserve"> à </w:t>
      </w:r>
      <w:proofErr w:type="spellStart"/>
      <w:r>
        <w:t>livrer</w:t>
      </w:r>
      <w:proofErr w:type="spellEnd"/>
    </w:p>
    <w:p w14:paraId="703E0775" w14:textId="77777777" w:rsidR="004358D5" w:rsidRPr="00753873" w:rsidRDefault="004358D5" w:rsidP="004358D5">
      <w:pPr>
        <w:pStyle w:val="ListParagraph"/>
        <w:numPr>
          <w:ilvl w:val="0"/>
          <w:numId w:val="5"/>
        </w:numPr>
        <w:spacing w:line="279" w:lineRule="auto"/>
        <w:rPr>
          <w:rFonts w:ascii="Arial" w:hAnsi="Arial" w:cs="Arial"/>
          <w:lang w:val="fr-BE"/>
        </w:rPr>
      </w:pPr>
      <w:r w:rsidRPr="00753873">
        <w:rPr>
          <w:rFonts w:ascii="Arial" w:hAnsi="Arial" w:cs="Arial"/>
          <w:lang w:val="fr-BE"/>
        </w:rPr>
        <w:t xml:space="preserve">Rapport d'audit avec les conclusions et les recommandations. Les commentaires peuvent être transmis à Marion Steff, responsable de la coopération internationale, qui les recueillera et préparera le rapport final. </w:t>
      </w:r>
    </w:p>
    <w:p w14:paraId="16B1180E" w14:textId="71424CB4" w:rsidR="004358D5" w:rsidRPr="00753873" w:rsidRDefault="004358D5" w:rsidP="004358D5">
      <w:pPr>
        <w:pStyle w:val="ListParagraph"/>
        <w:numPr>
          <w:ilvl w:val="0"/>
          <w:numId w:val="5"/>
        </w:numPr>
        <w:spacing w:line="279" w:lineRule="auto"/>
        <w:rPr>
          <w:lang w:val="fr-BE"/>
        </w:rPr>
      </w:pPr>
      <w:r w:rsidRPr="00753873">
        <w:rPr>
          <w:rFonts w:ascii="Arial" w:hAnsi="Arial" w:cs="Arial"/>
          <w:lang w:val="fr-BE"/>
        </w:rPr>
        <w:lastRenderedPageBreak/>
        <w:t xml:space="preserve">Présentation à l'assemblée générale annuelle du </w:t>
      </w:r>
      <w:r w:rsidR="00753873">
        <w:rPr>
          <w:rFonts w:ascii="Arial" w:hAnsi="Arial" w:cs="Arial"/>
          <w:lang w:val="fr-BE"/>
        </w:rPr>
        <w:t>FEPH</w:t>
      </w:r>
      <w:r w:rsidRPr="00753873">
        <w:rPr>
          <w:rFonts w:ascii="Arial" w:hAnsi="Arial" w:cs="Arial"/>
          <w:lang w:val="fr-BE"/>
        </w:rPr>
        <w:t>, en juin 2025 (Vilnius, Lituanie)</w:t>
      </w:r>
      <w:r w:rsidRPr="00753873">
        <w:rPr>
          <w:lang w:val="fr-BE"/>
        </w:rPr>
        <w:br w:type="page"/>
      </w:r>
    </w:p>
    <w:p w14:paraId="22F49100" w14:textId="77777777" w:rsidR="004358D5" w:rsidRPr="00753873" w:rsidRDefault="004358D5" w:rsidP="004358D5">
      <w:pPr>
        <w:pStyle w:val="Heading1"/>
        <w:rPr>
          <w:lang w:val="fr-BE"/>
        </w:rPr>
      </w:pPr>
      <w:r w:rsidRPr="00753873">
        <w:rPr>
          <w:lang w:val="fr-BE"/>
        </w:rPr>
        <w:lastRenderedPageBreak/>
        <w:t xml:space="preserve">Annexe 1 : Auditeurs internes de la biographie </w:t>
      </w:r>
    </w:p>
    <w:p w14:paraId="1B6B8485" w14:textId="77777777" w:rsidR="004358D5" w:rsidRPr="00753873" w:rsidRDefault="004358D5" w:rsidP="004358D5">
      <w:pPr>
        <w:pStyle w:val="Heading2"/>
        <w:rPr>
          <w:lang w:val="fr-BE"/>
        </w:rPr>
      </w:pPr>
      <w:r w:rsidRPr="00753873">
        <w:rPr>
          <w:lang w:val="fr-BE"/>
        </w:rPr>
        <w:t>Raymond Ceccotto</w:t>
      </w:r>
    </w:p>
    <w:p w14:paraId="06C79BCA" w14:textId="79C6059A" w:rsidR="004358D5" w:rsidRPr="00753873" w:rsidRDefault="004358D5" w:rsidP="004358D5">
      <w:pPr>
        <w:rPr>
          <w:lang w:val="fr-BE"/>
        </w:rPr>
      </w:pPr>
      <w:r w:rsidRPr="00753873">
        <w:rPr>
          <w:lang w:val="fr-BE"/>
        </w:rPr>
        <w:t xml:space="preserve">Raymond Ceccotto, du Luxembourg, président d'ARFIE (Association pour la recherche et la formation sur l'intégration en Europe), membre du FEPH, depuis 1992, est titulaire d'une maîtrise en psychologie. Il est membre et secrétaire de la </w:t>
      </w:r>
      <w:r w:rsidR="00753873">
        <w:rPr>
          <w:lang w:val="fr-BE"/>
        </w:rPr>
        <w:t>FEPH</w:t>
      </w:r>
      <w:r w:rsidRPr="00753873">
        <w:rPr>
          <w:lang w:val="fr-BE"/>
        </w:rPr>
        <w:t xml:space="preserve">AS - Fédération des Acteurs du Secteur Social au Luxembourg (anciennement EGCA - Entente des Gestionnaires de Centre d'Accueils (Luxembourg) - un réseau patronal de prestataires de services, ancien directeur général de la Fondation APEMH - Association des Parents d'Enfants Mentalement Handicapés - Luxembourg, Expert pour le compte d'ARFIE dans le cadre du projet Inclusion Europe " </w:t>
      </w:r>
      <w:proofErr w:type="spellStart"/>
      <w:r w:rsidRPr="00753873">
        <w:rPr>
          <w:lang w:val="fr-BE"/>
        </w:rPr>
        <w:t>Included</w:t>
      </w:r>
      <w:proofErr w:type="spellEnd"/>
      <w:r w:rsidRPr="00753873">
        <w:rPr>
          <w:lang w:val="fr-BE"/>
        </w:rPr>
        <w:t xml:space="preserve"> in Society ", consultant pour le ministère luxembourgeois de la famille sur le futur plan d'action sur la politique du handicap au Luxembourg, coordinateur et promoteur de projets de formation du personnel dans le cadre d'Horizon, Leonardo da Vinci I et II, Erasmus+. Il a également participé et coordonné des projets dans le cadre des programmes </w:t>
      </w:r>
      <w:proofErr w:type="spellStart"/>
      <w:r w:rsidRPr="00753873">
        <w:rPr>
          <w:lang w:val="fr-BE"/>
        </w:rPr>
        <w:t>Helios</w:t>
      </w:r>
      <w:proofErr w:type="spellEnd"/>
      <w:r w:rsidRPr="00753873">
        <w:rPr>
          <w:lang w:val="fr-BE"/>
        </w:rPr>
        <w:t xml:space="preserve"> I et II. Il est responsable de l'organisation et du suivi de différents séminaires et conférences européens sur les questions de handicap au Luxembourg et dans d'autres pays de l'Union européenne.</w:t>
      </w:r>
    </w:p>
    <w:p w14:paraId="32B05413" w14:textId="77777777" w:rsidR="004358D5" w:rsidRPr="00753873" w:rsidRDefault="004358D5" w:rsidP="004358D5">
      <w:pPr>
        <w:pStyle w:val="Heading2"/>
        <w:rPr>
          <w:lang w:val="fr-BE"/>
        </w:rPr>
      </w:pPr>
      <w:r w:rsidRPr="00753873">
        <w:rPr>
          <w:lang w:val="fr-BE"/>
        </w:rPr>
        <w:t>David Adams</w:t>
      </w:r>
    </w:p>
    <w:p w14:paraId="31961F84" w14:textId="77777777" w:rsidR="004358D5" w:rsidRPr="00753873" w:rsidRDefault="004358D5" w:rsidP="004358D5">
      <w:pPr>
        <w:rPr>
          <w:lang w:val="fr-BE"/>
        </w:rPr>
      </w:pPr>
      <w:r w:rsidRPr="00753873">
        <w:rPr>
          <w:lang w:val="fr-BE"/>
        </w:rPr>
        <w:t xml:space="preserve">David est devenu président de la Fédération européenne des chiens guides d'aveugles en 2013. Auparavant, il a été directeur financier européen de grandes entreprises telles que Hasbro, Chrysler et Peugeot. Il a été président du Royal National </w:t>
      </w:r>
      <w:proofErr w:type="spellStart"/>
      <w:r w:rsidRPr="00753873">
        <w:rPr>
          <w:lang w:val="fr-BE"/>
        </w:rPr>
        <w:t>College</w:t>
      </w:r>
      <w:proofErr w:type="spellEnd"/>
      <w:r w:rsidRPr="00753873">
        <w:rPr>
          <w:lang w:val="fr-BE"/>
        </w:rPr>
        <w:t xml:space="preserve"> for the Blind au Royaume-Uni pendant 10 ans. </w:t>
      </w:r>
    </w:p>
    <w:p w14:paraId="6743D0C9" w14:textId="77777777" w:rsidR="004358D5" w:rsidRPr="00753873" w:rsidRDefault="004358D5" w:rsidP="004358D5">
      <w:pPr>
        <w:rPr>
          <w:lang w:val="fr-BE"/>
        </w:rPr>
      </w:pPr>
      <w:r w:rsidRPr="00753873">
        <w:rPr>
          <w:lang w:val="fr-BE"/>
        </w:rPr>
        <w:t xml:space="preserve">David est devenu membre du </w:t>
      </w:r>
      <w:proofErr w:type="spellStart"/>
      <w:r w:rsidRPr="00753873">
        <w:rPr>
          <w:lang w:val="fr-BE"/>
        </w:rPr>
        <w:t>Chartered</w:t>
      </w:r>
      <w:proofErr w:type="spellEnd"/>
      <w:r w:rsidRPr="00753873">
        <w:rPr>
          <w:lang w:val="fr-BE"/>
        </w:rPr>
        <w:t xml:space="preserve"> Institute of Management </w:t>
      </w:r>
      <w:proofErr w:type="spellStart"/>
      <w:r w:rsidRPr="00753873">
        <w:rPr>
          <w:lang w:val="fr-BE"/>
        </w:rPr>
        <w:t>Accountants</w:t>
      </w:r>
      <w:proofErr w:type="spellEnd"/>
      <w:r w:rsidRPr="00753873">
        <w:rPr>
          <w:lang w:val="fr-BE"/>
        </w:rPr>
        <w:t xml:space="preserve"> et est un ancien élève de la Warwick Business </w:t>
      </w:r>
      <w:proofErr w:type="spellStart"/>
      <w:r w:rsidRPr="00753873">
        <w:rPr>
          <w:lang w:val="fr-BE"/>
        </w:rPr>
        <w:t>School</w:t>
      </w:r>
      <w:proofErr w:type="spellEnd"/>
      <w:r w:rsidRPr="00753873">
        <w:rPr>
          <w:lang w:val="fr-BE"/>
        </w:rPr>
        <w:t>. Il a eu une carrière internationale réussie dans l'industrie automobile et a dirigé sa propre entreprise pendant de nombreuses années.</w:t>
      </w:r>
    </w:p>
    <w:p w14:paraId="2FAD93F3" w14:textId="77777777" w:rsidR="004358D5" w:rsidRPr="00753873" w:rsidRDefault="004358D5" w:rsidP="004358D5">
      <w:pPr>
        <w:rPr>
          <w:lang w:val="fr-BE"/>
        </w:rPr>
      </w:pPr>
      <w:r w:rsidRPr="00753873">
        <w:rPr>
          <w:lang w:val="fr-BE"/>
        </w:rPr>
        <w:t xml:space="preserve">Il a collecté d'importantes sommes pour des œuvres caritatives, en lançant, en organisant et en participant à des campagnes de collecte de fonds. </w:t>
      </w:r>
    </w:p>
    <w:p w14:paraId="7B606C3D" w14:textId="77777777" w:rsidR="004358D5" w:rsidRPr="00753873" w:rsidRDefault="004358D5" w:rsidP="004358D5">
      <w:pPr>
        <w:pStyle w:val="Heading2"/>
        <w:rPr>
          <w:lang w:val="fr-BE"/>
        </w:rPr>
      </w:pPr>
      <w:r w:rsidRPr="00753873">
        <w:rPr>
          <w:lang w:val="fr-BE"/>
        </w:rPr>
        <w:br w:type="page"/>
      </w:r>
    </w:p>
    <w:p w14:paraId="270F4ABF" w14:textId="1C3A15BB" w:rsidR="009150D3" w:rsidRPr="00753873" w:rsidRDefault="009150D3" w:rsidP="004358D5">
      <w:pPr>
        <w:pStyle w:val="Heading2"/>
        <w:rPr>
          <w:lang w:val="fr-BE"/>
        </w:rPr>
      </w:pPr>
      <w:bookmarkStart w:id="1" w:name="_Annex_2:_Checklist"/>
      <w:bookmarkEnd w:id="1"/>
      <w:r w:rsidRPr="00753873">
        <w:rPr>
          <w:lang w:val="fr-BE"/>
        </w:rPr>
        <w:lastRenderedPageBreak/>
        <w:t xml:space="preserve">Annexe 2 : Liste de contrôle </w:t>
      </w:r>
    </w:p>
    <w:p w14:paraId="5B8B475F" w14:textId="77777777" w:rsidR="004358D5" w:rsidRPr="00753873" w:rsidRDefault="004358D5" w:rsidP="004358D5">
      <w:pPr>
        <w:pStyle w:val="Title"/>
        <w:rPr>
          <w:lang w:val="fr-BE"/>
        </w:rPr>
      </w:pPr>
      <w:r w:rsidRPr="00753873">
        <w:rPr>
          <w:lang w:val="fr-BE"/>
        </w:rPr>
        <w:t>Liste de contrôle pour l'audit interne - EDF</w:t>
      </w:r>
    </w:p>
    <w:p w14:paraId="093DECD2" w14:textId="353B3FAD" w:rsidR="004358D5" w:rsidRPr="00753873" w:rsidRDefault="004358D5" w:rsidP="004358D5">
      <w:pPr>
        <w:pStyle w:val="Heading1"/>
        <w:rPr>
          <w:sz w:val="24"/>
          <w:szCs w:val="24"/>
          <w:lang w:val="fr-BE"/>
        </w:rPr>
      </w:pPr>
      <w:r w:rsidRPr="00753873">
        <w:rPr>
          <w:lang w:val="fr-BE"/>
        </w:rPr>
        <w:t>Pratiques financières générales (pour tous les domaines)</w:t>
      </w:r>
    </w:p>
    <w:p w14:paraId="27B2D795" w14:textId="5A621F36" w:rsidR="004358D5" w:rsidRPr="00753873" w:rsidRDefault="004358D5" w:rsidP="004358D5">
      <w:pPr>
        <w:rPr>
          <w:rFonts w:ascii="Aptos" w:eastAsia="Aptos" w:hAnsi="Aptos" w:cs="Aptos"/>
          <w:lang w:val="fr-BE"/>
        </w:rPr>
      </w:pPr>
      <w:r w:rsidRPr="00753873">
        <w:rPr>
          <w:rFonts w:ascii="Aptos" w:eastAsia="Aptos" w:hAnsi="Aptos" w:cs="Aptos"/>
          <w:lang w:val="fr-BE"/>
        </w:rPr>
        <w:t xml:space="preserve">La politique d'achat et la gestion financière du </w:t>
      </w:r>
      <w:r w:rsidR="00753873">
        <w:rPr>
          <w:rFonts w:ascii="Aptos" w:eastAsia="Aptos" w:hAnsi="Aptos" w:cs="Aptos"/>
          <w:lang w:val="fr-BE"/>
        </w:rPr>
        <w:t>FEPH</w:t>
      </w:r>
      <w:r w:rsidRPr="00753873">
        <w:rPr>
          <w:rFonts w:ascii="Aptos" w:eastAsia="Aptos" w:hAnsi="Aptos" w:cs="Aptos"/>
          <w:lang w:val="fr-BE"/>
        </w:rPr>
        <w:t xml:space="preserve"> sont des références importantes pour cet audit interne. </w:t>
      </w:r>
    </w:p>
    <w:tbl>
      <w:tblPr>
        <w:tblStyle w:val="TableGrid"/>
        <w:tblW w:w="0" w:type="auto"/>
        <w:tblLayout w:type="fixed"/>
        <w:tblLook w:val="06A0" w:firstRow="1" w:lastRow="0" w:firstColumn="1" w:lastColumn="0" w:noHBand="1" w:noVBand="1"/>
      </w:tblPr>
      <w:tblGrid>
        <w:gridCol w:w="3005"/>
        <w:gridCol w:w="3005"/>
        <w:gridCol w:w="3005"/>
      </w:tblGrid>
      <w:tr w:rsidR="004358D5" w14:paraId="276DAA03" w14:textId="77777777">
        <w:trPr>
          <w:trHeight w:val="300"/>
        </w:trPr>
        <w:tc>
          <w:tcPr>
            <w:tcW w:w="3005" w:type="dxa"/>
          </w:tcPr>
          <w:p w14:paraId="130537D0" w14:textId="77777777" w:rsidR="004358D5" w:rsidRPr="00753873" w:rsidRDefault="004358D5">
            <w:pPr>
              <w:rPr>
                <w:lang w:val="fr-BE"/>
              </w:rPr>
            </w:pPr>
            <w:r w:rsidRPr="00753873">
              <w:rPr>
                <w:lang w:val="fr-BE"/>
              </w:rPr>
              <w:t>Élément de la liste de contrôle</w:t>
            </w:r>
          </w:p>
        </w:tc>
        <w:tc>
          <w:tcPr>
            <w:tcW w:w="3005" w:type="dxa"/>
          </w:tcPr>
          <w:p w14:paraId="4A3AE162" w14:textId="77777777" w:rsidR="004358D5" w:rsidRDefault="004358D5">
            <w:r>
              <w:t>Oui/Non</w:t>
            </w:r>
          </w:p>
        </w:tc>
        <w:tc>
          <w:tcPr>
            <w:tcW w:w="3005" w:type="dxa"/>
          </w:tcPr>
          <w:p w14:paraId="4FE536A1" w14:textId="77777777" w:rsidR="004358D5" w:rsidRDefault="004358D5">
            <w:proofErr w:type="spellStart"/>
            <w:r>
              <w:t>Commentaires</w:t>
            </w:r>
            <w:proofErr w:type="spellEnd"/>
          </w:p>
        </w:tc>
      </w:tr>
      <w:tr w:rsidR="004358D5" w:rsidRPr="00753873" w14:paraId="19DE025D" w14:textId="77777777">
        <w:trPr>
          <w:trHeight w:val="300"/>
        </w:trPr>
        <w:tc>
          <w:tcPr>
            <w:tcW w:w="3005" w:type="dxa"/>
          </w:tcPr>
          <w:p w14:paraId="352001AB" w14:textId="77777777" w:rsidR="004358D5" w:rsidRPr="00753873" w:rsidRDefault="004358D5">
            <w:pPr>
              <w:rPr>
                <w:lang w:val="fr-BE"/>
              </w:rPr>
            </w:pPr>
            <w:r w:rsidRPr="00753873">
              <w:rPr>
                <w:lang w:val="fr-BE"/>
              </w:rPr>
              <w:t>Les dépenses sont approuvées au préalable (par exemple, par le biais d'un budget ou d'une autorisation).</w:t>
            </w:r>
          </w:p>
        </w:tc>
        <w:tc>
          <w:tcPr>
            <w:tcW w:w="3005" w:type="dxa"/>
          </w:tcPr>
          <w:p w14:paraId="27ECC906" w14:textId="77777777" w:rsidR="004358D5" w:rsidRPr="00753873" w:rsidRDefault="004358D5">
            <w:pPr>
              <w:rPr>
                <w:lang w:val="fr-BE"/>
              </w:rPr>
            </w:pPr>
          </w:p>
        </w:tc>
        <w:tc>
          <w:tcPr>
            <w:tcW w:w="3005" w:type="dxa"/>
          </w:tcPr>
          <w:p w14:paraId="41E8C518" w14:textId="77777777" w:rsidR="004358D5" w:rsidRPr="00753873" w:rsidRDefault="004358D5">
            <w:pPr>
              <w:rPr>
                <w:lang w:val="fr-BE"/>
              </w:rPr>
            </w:pPr>
          </w:p>
        </w:tc>
      </w:tr>
      <w:tr w:rsidR="004358D5" w:rsidRPr="00753873" w14:paraId="49592969" w14:textId="77777777">
        <w:trPr>
          <w:trHeight w:val="300"/>
        </w:trPr>
        <w:tc>
          <w:tcPr>
            <w:tcW w:w="3005" w:type="dxa"/>
          </w:tcPr>
          <w:p w14:paraId="750D58B0" w14:textId="77777777" w:rsidR="004358D5" w:rsidRPr="00753873" w:rsidRDefault="004358D5">
            <w:pPr>
              <w:rPr>
                <w:lang w:val="fr-BE"/>
              </w:rPr>
            </w:pPr>
            <w:r w:rsidRPr="00753873">
              <w:rPr>
                <w:lang w:val="fr-BE"/>
              </w:rPr>
              <w:t>Les factures/reçus sont collectés et classés conformément aux procédures afin d'être facilement accessibles.</w:t>
            </w:r>
          </w:p>
        </w:tc>
        <w:tc>
          <w:tcPr>
            <w:tcW w:w="3005" w:type="dxa"/>
          </w:tcPr>
          <w:p w14:paraId="1C104CE7" w14:textId="77777777" w:rsidR="004358D5" w:rsidRPr="00753873" w:rsidRDefault="004358D5">
            <w:pPr>
              <w:rPr>
                <w:lang w:val="fr-BE"/>
              </w:rPr>
            </w:pPr>
          </w:p>
        </w:tc>
        <w:tc>
          <w:tcPr>
            <w:tcW w:w="3005" w:type="dxa"/>
          </w:tcPr>
          <w:p w14:paraId="38630239" w14:textId="77777777" w:rsidR="004358D5" w:rsidRPr="00753873" w:rsidRDefault="004358D5">
            <w:pPr>
              <w:rPr>
                <w:lang w:val="fr-BE"/>
              </w:rPr>
            </w:pPr>
          </w:p>
        </w:tc>
      </w:tr>
      <w:tr w:rsidR="004358D5" w:rsidRPr="00753873" w14:paraId="56004F3D" w14:textId="77777777">
        <w:trPr>
          <w:trHeight w:val="300"/>
        </w:trPr>
        <w:tc>
          <w:tcPr>
            <w:tcW w:w="3005" w:type="dxa"/>
          </w:tcPr>
          <w:p w14:paraId="7C967FC7" w14:textId="77777777" w:rsidR="004358D5" w:rsidRPr="00753873" w:rsidRDefault="004358D5">
            <w:pPr>
              <w:rPr>
                <w:lang w:val="fr-BE"/>
              </w:rPr>
            </w:pPr>
            <w:r w:rsidRPr="00753873">
              <w:rPr>
                <w:lang w:val="fr-BE"/>
              </w:rPr>
              <w:t>Les paiements sont effectués par des canaux traçables (virement bancaire, carte de crédit, et non en espèces).</w:t>
            </w:r>
          </w:p>
        </w:tc>
        <w:tc>
          <w:tcPr>
            <w:tcW w:w="3005" w:type="dxa"/>
          </w:tcPr>
          <w:p w14:paraId="34B0DEF1" w14:textId="77777777" w:rsidR="004358D5" w:rsidRPr="00753873" w:rsidRDefault="004358D5">
            <w:pPr>
              <w:rPr>
                <w:lang w:val="fr-BE"/>
              </w:rPr>
            </w:pPr>
          </w:p>
        </w:tc>
        <w:tc>
          <w:tcPr>
            <w:tcW w:w="3005" w:type="dxa"/>
          </w:tcPr>
          <w:p w14:paraId="0065A1E4" w14:textId="77777777" w:rsidR="004358D5" w:rsidRPr="00753873" w:rsidRDefault="004358D5">
            <w:pPr>
              <w:rPr>
                <w:lang w:val="fr-BE"/>
              </w:rPr>
            </w:pPr>
          </w:p>
        </w:tc>
      </w:tr>
      <w:tr w:rsidR="004358D5" w:rsidRPr="00753873" w14:paraId="65C333F9" w14:textId="77777777">
        <w:trPr>
          <w:trHeight w:val="300"/>
        </w:trPr>
        <w:tc>
          <w:tcPr>
            <w:tcW w:w="3005" w:type="dxa"/>
          </w:tcPr>
          <w:p w14:paraId="64ECC5D4" w14:textId="77777777" w:rsidR="004358D5" w:rsidRPr="00753873" w:rsidRDefault="004358D5">
            <w:pPr>
              <w:rPr>
                <w:lang w:val="fr-BE"/>
              </w:rPr>
            </w:pPr>
            <w:r w:rsidRPr="00753873">
              <w:rPr>
                <w:lang w:val="fr-BE"/>
              </w:rPr>
              <w:t>Des contrats ou des accords de service existent le cas échéant</w:t>
            </w:r>
          </w:p>
        </w:tc>
        <w:tc>
          <w:tcPr>
            <w:tcW w:w="3005" w:type="dxa"/>
          </w:tcPr>
          <w:p w14:paraId="6A6E491A" w14:textId="77777777" w:rsidR="004358D5" w:rsidRPr="00753873" w:rsidRDefault="004358D5">
            <w:pPr>
              <w:rPr>
                <w:lang w:val="fr-BE"/>
              </w:rPr>
            </w:pPr>
          </w:p>
        </w:tc>
        <w:tc>
          <w:tcPr>
            <w:tcW w:w="3005" w:type="dxa"/>
          </w:tcPr>
          <w:p w14:paraId="23F76AA6" w14:textId="77777777" w:rsidR="004358D5" w:rsidRPr="00753873" w:rsidRDefault="004358D5">
            <w:pPr>
              <w:rPr>
                <w:lang w:val="fr-BE"/>
              </w:rPr>
            </w:pPr>
          </w:p>
        </w:tc>
      </w:tr>
      <w:tr w:rsidR="004358D5" w:rsidRPr="00753873" w14:paraId="7E8F98AE" w14:textId="77777777">
        <w:trPr>
          <w:trHeight w:val="300"/>
        </w:trPr>
        <w:tc>
          <w:tcPr>
            <w:tcW w:w="3005" w:type="dxa"/>
          </w:tcPr>
          <w:p w14:paraId="0CADD737" w14:textId="77777777" w:rsidR="004358D5" w:rsidRPr="00753873" w:rsidRDefault="004358D5">
            <w:pPr>
              <w:rPr>
                <w:lang w:val="fr-BE"/>
              </w:rPr>
            </w:pPr>
            <w:r w:rsidRPr="00753873">
              <w:rPr>
                <w:lang w:val="fr-BE"/>
              </w:rPr>
              <w:t>Les dépenses sont comptabilisées sous les bons codes budgétaires</w:t>
            </w:r>
          </w:p>
        </w:tc>
        <w:tc>
          <w:tcPr>
            <w:tcW w:w="3005" w:type="dxa"/>
          </w:tcPr>
          <w:p w14:paraId="042600D9" w14:textId="77777777" w:rsidR="004358D5" w:rsidRPr="00753873" w:rsidRDefault="004358D5">
            <w:pPr>
              <w:rPr>
                <w:lang w:val="fr-BE"/>
              </w:rPr>
            </w:pPr>
          </w:p>
        </w:tc>
        <w:tc>
          <w:tcPr>
            <w:tcW w:w="3005" w:type="dxa"/>
          </w:tcPr>
          <w:p w14:paraId="40FB2A39" w14:textId="77777777" w:rsidR="004358D5" w:rsidRPr="00753873" w:rsidRDefault="004358D5">
            <w:pPr>
              <w:rPr>
                <w:lang w:val="fr-BE"/>
              </w:rPr>
            </w:pPr>
          </w:p>
        </w:tc>
      </w:tr>
      <w:tr w:rsidR="004358D5" w:rsidRPr="00753873" w14:paraId="1B2861A0" w14:textId="77777777">
        <w:trPr>
          <w:trHeight w:val="300"/>
        </w:trPr>
        <w:tc>
          <w:tcPr>
            <w:tcW w:w="3005" w:type="dxa"/>
          </w:tcPr>
          <w:p w14:paraId="65E15274" w14:textId="15E06484" w:rsidR="004358D5" w:rsidRPr="00753873" w:rsidRDefault="004358D5">
            <w:pPr>
              <w:rPr>
                <w:lang w:val="fr-BE"/>
              </w:rPr>
            </w:pPr>
            <w:r w:rsidRPr="00753873">
              <w:rPr>
                <w:lang w:val="fr-BE"/>
              </w:rPr>
              <w:t xml:space="preserve">La passation des marchés est conforme à la politique de passation des marchés du </w:t>
            </w:r>
            <w:r w:rsidR="00753873">
              <w:rPr>
                <w:lang w:val="fr-BE"/>
              </w:rPr>
              <w:t>FEPH</w:t>
            </w:r>
          </w:p>
        </w:tc>
        <w:tc>
          <w:tcPr>
            <w:tcW w:w="3005" w:type="dxa"/>
          </w:tcPr>
          <w:p w14:paraId="1025271A" w14:textId="77777777" w:rsidR="004358D5" w:rsidRPr="00753873" w:rsidRDefault="004358D5">
            <w:pPr>
              <w:rPr>
                <w:lang w:val="fr-BE"/>
              </w:rPr>
            </w:pPr>
          </w:p>
        </w:tc>
        <w:tc>
          <w:tcPr>
            <w:tcW w:w="3005" w:type="dxa"/>
          </w:tcPr>
          <w:p w14:paraId="7C59C6B1" w14:textId="77777777" w:rsidR="004358D5" w:rsidRPr="00753873" w:rsidRDefault="004358D5">
            <w:pPr>
              <w:rPr>
                <w:lang w:val="fr-BE"/>
              </w:rPr>
            </w:pPr>
          </w:p>
        </w:tc>
      </w:tr>
    </w:tbl>
    <w:p w14:paraId="7735EB32" w14:textId="77777777" w:rsidR="004358D5" w:rsidRPr="00753873" w:rsidRDefault="004358D5" w:rsidP="004358D5">
      <w:pPr>
        <w:rPr>
          <w:lang w:val="fr-BE"/>
        </w:rPr>
      </w:pPr>
    </w:p>
    <w:p w14:paraId="6A8CE695" w14:textId="5EE82B30" w:rsidR="004358D5" w:rsidRDefault="004358D5" w:rsidP="004358D5">
      <w:pPr>
        <w:pStyle w:val="Heading1"/>
      </w:pPr>
      <w:r>
        <w:t xml:space="preserve">Domaine </w:t>
      </w:r>
      <w:proofErr w:type="spellStart"/>
      <w:r>
        <w:t>clé</w:t>
      </w:r>
      <w:proofErr w:type="spellEnd"/>
      <w:r>
        <w:t xml:space="preserve"> 1 : voyages </w:t>
      </w:r>
    </w:p>
    <w:p w14:paraId="3A76C110" w14:textId="77777777" w:rsidR="004358D5" w:rsidRDefault="004358D5" w:rsidP="004358D5">
      <w:pPr>
        <w:pStyle w:val="NoSpacing"/>
        <w:numPr>
          <w:ilvl w:val="0"/>
          <w:numId w:val="12"/>
        </w:numPr>
      </w:pPr>
      <w:r>
        <w:t>Catherine</w:t>
      </w:r>
    </w:p>
    <w:p w14:paraId="78D961F8" w14:textId="77777777" w:rsidR="004358D5" w:rsidRPr="007D314C" w:rsidRDefault="004358D5" w:rsidP="004358D5">
      <w:pPr>
        <w:pStyle w:val="NoSpacing"/>
      </w:pPr>
    </w:p>
    <w:tbl>
      <w:tblPr>
        <w:tblStyle w:val="TableGrid"/>
        <w:tblW w:w="0" w:type="auto"/>
        <w:tblLayout w:type="fixed"/>
        <w:tblLook w:val="06A0" w:firstRow="1" w:lastRow="0" w:firstColumn="1" w:lastColumn="0" w:noHBand="1" w:noVBand="1"/>
      </w:tblPr>
      <w:tblGrid>
        <w:gridCol w:w="3005"/>
        <w:gridCol w:w="3005"/>
        <w:gridCol w:w="3005"/>
      </w:tblGrid>
      <w:tr w:rsidR="004358D5" w14:paraId="13524921" w14:textId="77777777">
        <w:trPr>
          <w:trHeight w:val="300"/>
        </w:trPr>
        <w:tc>
          <w:tcPr>
            <w:tcW w:w="3005" w:type="dxa"/>
          </w:tcPr>
          <w:p w14:paraId="46905B28" w14:textId="77777777" w:rsidR="004358D5" w:rsidRPr="00753873" w:rsidRDefault="004358D5">
            <w:pPr>
              <w:rPr>
                <w:rFonts w:ascii="Aptos" w:hAnsi="Aptos"/>
                <w:lang w:val="fr-BE"/>
              </w:rPr>
            </w:pPr>
            <w:r w:rsidRPr="00753873">
              <w:rPr>
                <w:rFonts w:ascii="Aptos" w:hAnsi="Aptos"/>
                <w:lang w:val="fr-BE"/>
              </w:rPr>
              <w:lastRenderedPageBreak/>
              <w:t>Élément de la liste de contrôle</w:t>
            </w:r>
          </w:p>
        </w:tc>
        <w:tc>
          <w:tcPr>
            <w:tcW w:w="3005" w:type="dxa"/>
          </w:tcPr>
          <w:p w14:paraId="2B05F54F" w14:textId="77777777" w:rsidR="004358D5" w:rsidRDefault="004358D5">
            <w:pPr>
              <w:rPr>
                <w:rFonts w:ascii="Aptos" w:hAnsi="Aptos"/>
              </w:rPr>
            </w:pPr>
            <w:r w:rsidRPr="0305C915">
              <w:rPr>
                <w:rFonts w:ascii="Aptos" w:hAnsi="Aptos"/>
              </w:rPr>
              <w:t>Oui/Non</w:t>
            </w:r>
          </w:p>
        </w:tc>
        <w:tc>
          <w:tcPr>
            <w:tcW w:w="3005" w:type="dxa"/>
          </w:tcPr>
          <w:p w14:paraId="1EA0A122" w14:textId="77777777" w:rsidR="004358D5" w:rsidRDefault="004358D5">
            <w:pPr>
              <w:rPr>
                <w:rFonts w:ascii="Aptos" w:hAnsi="Aptos"/>
              </w:rPr>
            </w:pPr>
            <w:proofErr w:type="spellStart"/>
            <w:r w:rsidRPr="0305C915">
              <w:rPr>
                <w:rFonts w:ascii="Aptos" w:hAnsi="Aptos"/>
              </w:rPr>
              <w:t>Commentaires</w:t>
            </w:r>
            <w:proofErr w:type="spellEnd"/>
          </w:p>
        </w:tc>
      </w:tr>
      <w:tr w:rsidR="004358D5" w:rsidRPr="00753873" w14:paraId="00D26D42" w14:textId="77777777">
        <w:trPr>
          <w:trHeight w:val="300"/>
        </w:trPr>
        <w:tc>
          <w:tcPr>
            <w:tcW w:w="3005" w:type="dxa"/>
          </w:tcPr>
          <w:p w14:paraId="56CC3E2B" w14:textId="77777777" w:rsidR="004358D5" w:rsidRPr="00753873" w:rsidRDefault="004358D5">
            <w:pPr>
              <w:rPr>
                <w:lang w:val="fr-BE"/>
              </w:rPr>
            </w:pPr>
            <w:r w:rsidRPr="00753873">
              <w:rPr>
                <w:lang w:val="fr-BE"/>
              </w:rPr>
              <w:t>La politique des voyages existe</w:t>
            </w:r>
          </w:p>
        </w:tc>
        <w:tc>
          <w:tcPr>
            <w:tcW w:w="3005" w:type="dxa"/>
          </w:tcPr>
          <w:p w14:paraId="7479E6E3" w14:textId="77777777" w:rsidR="004358D5" w:rsidRPr="00753873" w:rsidRDefault="004358D5">
            <w:pPr>
              <w:rPr>
                <w:lang w:val="fr-BE"/>
              </w:rPr>
            </w:pPr>
          </w:p>
        </w:tc>
        <w:tc>
          <w:tcPr>
            <w:tcW w:w="3005" w:type="dxa"/>
          </w:tcPr>
          <w:p w14:paraId="039B888E" w14:textId="77777777" w:rsidR="004358D5" w:rsidRPr="00753873" w:rsidRDefault="004358D5">
            <w:pPr>
              <w:rPr>
                <w:lang w:val="fr-BE"/>
              </w:rPr>
            </w:pPr>
          </w:p>
        </w:tc>
      </w:tr>
      <w:tr w:rsidR="004358D5" w:rsidRPr="00753873" w14:paraId="631E4517" w14:textId="77777777">
        <w:trPr>
          <w:trHeight w:val="300"/>
        </w:trPr>
        <w:tc>
          <w:tcPr>
            <w:tcW w:w="3005" w:type="dxa"/>
          </w:tcPr>
          <w:p w14:paraId="23B61CE6" w14:textId="3CA15B74" w:rsidR="004358D5" w:rsidRPr="00753873" w:rsidRDefault="004358D5">
            <w:pPr>
              <w:rPr>
                <w:lang w:val="fr-BE"/>
              </w:rPr>
            </w:pPr>
            <w:r w:rsidRPr="00753873">
              <w:rPr>
                <w:lang w:val="fr-BE"/>
              </w:rPr>
              <w:t xml:space="preserve">Tous les voyages sont approuvés au préalable et documentés à l'aide du formulaire d'approbation des voyages du </w:t>
            </w:r>
            <w:r w:rsidR="00753873">
              <w:rPr>
                <w:lang w:val="fr-BE"/>
              </w:rPr>
              <w:t>FEPH</w:t>
            </w:r>
            <w:r w:rsidRPr="00753873">
              <w:rPr>
                <w:lang w:val="fr-BE"/>
              </w:rPr>
              <w:t>, signé par le supérieur hiérarchique et le directeur financier ou le directeur.</w:t>
            </w:r>
          </w:p>
        </w:tc>
        <w:tc>
          <w:tcPr>
            <w:tcW w:w="3005" w:type="dxa"/>
          </w:tcPr>
          <w:p w14:paraId="1C7F6592" w14:textId="77777777" w:rsidR="004358D5" w:rsidRPr="00753873" w:rsidRDefault="004358D5">
            <w:pPr>
              <w:rPr>
                <w:lang w:val="fr-BE"/>
              </w:rPr>
            </w:pPr>
          </w:p>
        </w:tc>
        <w:tc>
          <w:tcPr>
            <w:tcW w:w="3005" w:type="dxa"/>
          </w:tcPr>
          <w:p w14:paraId="5E6851FD" w14:textId="77777777" w:rsidR="004358D5" w:rsidRPr="00753873" w:rsidRDefault="004358D5">
            <w:pPr>
              <w:rPr>
                <w:lang w:val="fr-BE"/>
              </w:rPr>
            </w:pPr>
          </w:p>
        </w:tc>
      </w:tr>
      <w:tr w:rsidR="004358D5" w:rsidRPr="00753873" w14:paraId="72D1EC3B" w14:textId="77777777">
        <w:trPr>
          <w:trHeight w:val="300"/>
        </w:trPr>
        <w:tc>
          <w:tcPr>
            <w:tcW w:w="3005" w:type="dxa"/>
          </w:tcPr>
          <w:p w14:paraId="1B4D745A" w14:textId="77777777" w:rsidR="004358D5" w:rsidRPr="00753873" w:rsidRDefault="004358D5">
            <w:pPr>
              <w:rPr>
                <w:lang w:val="fr-BE"/>
              </w:rPr>
            </w:pPr>
            <w:r w:rsidRPr="00753873">
              <w:rPr>
                <w:lang w:val="fr-BE"/>
              </w:rPr>
              <w:t>Les pièces justificatives (reçus, tickets) sont archivées</w:t>
            </w:r>
          </w:p>
        </w:tc>
        <w:tc>
          <w:tcPr>
            <w:tcW w:w="3005" w:type="dxa"/>
          </w:tcPr>
          <w:p w14:paraId="057550E1" w14:textId="77777777" w:rsidR="004358D5" w:rsidRPr="00753873" w:rsidRDefault="004358D5">
            <w:pPr>
              <w:rPr>
                <w:lang w:val="fr-BE"/>
              </w:rPr>
            </w:pPr>
          </w:p>
        </w:tc>
        <w:tc>
          <w:tcPr>
            <w:tcW w:w="3005" w:type="dxa"/>
          </w:tcPr>
          <w:p w14:paraId="00AC735A" w14:textId="77777777" w:rsidR="004358D5" w:rsidRPr="00753873" w:rsidRDefault="004358D5">
            <w:pPr>
              <w:rPr>
                <w:lang w:val="fr-BE"/>
              </w:rPr>
            </w:pPr>
          </w:p>
        </w:tc>
      </w:tr>
    </w:tbl>
    <w:p w14:paraId="7A607789" w14:textId="77777777" w:rsidR="004358D5" w:rsidRPr="00753873" w:rsidRDefault="004358D5" w:rsidP="004358D5">
      <w:pPr>
        <w:rPr>
          <w:lang w:val="fr-BE"/>
        </w:rPr>
      </w:pPr>
    </w:p>
    <w:p w14:paraId="61D6C1EC" w14:textId="2E14615E" w:rsidR="004358D5" w:rsidRPr="00753873" w:rsidRDefault="004358D5" w:rsidP="004358D5">
      <w:pPr>
        <w:pStyle w:val="Heading1"/>
        <w:rPr>
          <w:lang w:val="fr-BE"/>
        </w:rPr>
      </w:pPr>
      <w:r w:rsidRPr="00753873">
        <w:rPr>
          <w:lang w:val="fr-BE"/>
        </w:rPr>
        <w:t xml:space="preserve">Domaine clé 2 : fournisseur de technologies de l'information  </w:t>
      </w:r>
    </w:p>
    <w:p w14:paraId="06DA5E05" w14:textId="77777777" w:rsidR="004358D5" w:rsidRDefault="004358D5" w:rsidP="004358D5">
      <w:pPr>
        <w:pStyle w:val="NoSpacing"/>
        <w:numPr>
          <w:ilvl w:val="0"/>
          <w:numId w:val="11"/>
        </w:numPr>
      </w:pPr>
      <w:r>
        <w:t>Catherine</w:t>
      </w:r>
    </w:p>
    <w:p w14:paraId="02558CC9" w14:textId="77777777" w:rsidR="004358D5" w:rsidRPr="007D314C" w:rsidRDefault="004358D5" w:rsidP="004358D5">
      <w:pPr>
        <w:pStyle w:val="NoSpacing"/>
        <w:ind w:left="720"/>
      </w:pPr>
    </w:p>
    <w:tbl>
      <w:tblPr>
        <w:tblStyle w:val="TableGrid"/>
        <w:tblW w:w="0" w:type="auto"/>
        <w:tblLayout w:type="fixed"/>
        <w:tblLook w:val="06A0" w:firstRow="1" w:lastRow="0" w:firstColumn="1" w:lastColumn="0" w:noHBand="1" w:noVBand="1"/>
      </w:tblPr>
      <w:tblGrid>
        <w:gridCol w:w="3005"/>
        <w:gridCol w:w="3005"/>
        <w:gridCol w:w="3005"/>
      </w:tblGrid>
      <w:tr w:rsidR="004358D5" w14:paraId="00499B9B" w14:textId="77777777">
        <w:trPr>
          <w:trHeight w:val="300"/>
        </w:trPr>
        <w:tc>
          <w:tcPr>
            <w:tcW w:w="3005" w:type="dxa"/>
          </w:tcPr>
          <w:p w14:paraId="27069984" w14:textId="77777777" w:rsidR="004358D5" w:rsidRPr="00753873" w:rsidRDefault="004358D5">
            <w:pPr>
              <w:rPr>
                <w:rFonts w:ascii="Aptos" w:hAnsi="Aptos"/>
                <w:lang w:val="fr-BE"/>
              </w:rPr>
            </w:pPr>
            <w:r w:rsidRPr="00753873">
              <w:rPr>
                <w:rFonts w:ascii="Aptos" w:hAnsi="Aptos"/>
                <w:lang w:val="fr-BE"/>
              </w:rPr>
              <w:t>Élément de la liste de contrôle</w:t>
            </w:r>
          </w:p>
        </w:tc>
        <w:tc>
          <w:tcPr>
            <w:tcW w:w="3005" w:type="dxa"/>
          </w:tcPr>
          <w:p w14:paraId="433C3406" w14:textId="77777777" w:rsidR="004358D5" w:rsidRDefault="004358D5">
            <w:pPr>
              <w:rPr>
                <w:rFonts w:ascii="Aptos" w:hAnsi="Aptos"/>
              </w:rPr>
            </w:pPr>
            <w:r w:rsidRPr="0305C915">
              <w:rPr>
                <w:rFonts w:ascii="Aptos" w:hAnsi="Aptos"/>
              </w:rPr>
              <w:t>Oui/Non</w:t>
            </w:r>
          </w:p>
        </w:tc>
        <w:tc>
          <w:tcPr>
            <w:tcW w:w="3005" w:type="dxa"/>
          </w:tcPr>
          <w:p w14:paraId="77A49734" w14:textId="77777777" w:rsidR="004358D5" w:rsidRDefault="004358D5">
            <w:pPr>
              <w:rPr>
                <w:rFonts w:ascii="Aptos" w:hAnsi="Aptos"/>
              </w:rPr>
            </w:pPr>
            <w:proofErr w:type="spellStart"/>
            <w:r w:rsidRPr="0305C915">
              <w:rPr>
                <w:rFonts w:ascii="Aptos" w:hAnsi="Aptos"/>
              </w:rPr>
              <w:t>Commentaires</w:t>
            </w:r>
            <w:proofErr w:type="spellEnd"/>
          </w:p>
        </w:tc>
      </w:tr>
      <w:tr w:rsidR="004358D5" w:rsidRPr="00753873" w14:paraId="72C70000" w14:textId="77777777">
        <w:trPr>
          <w:trHeight w:val="300"/>
        </w:trPr>
        <w:tc>
          <w:tcPr>
            <w:tcW w:w="3005" w:type="dxa"/>
          </w:tcPr>
          <w:p w14:paraId="22E34A93" w14:textId="77777777" w:rsidR="004358D5" w:rsidRPr="00753873" w:rsidRDefault="004358D5">
            <w:pPr>
              <w:rPr>
                <w:lang w:val="fr-BE"/>
              </w:rPr>
            </w:pPr>
            <w:r w:rsidRPr="00753873">
              <w:rPr>
                <w:lang w:val="fr-BE"/>
              </w:rPr>
              <w:t>Définition claire de l'étendue des services informatiques</w:t>
            </w:r>
          </w:p>
        </w:tc>
        <w:tc>
          <w:tcPr>
            <w:tcW w:w="3005" w:type="dxa"/>
          </w:tcPr>
          <w:p w14:paraId="04B0A4E7" w14:textId="77777777" w:rsidR="004358D5" w:rsidRPr="00753873" w:rsidRDefault="004358D5">
            <w:pPr>
              <w:rPr>
                <w:lang w:val="fr-BE"/>
              </w:rPr>
            </w:pPr>
          </w:p>
        </w:tc>
        <w:tc>
          <w:tcPr>
            <w:tcW w:w="3005" w:type="dxa"/>
          </w:tcPr>
          <w:p w14:paraId="07B2D5F6" w14:textId="77777777" w:rsidR="004358D5" w:rsidRPr="00753873" w:rsidRDefault="004358D5">
            <w:pPr>
              <w:rPr>
                <w:lang w:val="fr-BE"/>
              </w:rPr>
            </w:pPr>
          </w:p>
        </w:tc>
      </w:tr>
      <w:tr w:rsidR="004358D5" w:rsidRPr="00753873" w14:paraId="1A1312AD" w14:textId="77777777">
        <w:trPr>
          <w:trHeight w:val="300"/>
        </w:trPr>
        <w:tc>
          <w:tcPr>
            <w:tcW w:w="3005" w:type="dxa"/>
          </w:tcPr>
          <w:p w14:paraId="575804B2" w14:textId="77777777" w:rsidR="004358D5" w:rsidRPr="00753873" w:rsidRDefault="004358D5">
            <w:pPr>
              <w:rPr>
                <w:lang w:val="fr-BE"/>
              </w:rPr>
            </w:pPr>
            <w:r w:rsidRPr="00753873">
              <w:rPr>
                <w:lang w:val="fr-BE"/>
              </w:rPr>
              <w:t>Un accord/contrat de service existe avec le fournisseur informatique</w:t>
            </w:r>
          </w:p>
        </w:tc>
        <w:tc>
          <w:tcPr>
            <w:tcW w:w="3005" w:type="dxa"/>
          </w:tcPr>
          <w:p w14:paraId="66B914E0" w14:textId="77777777" w:rsidR="004358D5" w:rsidRPr="00753873" w:rsidRDefault="004358D5">
            <w:pPr>
              <w:rPr>
                <w:lang w:val="fr-BE"/>
              </w:rPr>
            </w:pPr>
          </w:p>
        </w:tc>
        <w:tc>
          <w:tcPr>
            <w:tcW w:w="3005" w:type="dxa"/>
          </w:tcPr>
          <w:p w14:paraId="6562CB03" w14:textId="77777777" w:rsidR="004358D5" w:rsidRPr="00753873" w:rsidRDefault="004358D5">
            <w:pPr>
              <w:rPr>
                <w:lang w:val="fr-BE"/>
              </w:rPr>
            </w:pPr>
          </w:p>
        </w:tc>
      </w:tr>
      <w:tr w:rsidR="004358D5" w:rsidRPr="00753873" w14:paraId="2CF98537" w14:textId="77777777">
        <w:trPr>
          <w:trHeight w:val="300"/>
        </w:trPr>
        <w:tc>
          <w:tcPr>
            <w:tcW w:w="3005" w:type="dxa"/>
          </w:tcPr>
          <w:p w14:paraId="68C02F7E" w14:textId="77777777" w:rsidR="004358D5" w:rsidRPr="00753873" w:rsidRDefault="004358D5">
            <w:pPr>
              <w:rPr>
                <w:lang w:val="fr-BE"/>
              </w:rPr>
            </w:pPr>
            <w:r w:rsidRPr="00753873">
              <w:rPr>
                <w:lang w:val="fr-BE"/>
              </w:rPr>
              <w:t>Les services fournis sont alignés sur les termes du contrat</w:t>
            </w:r>
          </w:p>
        </w:tc>
        <w:tc>
          <w:tcPr>
            <w:tcW w:w="3005" w:type="dxa"/>
          </w:tcPr>
          <w:p w14:paraId="2FEADAE7" w14:textId="77777777" w:rsidR="004358D5" w:rsidRPr="00753873" w:rsidRDefault="004358D5">
            <w:pPr>
              <w:rPr>
                <w:lang w:val="fr-BE"/>
              </w:rPr>
            </w:pPr>
          </w:p>
        </w:tc>
        <w:tc>
          <w:tcPr>
            <w:tcW w:w="3005" w:type="dxa"/>
          </w:tcPr>
          <w:p w14:paraId="5FDC997F" w14:textId="77777777" w:rsidR="004358D5" w:rsidRPr="00753873" w:rsidRDefault="004358D5">
            <w:pPr>
              <w:rPr>
                <w:lang w:val="fr-BE"/>
              </w:rPr>
            </w:pPr>
          </w:p>
        </w:tc>
      </w:tr>
      <w:tr w:rsidR="004358D5" w:rsidRPr="00753873" w14:paraId="6E7FBEC7" w14:textId="77777777">
        <w:trPr>
          <w:trHeight w:val="300"/>
        </w:trPr>
        <w:tc>
          <w:tcPr>
            <w:tcW w:w="3005" w:type="dxa"/>
          </w:tcPr>
          <w:p w14:paraId="7B784DEB" w14:textId="77777777" w:rsidR="004358D5" w:rsidRPr="00753873" w:rsidRDefault="004358D5">
            <w:pPr>
              <w:rPr>
                <w:lang w:val="fr-BE"/>
              </w:rPr>
            </w:pPr>
            <w:r w:rsidRPr="00753873">
              <w:rPr>
                <w:lang w:val="fr-BE"/>
              </w:rPr>
              <w:t xml:space="preserve">Les produits livrables sont documentés </w:t>
            </w:r>
          </w:p>
        </w:tc>
        <w:tc>
          <w:tcPr>
            <w:tcW w:w="3005" w:type="dxa"/>
          </w:tcPr>
          <w:p w14:paraId="51522063" w14:textId="77777777" w:rsidR="004358D5" w:rsidRPr="00753873" w:rsidRDefault="004358D5">
            <w:pPr>
              <w:rPr>
                <w:lang w:val="fr-BE"/>
              </w:rPr>
            </w:pPr>
          </w:p>
        </w:tc>
        <w:tc>
          <w:tcPr>
            <w:tcW w:w="3005" w:type="dxa"/>
          </w:tcPr>
          <w:p w14:paraId="56B16515" w14:textId="77777777" w:rsidR="004358D5" w:rsidRPr="00753873" w:rsidRDefault="004358D5">
            <w:pPr>
              <w:rPr>
                <w:lang w:val="fr-BE"/>
              </w:rPr>
            </w:pPr>
          </w:p>
        </w:tc>
      </w:tr>
      <w:tr w:rsidR="004358D5" w:rsidRPr="00753873" w14:paraId="21DAC20A" w14:textId="77777777">
        <w:trPr>
          <w:trHeight w:val="300"/>
        </w:trPr>
        <w:tc>
          <w:tcPr>
            <w:tcW w:w="3005" w:type="dxa"/>
          </w:tcPr>
          <w:p w14:paraId="35C6C491" w14:textId="77777777" w:rsidR="004358D5" w:rsidRPr="00753873" w:rsidRDefault="004358D5">
            <w:pPr>
              <w:rPr>
                <w:lang w:val="fr-BE"/>
              </w:rPr>
            </w:pPr>
            <w:r w:rsidRPr="00753873">
              <w:rPr>
                <w:lang w:val="fr-BE"/>
              </w:rPr>
              <w:t xml:space="preserve">Les factures correspondent aux services </w:t>
            </w:r>
          </w:p>
        </w:tc>
        <w:tc>
          <w:tcPr>
            <w:tcW w:w="3005" w:type="dxa"/>
          </w:tcPr>
          <w:p w14:paraId="256FB449" w14:textId="77777777" w:rsidR="004358D5" w:rsidRPr="00753873" w:rsidRDefault="004358D5">
            <w:pPr>
              <w:rPr>
                <w:lang w:val="fr-BE"/>
              </w:rPr>
            </w:pPr>
          </w:p>
        </w:tc>
        <w:tc>
          <w:tcPr>
            <w:tcW w:w="3005" w:type="dxa"/>
          </w:tcPr>
          <w:p w14:paraId="4964248B" w14:textId="77777777" w:rsidR="004358D5" w:rsidRPr="00753873" w:rsidRDefault="004358D5">
            <w:pPr>
              <w:rPr>
                <w:lang w:val="fr-BE"/>
              </w:rPr>
            </w:pPr>
          </w:p>
        </w:tc>
      </w:tr>
      <w:tr w:rsidR="004358D5" w:rsidRPr="00753873" w14:paraId="335A336F" w14:textId="77777777">
        <w:trPr>
          <w:trHeight w:val="300"/>
        </w:trPr>
        <w:tc>
          <w:tcPr>
            <w:tcW w:w="3005" w:type="dxa"/>
          </w:tcPr>
          <w:p w14:paraId="6052AF6E" w14:textId="77777777" w:rsidR="004358D5" w:rsidRPr="00753873" w:rsidRDefault="004358D5">
            <w:pPr>
              <w:rPr>
                <w:lang w:val="fr-BE"/>
              </w:rPr>
            </w:pPr>
            <w:r w:rsidRPr="00753873">
              <w:rPr>
                <w:lang w:val="fr-BE"/>
              </w:rPr>
              <w:t xml:space="preserve">Le processus de sélection des fournisseurs est documenté et aligné sur la </w:t>
            </w:r>
            <w:r w:rsidRPr="00753873">
              <w:rPr>
                <w:lang w:val="fr-BE"/>
              </w:rPr>
              <w:lastRenderedPageBreak/>
              <w:t>politique de passation de marchés.</w:t>
            </w:r>
          </w:p>
        </w:tc>
        <w:tc>
          <w:tcPr>
            <w:tcW w:w="3005" w:type="dxa"/>
          </w:tcPr>
          <w:p w14:paraId="5F20F8D5" w14:textId="77777777" w:rsidR="004358D5" w:rsidRPr="00753873" w:rsidRDefault="004358D5">
            <w:pPr>
              <w:rPr>
                <w:lang w:val="fr-BE"/>
              </w:rPr>
            </w:pPr>
          </w:p>
        </w:tc>
        <w:tc>
          <w:tcPr>
            <w:tcW w:w="3005" w:type="dxa"/>
          </w:tcPr>
          <w:p w14:paraId="0EF6F679" w14:textId="77777777" w:rsidR="004358D5" w:rsidRPr="00753873" w:rsidRDefault="004358D5">
            <w:pPr>
              <w:rPr>
                <w:lang w:val="fr-BE"/>
              </w:rPr>
            </w:pPr>
          </w:p>
        </w:tc>
      </w:tr>
      <w:tr w:rsidR="004358D5" w:rsidRPr="00753873" w14:paraId="6509F551" w14:textId="77777777">
        <w:trPr>
          <w:trHeight w:val="300"/>
        </w:trPr>
        <w:tc>
          <w:tcPr>
            <w:tcW w:w="3005" w:type="dxa"/>
          </w:tcPr>
          <w:p w14:paraId="2673FAFF" w14:textId="77777777" w:rsidR="004358D5" w:rsidRPr="00753873" w:rsidRDefault="004358D5">
            <w:pPr>
              <w:rPr>
                <w:lang w:val="fr-BE"/>
              </w:rPr>
            </w:pPr>
            <w:r w:rsidRPr="00753873">
              <w:rPr>
                <w:lang w:val="fr-BE"/>
              </w:rPr>
              <w:t>Les demandes d'assistance ou les problèmes sont enregistrés et suivis</w:t>
            </w:r>
          </w:p>
        </w:tc>
        <w:tc>
          <w:tcPr>
            <w:tcW w:w="3005" w:type="dxa"/>
          </w:tcPr>
          <w:p w14:paraId="4A70E207" w14:textId="77777777" w:rsidR="004358D5" w:rsidRPr="00753873" w:rsidRDefault="004358D5">
            <w:pPr>
              <w:rPr>
                <w:lang w:val="fr-BE"/>
              </w:rPr>
            </w:pPr>
          </w:p>
        </w:tc>
        <w:tc>
          <w:tcPr>
            <w:tcW w:w="3005" w:type="dxa"/>
          </w:tcPr>
          <w:p w14:paraId="679BF4C4" w14:textId="77777777" w:rsidR="004358D5" w:rsidRPr="00753873" w:rsidRDefault="004358D5">
            <w:pPr>
              <w:rPr>
                <w:lang w:val="fr-BE"/>
              </w:rPr>
            </w:pPr>
          </w:p>
        </w:tc>
      </w:tr>
    </w:tbl>
    <w:p w14:paraId="4A1516C4" w14:textId="77777777" w:rsidR="004358D5" w:rsidRPr="00753873" w:rsidRDefault="004358D5" w:rsidP="004358D5">
      <w:pPr>
        <w:rPr>
          <w:lang w:val="fr-BE"/>
        </w:rPr>
      </w:pPr>
    </w:p>
    <w:p w14:paraId="26173E16" w14:textId="10545EFE" w:rsidR="004358D5" w:rsidRPr="00753873" w:rsidRDefault="004358D5" w:rsidP="004358D5">
      <w:pPr>
        <w:pStyle w:val="Heading1"/>
        <w:rPr>
          <w:lang w:val="fr-BE"/>
        </w:rPr>
      </w:pPr>
      <w:r w:rsidRPr="00753873">
        <w:rPr>
          <w:lang w:val="fr-BE"/>
        </w:rPr>
        <w:t xml:space="preserve">Domaine clé 3 : services d'interprétation et de sous-titrage </w:t>
      </w:r>
    </w:p>
    <w:p w14:paraId="64B5A682" w14:textId="77777777" w:rsidR="004358D5" w:rsidRDefault="004358D5" w:rsidP="004358D5">
      <w:pPr>
        <w:pStyle w:val="NoSpacing"/>
        <w:numPr>
          <w:ilvl w:val="0"/>
          <w:numId w:val="9"/>
        </w:numPr>
      </w:pPr>
      <w:r>
        <w:t>Raquel, avec André : CERV</w:t>
      </w:r>
    </w:p>
    <w:p w14:paraId="27C1C53C" w14:textId="77777777" w:rsidR="004358D5" w:rsidRPr="00753873" w:rsidRDefault="004358D5" w:rsidP="004358D5">
      <w:pPr>
        <w:pStyle w:val="NoSpacing"/>
        <w:numPr>
          <w:ilvl w:val="0"/>
          <w:numId w:val="9"/>
        </w:numPr>
        <w:rPr>
          <w:lang w:val="fr-BE"/>
        </w:rPr>
      </w:pPr>
      <w:r w:rsidRPr="00753873">
        <w:rPr>
          <w:lang w:val="fr-BE"/>
        </w:rPr>
        <w:t xml:space="preserve">Phillipa : Donner du pouvoir à l'Ukraine </w:t>
      </w:r>
    </w:p>
    <w:p w14:paraId="4FB859E0" w14:textId="77777777" w:rsidR="004358D5" w:rsidRDefault="004358D5" w:rsidP="004358D5">
      <w:pPr>
        <w:pStyle w:val="NoSpacing"/>
        <w:numPr>
          <w:ilvl w:val="0"/>
          <w:numId w:val="9"/>
        </w:numPr>
      </w:pPr>
      <w:r>
        <w:t xml:space="preserve">Roberta : </w:t>
      </w:r>
      <w:proofErr w:type="spellStart"/>
      <w:r>
        <w:t>Projet</w:t>
      </w:r>
      <w:proofErr w:type="spellEnd"/>
      <w:r>
        <w:t xml:space="preserve"> Google</w:t>
      </w:r>
    </w:p>
    <w:p w14:paraId="6E5CC05D" w14:textId="77777777" w:rsidR="004358D5" w:rsidRPr="00BE670D" w:rsidRDefault="004358D5" w:rsidP="004358D5">
      <w:pPr>
        <w:pStyle w:val="NoSpacing"/>
        <w:ind w:left="720"/>
      </w:pPr>
    </w:p>
    <w:tbl>
      <w:tblPr>
        <w:tblStyle w:val="TableGrid"/>
        <w:tblW w:w="0" w:type="auto"/>
        <w:tblLayout w:type="fixed"/>
        <w:tblLook w:val="06A0" w:firstRow="1" w:lastRow="0" w:firstColumn="1" w:lastColumn="0" w:noHBand="1" w:noVBand="1"/>
      </w:tblPr>
      <w:tblGrid>
        <w:gridCol w:w="3005"/>
        <w:gridCol w:w="3005"/>
        <w:gridCol w:w="3005"/>
      </w:tblGrid>
      <w:tr w:rsidR="004358D5" w14:paraId="6307EB35" w14:textId="77777777">
        <w:trPr>
          <w:trHeight w:val="300"/>
        </w:trPr>
        <w:tc>
          <w:tcPr>
            <w:tcW w:w="3005" w:type="dxa"/>
          </w:tcPr>
          <w:p w14:paraId="774C8F64" w14:textId="77777777" w:rsidR="004358D5" w:rsidRPr="00753873" w:rsidRDefault="004358D5">
            <w:pPr>
              <w:rPr>
                <w:rFonts w:ascii="Aptos" w:hAnsi="Aptos"/>
                <w:lang w:val="fr-BE"/>
              </w:rPr>
            </w:pPr>
            <w:r w:rsidRPr="00753873">
              <w:rPr>
                <w:rFonts w:ascii="Aptos" w:hAnsi="Aptos"/>
                <w:lang w:val="fr-BE"/>
              </w:rPr>
              <w:t>Élément de la liste de contrôle</w:t>
            </w:r>
          </w:p>
        </w:tc>
        <w:tc>
          <w:tcPr>
            <w:tcW w:w="3005" w:type="dxa"/>
          </w:tcPr>
          <w:p w14:paraId="4F25E6D7" w14:textId="77777777" w:rsidR="004358D5" w:rsidRDefault="004358D5">
            <w:pPr>
              <w:rPr>
                <w:rFonts w:ascii="Aptos" w:hAnsi="Aptos"/>
              </w:rPr>
            </w:pPr>
            <w:r w:rsidRPr="0305C915">
              <w:rPr>
                <w:rFonts w:ascii="Aptos" w:hAnsi="Aptos"/>
              </w:rPr>
              <w:t>Oui/Non</w:t>
            </w:r>
          </w:p>
        </w:tc>
        <w:tc>
          <w:tcPr>
            <w:tcW w:w="3005" w:type="dxa"/>
          </w:tcPr>
          <w:p w14:paraId="7C159527" w14:textId="77777777" w:rsidR="004358D5" w:rsidRDefault="004358D5">
            <w:pPr>
              <w:rPr>
                <w:rFonts w:ascii="Aptos" w:hAnsi="Aptos"/>
              </w:rPr>
            </w:pPr>
            <w:proofErr w:type="spellStart"/>
            <w:r w:rsidRPr="0305C915">
              <w:rPr>
                <w:rFonts w:ascii="Aptos" w:hAnsi="Aptos"/>
              </w:rPr>
              <w:t>Commentaires</w:t>
            </w:r>
            <w:proofErr w:type="spellEnd"/>
          </w:p>
        </w:tc>
      </w:tr>
      <w:tr w:rsidR="004358D5" w:rsidRPr="00753873" w14:paraId="1465BE00" w14:textId="77777777">
        <w:trPr>
          <w:trHeight w:val="300"/>
        </w:trPr>
        <w:tc>
          <w:tcPr>
            <w:tcW w:w="3005" w:type="dxa"/>
          </w:tcPr>
          <w:p w14:paraId="41D73BC7" w14:textId="77777777" w:rsidR="004358D5" w:rsidRPr="00753873" w:rsidRDefault="004358D5">
            <w:pPr>
              <w:rPr>
                <w:lang w:val="fr-BE"/>
              </w:rPr>
            </w:pPr>
            <w:r w:rsidRPr="00753873">
              <w:rPr>
                <w:lang w:val="fr-BE"/>
              </w:rPr>
              <w:t>Les contrats précisent le champ d'application, les tarifs et les paires de langues</w:t>
            </w:r>
          </w:p>
        </w:tc>
        <w:tc>
          <w:tcPr>
            <w:tcW w:w="3005" w:type="dxa"/>
          </w:tcPr>
          <w:p w14:paraId="791D0DDE" w14:textId="77777777" w:rsidR="004358D5" w:rsidRPr="00753873" w:rsidRDefault="004358D5">
            <w:pPr>
              <w:rPr>
                <w:lang w:val="fr-BE"/>
              </w:rPr>
            </w:pPr>
          </w:p>
        </w:tc>
        <w:tc>
          <w:tcPr>
            <w:tcW w:w="3005" w:type="dxa"/>
          </w:tcPr>
          <w:p w14:paraId="6AA9EFE9" w14:textId="77777777" w:rsidR="004358D5" w:rsidRPr="00753873" w:rsidRDefault="004358D5">
            <w:pPr>
              <w:rPr>
                <w:lang w:val="fr-BE"/>
              </w:rPr>
            </w:pPr>
          </w:p>
        </w:tc>
      </w:tr>
      <w:tr w:rsidR="004358D5" w:rsidRPr="00753873" w14:paraId="43A84A99" w14:textId="77777777">
        <w:trPr>
          <w:trHeight w:val="300"/>
        </w:trPr>
        <w:tc>
          <w:tcPr>
            <w:tcW w:w="3005" w:type="dxa"/>
          </w:tcPr>
          <w:p w14:paraId="1E36BF3F" w14:textId="77777777" w:rsidR="004358D5" w:rsidRPr="00753873" w:rsidRDefault="004358D5">
            <w:pPr>
              <w:rPr>
                <w:lang w:val="fr-BE"/>
              </w:rPr>
            </w:pPr>
            <w:r w:rsidRPr="00753873">
              <w:rPr>
                <w:lang w:val="fr-BE"/>
              </w:rPr>
              <w:t>Les feuilles de temps ou les produits livrables sont utilisés pour la validation des paiements.</w:t>
            </w:r>
          </w:p>
        </w:tc>
        <w:tc>
          <w:tcPr>
            <w:tcW w:w="3005" w:type="dxa"/>
          </w:tcPr>
          <w:p w14:paraId="3553A509" w14:textId="77777777" w:rsidR="004358D5" w:rsidRPr="00753873" w:rsidRDefault="004358D5">
            <w:pPr>
              <w:rPr>
                <w:lang w:val="fr-BE"/>
              </w:rPr>
            </w:pPr>
          </w:p>
        </w:tc>
        <w:tc>
          <w:tcPr>
            <w:tcW w:w="3005" w:type="dxa"/>
          </w:tcPr>
          <w:p w14:paraId="64EF193E" w14:textId="77777777" w:rsidR="004358D5" w:rsidRPr="00753873" w:rsidRDefault="004358D5">
            <w:pPr>
              <w:rPr>
                <w:lang w:val="fr-BE"/>
              </w:rPr>
            </w:pPr>
          </w:p>
        </w:tc>
      </w:tr>
      <w:tr w:rsidR="004358D5" w:rsidRPr="00753873" w14:paraId="12610D7F" w14:textId="77777777">
        <w:trPr>
          <w:trHeight w:val="300"/>
        </w:trPr>
        <w:tc>
          <w:tcPr>
            <w:tcW w:w="3005" w:type="dxa"/>
          </w:tcPr>
          <w:p w14:paraId="2A4298B7" w14:textId="77777777" w:rsidR="004358D5" w:rsidRPr="00753873" w:rsidRDefault="004358D5">
            <w:pPr>
              <w:rPr>
                <w:lang w:val="fr-BE"/>
              </w:rPr>
            </w:pPr>
            <w:r w:rsidRPr="00753873">
              <w:rPr>
                <w:lang w:val="fr-BE"/>
              </w:rPr>
              <w:t xml:space="preserve">La sélection des interprètes suit une procédure équitable </w:t>
            </w:r>
          </w:p>
        </w:tc>
        <w:tc>
          <w:tcPr>
            <w:tcW w:w="3005" w:type="dxa"/>
          </w:tcPr>
          <w:p w14:paraId="57E962BF" w14:textId="77777777" w:rsidR="004358D5" w:rsidRPr="00753873" w:rsidRDefault="004358D5">
            <w:pPr>
              <w:rPr>
                <w:lang w:val="fr-BE"/>
              </w:rPr>
            </w:pPr>
          </w:p>
        </w:tc>
        <w:tc>
          <w:tcPr>
            <w:tcW w:w="3005" w:type="dxa"/>
          </w:tcPr>
          <w:p w14:paraId="2F7E110E" w14:textId="77777777" w:rsidR="004358D5" w:rsidRPr="00753873" w:rsidRDefault="004358D5">
            <w:pPr>
              <w:rPr>
                <w:lang w:val="fr-BE"/>
              </w:rPr>
            </w:pPr>
          </w:p>
        </w:tc>
      </w:tr>
      <w:tr w:rsidR="004358D5" w:rsidRPr="00753873" w14:paraId="0308C591" w14:textId="77777777">
        <w:trPr>
          <w:trHeight w:val="300"/>
        </w:trPr>
        <w:tc>
          <w:tcPr>
            <w:tcW w:w="3005" w:type="dxa"/>
          </w:tcPr>
          <w:p w14:paraId="304F7896" w14:textId="77777777" w:rsidR="004358D5" w:rsidRPr="00753873" w:rsidRDefault="004358D5">
            <w:pPr>
              <w:rPr>
                <w:lang w:val="fr-BE"/>
              </w:rPr>
            </w:pPr>
            <w:r w:rsidRPr="00753873">
              <w:rPr>
                <w:lang w:val="fr-BE"/>
              </w:rPr>
              <w:t xml:space="preserve">Le budget de l'événement comprend des coûts d'interprétation réalistes </w:t>
            </w:r>
          </w:p>
        </w:tc>
        <w:tc>
          <w:tcPr>
            <w:tcW w:w="3005" w:type="dxa"/>
          </w:tcPr>
          <w:p w14:paraId="73D1D5DA" w14:textId="77777777" w:rsidR="004358D5" w:rsidRPr="00753873" w:rsidRDefault="004358D5">
            <w:pPr>
              <w:rPr>
                <w:lang w:val="fr-BE"/>
              </w:rPr>
            </w:pPr>
          </w:p>
        </w:tc>
        <w:tc>
          <w:tcPr>
            <w:tcW w:w="3005" w:type="dxa"/>
          </w:tcPr>
          <w:p w14:paraId="5405F159" w14:textId="77777777" w:rsidR="004358D5" w:rsidRPr="00753873" w:rsidRDefault="004358D5">
            <w:pPr>
              <w:rPr>
                <w:lang w:val="fr-BE"/>
              </w:rPr>
            </w:pPr>
          </w:p>
        </w:tc>
      </w:tr>
    </w:tbl>
    <w:p w14:paraId="0290042D" w14:textId="77777777" w:rsidR="004358D5" w:rsidRPr="00753873" w:rsidRDefault="004358D5" w:rsidP="004358D5">
      <w:pPr>
        <w:rPr>
          <w:lang w:val="fr-BE"/>
        </w:rPr>
      </w:pPr>
    </w:p>
    <w:p w14:paraId="69FCE42D" w14:textId="242A57FD" w:rsidR="004358D5" w:rsidRDefault="004358D5" w:rsidP="004358D5">
      <w:pPr>
        <w:pStyle w:val="Heading1"/>
      </w:pPr>
      <w:r>
        <w:t xml:space="preserve">Domaine </w:t>
      </w:r>
      <w:proofErr w:type="spellStart"/>
      <w:r>
        <w:t>clé</w:t>
      </w:r>
      <w:proofErr w:type="spellEnd"/>
      <w:r>
        <w:t xml:space="preserve"> 4 : </w:t>
      </w:r>
      <w:proofErr w:type="spellStart"/>
      <w:r>
        <w:t>édition</w:t>
      </w:r>
      <w:proofErr w:type="spellEnd"/>
      <w:r>
        <w:t xml:space="preserve"> et impression </w:t>
      </w:r>
    </w:p>
    <w:p w14:paraId="25CA7B2B" w14:textId="77777777" w:rsidR="004358D5" w:rsidRDefault="004358D5" w:rsidP="004358D5">
      <w:pPr>
        <w:pStyle w:val="NoSpacing"/>
        <w:numPr>
          <w:ilvl w:val="0"/>
          <w:numId w:val="10"/>
        </w:numPr>
      </w:pPr>
      <w:r>
        <w:t>André : CERV</w:t>
      </w:r>
    </w:p>
    <w:p w14:paraId="63E3F73D" w14:textId="77777777" w:rsidR="004358D5" w:rsidRDefault="004358D5" w:rsidP="004358D5">
      <w:pPr>
        <w:pStyle w:val="NoSpacing"/>
        <w:numPr>
          <w:ilvl w:val="0"/>
          <w:numId w:val="10"/>
        </w:numPr>
      </w:pPr>
      <w:r>
        <w:t xml:space="preserve">Phillipa : Donner du </w:t>
      </w:r>
      <w:proofErr w:type="spellStart"/>
      <w:r>
        <w:t>pouvoir</w:t>
      </w:r>
      <w:proofErr w:type="spellEnd"/>
      <w:r>
        <w:t xml:space="preserve"> </w:t>
      </w:r>
    </w:p>
    <w:p w14:paraId="3B90B81A" w14:textId="77777777" w:rsidR="004358D5" w:rsidRDefault="004358D5" w:rsidP="004358D5">
      <w:pPr>
        <w:pStyle w:val="NoSpacing"/>
        <w:numPr>
          <w:ilvl w:val="0"/>
          <w:numId w:val="10"/>
        </w:numPr>
      </w:pPr>
      <w:r>
        <w:t xml:space="preserve">Roberta : </w:t>
      </w:r>
      <w:proofErr w:type="spellStart"/>
      <w:r>
        <w:t>Projet</w:t>
      </w:r>
      <w:proofErr w:type="spellEnd"/>
      <w:r>
        <w:t xml:space="preserve"> Google</w:t>
      </w:r>
    </w:p>
    <w:p w14:paraId="39F38839" w14:textId="77777777" w:rsidR="004358D5" w:rsidRPr="00922E36" w:rsidRDefault="004358D5" w:rsidP="004358D5"/>
    <w:tbl>
      <w:tblPr>
        <w:tblStyle w:val="TableGrid"/>
        <w:tblW w:w="0" w:type="auto"/>
        <w:tblLayout w:type="fixed"/>
        <w:tblLook w:val="06A0" w:firstRow="1" w:lastRow="0" w:firstColumn="1" w:lastColumn="0" w:noHBand="1" w:noVBand="1"/>
      </w:tblPr>
      <w:tblGrid>
        <w:gridCol w:w="3005"/>
        <w:gridCol w:w="3005"/>
        <w:gridCol w:w="3005"/>
      </w:tblGrid>
      <w:tr w:rsidR="004358D5" w14:paraId="23681721" w14:textId="77777777">
        <w:trPr>
          <w:trHeight w:val="300"/>
        </w:trPr>
        <w:tc>
          <w:tcPr>
            <w:tcW w:w="3005" w:type="dxa"/>
          </w:tcPr>
          <w:p w14:paraId="4EBDD72F" w14:textId="77777777" w:rsidR="004358D5" w:rsidRPr="00753873" w:rsidRDefault="004358D5">
            <w:pPr>
              <w:rPr>
                <w:rFonts w:ascii="Aptos" w:hAnsi="Aptos"/>
                <w:lang w:val="fr-BE"/>
              </w:rPr>
            </w:pPr>
            <w:r w:rsidRPr="00753873">
              <w:rPr>
                <w:rFonts w:ascii="Aptos" w:hAnsi="Aptos"/>
                <w:lang w:val="fr-BE"/>
              </w:rPr>
              <w:t>Élément de la liste de contrôle</w:t>
            </w:r>
          </w:p>
        </w:tc>
        <w:tc>
          <w:tcPr>
            <w:tcW w:w="3005" w:type="dxa"/>
          </w:tcPr>
          <w:p w14:paraId="63F5162A" w14:textId="77777777" w:rsidR="004358D5" w:rsidRDefault="004358D5">
            <w:pPr>
              <w:rPr>
                <w:rFonts w:ascii="Aptos" w:hAnsi="Aptos"/>
              </w:rPr>
            </w:pPr>
            <w:r w:rsidRPr="0305C915">
              <w:rPr>
                <w:rFonts w:ascii="Aptos" w:hAnsi="Aptos"/>
              </w:rPr>
              <w:t>Oui/Non</w:t>
            </w:r>
          </w:p>
        </w:tc>
        <w:tc>
          <w:tcPr>
            <w:tcW w:w="3005" w:type="dxa"/>
          </w:tcPr>
          <w:p w14:paraId="4C603F45" w14:textId="77777777" w:rsidR="004358D5" w:rsidRDefault="004358D5">
            <w:pPr>
              <w:rPr>
                <w:rFonts w:ascii="Aptos" w:hAnsi="Aptos"/>
              </w:rPr>
            </w:pPr>
            <w:proofErr w:type="spellStart"/>
            <w:r w:rsidRPr="0305C915">
              <w:rPr>
                <w:rFonts w:ascii="Aptos" w:hAnsi="Aptos"/>
              </w:rPr>
              <w:t>Commentaires</w:t>
            </w:r>
            <w:proofErr w:type="spellEnd"/>
          </w:p>
        </w:tc>
      </w:tr>
      <w:tr w:rsidR="004358D5" w:rsidRPr="00753873" w14:paraId="365313F9" w14:textId="77777777">
        <w:trPr>
          <w:trHeight w:val="300"/>
        </w:trPr>
        <w:tc>
          <w:tcPr>
            <w:tcW w:w="3005" w:type="dxa"/>
          </w:tcPr>
          <w:p w14:paraId="6B4C1764" w14:textId="77777777" w:rsidR="004358D5" w:rsidRPr="00753873" w:rsidRDefault="004358D5">
            <w:pPr>
              <w:rPr>
                <w:lang w:val="fr-BE"/>
              </w:rPr>
            </w:pPr>
            <w:r w:rsidRPr="00753873">
              <w:rPr>
                <w:lang w:val="fr-BE"/>
              </w:rPr>
              <w:lastRenderedPageBreak/>
              <w:t>Les devis sont demandés conformément à notre politique de passation de marchés</w:t>
            </w:r>
          </w:p>
        </w:tc>
        <w:tc>
          <w:tcPr>
            <w:tcW w:w="3005" w:type="dxa"/>
          </w:tcPr>
          <w:p w14:paraId="612A3F54" w14:textId="77777777" w:rsidR="004358D5" w:rsidRPr="00753873" w:rsidRDefault="004358D5">
            <w:pPr>
              <w:rPr>
                <w:lang w:val="fr-BE"/>
              </w:rPr>
            </w:pPr>
          </w:p>
        </w:tc>
        <w:tc>
          <w:tcPr>
            <w:tcW w:w="3005" w:type="dxa"/>
          </w:tcPr>
          <w:p w14:paraId="2CCC57DA" w14:textId="77777777" w:rsidR="004358D5" w:rsidRPr="00753873" w:rsidRDefault="004358D5">
            <w:pPr>
              <w:rPr>
                <w:lang w:val="fr-BE"/>
              </w:rPr>
            </w:pPr>
          </w:p>
        </w:tc>
      </w:tr>
      <w:tr w:rsidR="004358D5" w:rsidRPr="00753873" w14:paraId="1E8DA2A4" w14:textId="77777777">
        <w:trPr>
          <w:trHeight w:val="300"/>
        </w:trPr>
        <w:tc>
          <w:tcPr>
            <w:tcW w:w="3005" w:type="dxa"/>
          </w:tcPr>
          <w:p w14:paraId="2C31FFC4" w14:textId="77777777" w:rsidR="004358D5" w:rsidRPr="00753873" w:rsidRDefault="004358D5">
            <w:pPr>
              <w:rPr>
                <w:lang w:val="fr-BE"/>
              </w:rPr>
            </w:pPr>
            <w:r w:rsidRPr="00753873">
              <w:rPr>
                <w:lang w:val="fr-BE"/>
              </w:rPr>
              <w:t xml:space="preserve">Les épreuves finales sont approuvées avant l'impression </w:t>
            </w:r>
          </w:p>
        </w:tc>
        <w:tc>
          <w:tcPr>
            <w:tcW w:w="3005" w:type="dxa"/>
          </w:tcPr>
          <w:p w14:paraId="152DC08C" w14:textId="77777777" w:rsidR="004358D5" w:rsidRPr="00753873" w:rsidRDefault="004358D5">
            <w:pPr>
              <w:rPr>
                <w:lang w:val="fr-BE"/>
              </w:rPr>
            </w:pPr>
          </w:p>
        </w:tc>
        <w:tc>
          <w:tcPr>
            <w:tcW w:w="3005" w:type="dxa"/>
          </w:tcPr>
          <w:p w14:paraId="17407322" w14:textId="77777777" w:rsidR="004358D5" w:rsidRPr="00753873" w:rsidRDefault="004358D5">
            <w:pPr>
              <w:rPr>
                <w:lang w:val="fr-BE"/>
              </w:rPr>
            </w:pPr>
          </w:p>
        </w:tc>
      </w:tr>
      <w:tr w:rsidR="004358D5" w:rsidRPr="00753873" w14:paraId="230DFCB6" w14:textId="77777777">
        <w:trPr>
          <w:trHeight w:val="300"/>
        </w:trPr>
        <w:tc>
          <w:tcPr>
            <w:tcW w:w="3005" w:type="dxa"/>
          </w:tcPr>
          <w:p w14:paraId="3AA52566" w14:textId="77777777" w:rsidR="004358D5" w:rsidRPr="00753873" w:rsidRDefault="004358D5">
            <w:pPr>
              <w:rPr>
                <w:lang w:val="fr-BE"/>
              </w:rPr>
            </w:pPr>
            <w:r w:rsidRPr="00753873">
              <w:rPr>
                <w:lang w:val="fr-BE"/>
              </w:rPr>
              <w:t>Les coûts correspondent au contrat/au devis (vérifier s'il n'y a pas de surfacturation)</w:t>
            </w:r>
          </w:p>
        </w:tc>
        <w:tc>
          <w:tcPr>
            <w:tcW w:w="3005" w:type="dxa"/>
          </w:tcPr>
          <w:p w14:paraId="6C98A041" w14:textId="77777777" w:rsidR="004358D5" w:rsidRPr="00753873" w:rsidRDefault="004358D5">
            <w:pPr>
              <w:rPr>
                <w:lang w:val="fr-BE"/>
              </w:rPr>
            </w:pPr>
          </w:p>
        </w:tc>
        <w:tc>
          <w:tcPr>
            <w:tcW w:w="3005" w:type="dxa"/>
          </w:tcPr>
          <w:p w14:paraId="3648D487" w14:textId="77777777" w:rsidR="004358D5" w:rsidRPr="00753873" w:rsidRDefault="004358D5">
            <w:pPr>
              <w:rPr>
                <w:lang w:val="fr-BE"/>
              </w:rPr>
            </w:pPr>
          </w:p>
        </w:tc>
      </w:tr>
      <w:tr w:rsidR="004358D5" w:rsidRPr="00753873" w14:paraId="6BDD3A76" w14:textId="77777777">
        <w:trPr>
          <w:trHeight w:val="300"/>
        </w:trPr>
        <w:tc>
          <w:tcPr>
            <w:tcW w:w="3005" w:type="dxa"/>
          </w:tcPr>
          <w:p w14:paraId="6AA49866" w14:textId="77777777" w:rsidR="004358D5" w:rsidRPr="00753873" w:rsidRDefault="004358D5">
            <w:pPr>
              <w:rPr>
                <w:lang w:val="fr-BE"/>
              </w:rPr>
            </w:pPr>
            <w:r w:rsidRPr="00753873">
              <w:rPr>
                <w:lang w:val="fr-BE"/>
              </w:rPr>
              <w:t>La distribution et les quantités sont suivies</w:t>
            </w:r>
          </w:p>
        </w:tc>
        <w:tc>
          <w:tcPr>
            <w:tcW w:w="3005" w:type="dxa"/>
          </w:tcPr>
          <w:p w14:paraId="4777696E" w14:textId="77777777" w:rsidR="004358D5" w:rsidRPr="00753873" w:rsidRDefault="004358D5">
            <w:pPr>
              <w:rPr>
                <w:lang w:val="fr-BE"/>
              </w:rPr>
            </w:pPr>
          </w:p>
        </w:tc>
        <w:tc>
          <w:tcPr>
            <w:tcW w:w="3005" w:type="dxa"/>
          </w:tcPr>
          <w:p w14:paraId="4B147BC6" w14:textId="77777777" w:rsidR="004358D5" w:rsidRPr="00753873" w:rsidRDefault="004358D5">
            <w:pPr>
              <w:rPr>
                <w:lang w:val="fr-BE"/>
              </w:rPr>
            </w:pPr>
          </w:p>
        </w:tc>
      </w:tr>
      <w:tr w:rsidR="004358D5" w:rsidRPr="00753873" w14:paraId="77946A5A" w14:textId="77777777">
        <w:trPr>
          <w:trHeight w:val="300"/>
        </w:trPr>
        <w:tc>
          <w:tcPr>
            <w:tcW w:w="3005" w:type="dxa"/>
          </w:tcPr>
          <w:p w14:paraId="2118B169" w14:textId="77777777" w:rsidR="004358D5" w:rsidRPr="00753873" w:rsidRDefault="004358D5">
            <w:pPr>
              <w:rPr>
                <w:lang w:val="fr-BE"/>
              </w:rPr>
            </w:pPr>
            <w:r w:rsidRPr="00753873">
              <w:rPr>
                <w:lang w:val="fr-BE"/>
              </w:rPr>
              <w:t xml:space="preserve">L'édition numérique inclut le crédit pour le concepteur </w:t>
            </w:r>
          </w:p>
        </w:tc>
        <w:tc>
          <w:tcPr>
            <w:tcW w:w="3005" w:type="dxa"/>
          </w:tcPr>
          <w:p w14:paraId="4B5ADC64" w14:textId="77777777" w:rsidR="004358D5" w:rsidRPr="00753873" w:rsidRDefault="004358D5">
            <w:pPr>
              <w:rPr>
                <w:lang w:val="fr-BE"/>
              </w:rPr>
            </w:pPr>
          </w:p>
        </w:tc>
        <w:tc>
          <w:tcPr>
            <w:tcW w:w="3005" w:type="dxa"/>
          </w:tcPr>
          <w:p w14:paraId="77C5BA99" w14:textId="77777777" w:rsidR="004358D5" w:rsidRPr="00753873" w:rsidRDefault="004358D5">
            <w:pPr>
              <w:rPr>
                <w:lang w:val="fr-BE"/>
              </w:rPr>
            </w:pPr>
          </w:p>
        </w:tc>
      </w:tr>
    </w:tbl>
    <w:p w14:paraId="13C0F8C2" w14:textId="77777777" w:rsidR="004358D5" w:rsidRPr="00753873" w:rsidRDefault="004358D5" w:rsidP="004358D5">
      <w:pPr>
        <w:rPr>
          <w:lang w:val="fr-BE"/>
        </w:rPr>
      </w:pPr>
    </w:p>
    <w:p w14:paraId="6D13D9E7" w14:textId="3551F4D5" w:rsidR="004358D5" w:rsidRPr="00753873" w:rsidRDefault="004358D5" w:rsidP="004358D5">
      <w:pPr>
        <w:pStyle w:val="Heading1"/>
        <w:rPr>
          <w:lang w:val="fr-BE"/>
        </w:rPr>
      </w:pPr>
      <w:r w:rsidRPr="00753873">
        <w:rPr>
          <w:lang w:val="fr-BE"/>
        </w:rPr>
        <w:t xml:space="preserve">Domaine clé 5 : Location d'espaces pour des événements  </w:t>
      </w:r>
    </w:p>
    <w:p w14:paraId="2D9B724C" w14:textId="77777777" w:rsidR="004358D5" w:rsidRPr="00753873" w:rsidRDefault="004358D5" w:rsidP="004358D5">
      <w:pPr>
        <w:pStyle w:val="NoSpacing"/>
        <w:rPr>
          <w:lang w:val="fr-BE"/>
        </w:rPr>
      </w:pPr>
      <w:r w:rsidRPr="00753873">
        <w:rPr>
          <w:lang w:val="fr-BE"/>
        </w:rPr>
        <w:t xml:space="preserve">Raquel : CERV pour AGA </w:t>
      </w:r>
    </w:p>
    <w:p w14:paraId="3F7C9F5B" w14:textId="77777777" w:rsidR="004358D5" w:rsidRPr="00753873" w:rsidRDefault="004358D5" w:rsidP="004358D5">
      <w:pPr>
        <w:pStyle w:val="NoSpacing"/>
        <w:rPr>
          <w:lang w:val="fr-BE"/>
        </w:rPr>
      </w:pPr>
      <w:r w:rsidRPr="00753873">
        <w:rPr>
          <w:lang w:val="fr-BE"/>
        </w:rPr>
        <w:t xml:space="preserve">Roberta : Projet Athena </w:t>
      </w:r>
    </w:p>
    <w:p w14:paraId="2AFA466B" w14:textId="77777777" w:rsidR="004358D5" w:rsidRPr="00753873" w:rsidRDefault="004358D5" w:rsidP="004358D5">
      <w:pPr>
        <w:rPr>
          <w:lang w:val="fr-BE"/>
        </w:rPr>
      </w:pPr>
    </w:p>
    <w:tbl>
      <w:tblPr>
        <w:tblStyle w:val="TableGrid"/>
        <w:tblW w:w="0" w:type="auto"/>
        <w:tblLayout w:type="fixed"/>
        <w:tblLook w:val="06A0" w:firstRow="1" w:lastRow="0" w:firstColumn="1" w:lastColumn="0" w:noHBand="1" w:noVBand="1"/>
      </w:tblPr>
      <w:tblGrid>
        <w:gridCol w:w="3005"/>
        <w:gridCol w:w="3005"/>
        <w:gridCol w:w="3005"/>
      </w:tblGrid>
      <w:tr w:rsidR="004358D5" w14:paraId="26C134A7" w14:textId="77777777">
        <w:trPr>
          <w:trHeight w:val="300"/>
        </w:trPr>
        <w:tc>
          <w:tcPr>
            <w:tcW w:w="3005" w:type="dxa"/>
          </w:tcPr>
          <w:p w14:paraId="5E6C40F9" w14:textId="77777777" w:rsidR="004358D5" w:rsidRPr="00753873" w:rsidRDefault="004358D5">
            <w:pPr>
              <w:rPr>
                <w:rFonts w:ascii="Aptos" w:hAnsi="Aptos"/>
                <w:lang w:val="fr-BE"/>
              </w:rPr>
            </w:pPr>
            <w:r w:rsidRPr="00753873">
              <w:rPr>
                <w:rFonts w:ascii="Aptos" w:hAnsi="Aptos"/>
                <w:lang w:val="fr-BE"/>
              </w:rPr>
              <w:t>Élément de la liste de contrôle</w:t>
            </w:r>
          </w:p>
        </w:tc>
        <w:tc>
          <w:tcPr>
            <w:tcW w:w="3005" w:type="dxa"/>
          </w:tcPr>
          <w:p w14:paraId="7A0582F2" w14:textId="77777777" w:rsidR="004358D5" w:rsidRDefault="004358D5">
            <w:pPr>
              <w:rPr>
                <w:rFonts w:ascii="Aptos" w:hAnsi="Aptos"/>
              </w:rPr>
            </w:pPr>
            <w:r w:rsidRPr="0305C915">
              <w:rPr>
                <w:rFonts w:ascii="Aptos" w:hAnsi="Aptos"/>
              </w:rPr>
              <w:t>Oui/Non</w:t>
            </w:r>
          </w:p>
        </w:tc>
        <w:tc>
          <w:tcPr>
            <w:tcW w:w="3005" w:type="dxa"/>
          </w:tcPr>
          <w:p w14:paraId="407D6CBC" w14:textId="77777777" w:rsidR="004358D5" w:rsidRDefault="004358D5">
            <w:pPr>
              <w:rPr>
                <w:rFonts w:ascii="Aptos" w:hAnsi="Aptos"/>
              </w:rPr>
            </w:pPr>
            <w:proofErr w:type="spellStart"/>
            <w:r w:rsidRPr="0305C915">
              <w:rPr>
                <w:rFonts w:ascii="Aptos" w:hAnsi="Aptos"/>
              </w:rPr>
              <w:t>Commentaires</w:t>
            </w:r>
            <w:proofErr w:type="spellEnd"/>
          </w:p>
        </w:tc>
      </w:tr>
      <w:tr w:rsidR="004358D5" w:rsidRPr="00753873" w14:paraId="7A7FF3D9" w14:textId="77777777">
        <w:trPr>
          <w:trHeight w:val="300"/>
        </w:trPr>
        <w:tc>
          <w:tcPr>
            <w:tcW w:w="3005" w:type="dxa"/>
          </w:tcPr>
          <w:p w14:paraId="5D0DA1AA" w14:textId="0F039110" w:rsidR="004358D5" w:rsidRPr="00753873" w:rsidRDefault="004358D5">
            <w:pPr>
              <w:rPr>
                <w:lang w:val="fr-BE"/>
              </w:rPr>
            </w:pPr>
            <w:r w:rsidRPr="00753873">
              <w:rPr>
                <w:lang w:val="fr-BE"/>
              </w:rPr>
              <w:t xml:space="preserve">Le choix du lieu est justifié et budgétisé conformément à la politique de passation des marchés du </w:t>
            </w:r>
            <w:r w:rsidR="00753873">
              <w:rPr>
                <w:lang w:val="fr-BE"/>
              </w:rPr>
              <w:t>FEPH</w:t>
            </w:r>
            <w:r w:rsidRPr="00753873">
              <w:rPr>
                <w:lang w:val="fr-BE"/>
              </w:rPr>
              <w:t xml:space="preserve">. </w:t>
            </w:r>
          </w:p>
        </w:tc>
        <w:tc>
          <w:tcPr>
            <w:tcW w:w="3005" w:type="dxa"/>
          </w:tcPr>
          <w:p w14:paraId="6EFFDD08" w14:textId="77777777" w:rsidR="004358D5" w:rsidRPr="00753873" w:rsidRDefault="004358D5">
            <w:pPr>
              <w:rPr>
                <w:lang w:val="fr-BE"/>
              </w:rPr>
            </w:pPr>
          </w:p>
        </w:tc>
        <w:tc>
          <w:tcPr>
            <w:tcW w:w="3005" w:type="dxa"/>
          </w:tcPr>
          <w:p w14:paraId="68CF79C9" w14:textId="77777777" w:rsidR="004358D5" w:rsidRPr="00753873" w:rsidRDefault="004358D5">
            <w:pPr>
              <w:rPr>
                <w:lang w:val="fr-BE"/>
              </w:rPr>
            </w:pPr>
          </w:p>
        </w:tc>
      </w:tr>
      <w:tr w:rsidR="004358D5" w:rsidRPr="00753873" w14:paraId="53C9249B" w14:textId="77777777">
        <w:trPr>
          <w:trHeight w:val="300"/>
        </w:trPr>
        <w:tc>
          <w:tcPr>
            <w:tcW w:w="3005" w:type="dxa"/>
          </w:tcPr>
          <w:p w14:paraId="19BAD840" w14:textId="77777777" w:rsidR="004358D5" w:rsidRPr="00753873" w:rsidRDefault="004358D5">
            <w:pPr>
              <w:rPr>
                <w:lang w:val="fr-BE"/>
              </w:rPr>
            </w:pPr>
            <w:r w:rsidRPr="00753873">
              <w:rPr>
                <w:lang w:val="fr-BE"/>
              </w:rPr>
              <w:t>Les contrats comprennent l'annulation, les causes de responsabilité</w:t>
            </w:r>
          </w:p>
        </w:tc>
        <w:tc>
          <w:tcPr>
            <w:tcW w:w="3005" w:type="dxa"/>
          </w:tcPr>
          <w:p w14:paraId="3006D203" w14:textId="77777777" w:rsidR="004358D5" w:rsidRPr="00753873" w:rsidRDefault="004358D5">
            <w:pPr>
              <w:rPr>
                <w:lang w:val="fr-BE"/>
              </w:rPr>
            </w:pPr>
          </w:p>
        </w:tc>
        <w:tc>
          <w:tcPr>
            <w:tcW w:w="3005" w:type="dxa"/>
          </w:tcPr>
          <w:p w14:paraId="10B390DD" w14:textId="77777777" w:rsidR="004358D5" w:rsidRPr="00753873" w:rsidRDefault="004358D5">
            <w:pPr>
              <w:rPr>
                <w:lang w:val="fr-BE"/>
              </w:rPr>
            </w:pPr>
          </w:p>
        </w:tc>
      </w:tr>
      <w:tr w:rsidR="004358D5" w:rsidRPr="00753873" w14:paraId="51DE4C11" w14:textId="77777777">
        <w:trPr>
          <w:trHeight w:val="300"/>
        </w:trPr>
        <w:tc>
          <w:tcPr>
            <w:tcW w:w="3005" w:type="dxa"/>
          </w:tcPr>
          <w:p w14:paraId="668E4298" w14:textId="77777777" w:rsidR="004358D5" w:rsidRPr="00753873" w:rsidRDefault="004358D5">
            <w:pPr>
              <w:rPr>
                <w:lang w:val="fr-BE"/>
              </w:rPr>
            </w:pPr>
            <w:r w:rsidRPr="00753873">
              <w:rPr>
                <w:lang w:val="fr-BE"/>
              </w:rPr>
              <w:t>Les paiements sont effectués en fonction des étapes du contrat</w:t>
            </w:r>
          </w:p>
        </w:tc>
        <w:tc>
          <w:tcPr>
            <w:tcW w:w="3005" w:type="dxa"/>
          </w:tcPr>
          <w:p w14:paraId="7A9DBDD2" w14:textId="77777777" w:rsidR="004358D5" w:rsidRPr="00753873" w:rsidRDefault="004358D5">
            <w:pPr>
              <w:rPr>
                <w:lang w:val="fr-BE"/>
              </w:rPr>
            </w:pPr>
          </w:p>
        </w:tc>
        <w:tc>
          <w:tcPr>
            <w:tcW w:w="3005" w:type="dxa"/>
          </w:tcPr>
          <w:p w14:paraId="1088241E" w14:textId="77777777" w:rsidR="004358D5" w:rsidRPr="00753873" w:rsidRDefault="004358D5">
            <w:pPr>
              <w:rPr>
                <w:lang w:val="fr-BE"/>
              </w:rPr>
            </w:pPr>
          </w:p>
        </w:tc>
      </w:tr>
      <w:tr w:rsidR="004358D5" w:rsidRPr="00753873" w14:paraId="58DC531E" w14:textId="77777777">
        <w:trPr>
          <w:trHeight w:val="300"/>
        </w:trPr>
        <w:tc>
          <w:tcPr>
            <w:tcW w:w="3005" w:type="dxa"/>
          </w:tcPr>
          <w:p w14:paraId="581918B8" w14:textId="77777777" w:rsidR="004358D5" w:rsidRPr="00753873" w:rsidRDefault="004358D5">
            <w:pPr>
              <w:rPr>
                <w:lang w:val="fr-BE"/>
              </w:rPr>
            </w:pPr>
            <w:r w:rsidRPr="00753873">
              <w:rPr>
                <w:lang w:val="fr-BE"/>
              </w:rPr>
              <w:t xml:space="preserve">L'accessibilité et la sécurité sont vérifiées </w:t>
            </w:r>
          </w:p>
        </w:tc>
        <w:tc>
          <w:tcPr>
            <w:tcW w:w="3005" w:type="dxa"/>
          </w:tcPr>
          <w:p w14:paraId="55D61DF0" w14:textId="77777777" w:rsidR="004358D5" w:rsidRPr="00753873" w:rsidRDefault="004358D5">
            <w:pPr>
              <w:rPr>
                <w:lang w:val="fr-BE"/>
              </w:rPr>
            </w:pPr>
          </w:p>
        </w:tc>
        <w:tc>
          <w:tcPr>
            <w:tcW w:w="3005" w:type="dxa"/>
          </w:tcPr>
          <w:p w14:paraId="12476AE3" w14:textId="77777777" w:rsidR="004358D5" w:rsidRPr="00753873" w:rsidRDefault="004358D5">
            <w:pPr>
              <w:rPr>
                <w:lang w:val="fr-BE"/>
              </w:rPr>
            </w:pPr>
          </w:p>
        </w:tc>
      </w:tr>
    </w:tbl>
    <w:p w14:paraId="176D78C6" w14:textId="77777777" w:rsidR="004358D5" w:rsidRPr="00753873" w:rsidRDefault="004358D5" w:rsidP="004358D5">
      <w:pPr>
        <w:rPr>
          <w:lang w:val="fr-BE"/>
        </w:rPr>
      </w:pPr>
    </w:p>
    <w:p w14:paraId="5DBEF35C" w14:textId="77777777" w:rsidR="004358D5" w:rsidRPr="00753873" w:rsidRDefault="004358D5" w:rsidP="004358D5">
      <w:pPr>
        <w:pStyle w:val="Heading1"/>
        <w:rPr>
          <w:lang w:val="fr-BE"/>
        </w:rPr>
      </w:pPr>
      <w:r w:rsidRPr="00753873">
        <w:rPr>
          <w:lang w:val="fr-BE"/>
        </w:rPr>
        <w:lastRenderedPageBreak/>
        <w:t>Domaine clé 6 : la sécurité du système de paie</w:t>
      </w:r>
    </w:p>
    <w:p w14:paraId="018AE971" w14:textId="77777777" w:rsidR="004358D5" w:rsidRPr="00753873" w:rsidRDefault="004358D5" w:rsidP="004358D5">
      <w:pPr>
        <w:rPr>
          <w:lang w:val="fr-BE"/>
        </w:rPr>
      </w:pPr>
      <w:r w:rsidRPr="00753873">
        <w:rPr>
          <w:lang w:val="fr-BE"/>
        </w:rPr>
        <w:t xml:space="preserve">Nos salaires sont gérés de manière indépendante par l'UCM. Actuellement, tous les salaires sont fixés par notre politique qui a été approuvée par l'exécutif. Chaque mois, le rapport de paie est établi et vérifié par deux cadres supérieurs (Marie et Catherine) avant le paiement. Le comptable a accès à tous les détails et a tout enregistré dans les comptes. Les modifications des niveaux de salaire (à l'exception de l'augmentation tous les deux ans après l'évaluation) sont approuvées par le Comité exécutif. </w:t>
      </w:r>
    </w:p>
    <w:p w14:paraId="492A3F6F" w14:textId="77777777" w:rsidR="004358D5" w:rsidRPr="00753873" w:rsidRDefault="004358D5" w:rsidP="004358D5">
      <w:pPr>
        <w:pStyle w:val="Heading1"/>
        <w:rPr>
          <w:lang w:val="fr-BE"/>
        </w:rPr>
      </w:pPr>
      <w:r w:rsidRPr="00753873">
        <w:rPr>
          <w:lang w:val="fr-BE"/>
        </w:rPr>
        <w:t>Domaine clé 7 : Contrôles des dépenses de l'encadrement supérieur</w:t>
      </w:r>
    </w:p>
    <w:p w14:paraId="74D065AE" w14:textId="77777777" w:rsidR="004358D5" w:rsidRPr="00753873" w:rsidRDefault="004358D5" w:rsidP="004358D5">
      <w:pPr>
        <w:rPr>
          <w:lang w:val="fr-BE"/>
        </w:rPr>
      </w:pPr>
      <w:r w:rsidRPr="00753873">
        <w:rPr>
          <w:lang w:val="fr-BE"/>
        </w:rPr>
        <w:t xml:space="preserve">Le président ne réclame que les frais de déplacement pour se rendre aux réunions, comme tous les autres délégués (comme pour les réunions de l'AGA, du conseil d'administration et de l'exécutif). Ces frais sont payés (surtout les frais de voyage) conformément à notre politique de dépenses. Catherine pense que Yannis est payé par le NCDP. Il n'y a pas d'autres dépenses pour le Président. </w:t>
      </w:r>
    </w:p>
    <w:p w14:paraId="79D9C024" w14:textId="469FC803" w:rsidR="004358D5" w:rsidRPr="00753873" w:rsidRDefault="004358D5" w:rsidP="004358D5">
      <w:pPr>
        <w:rPr>
          <w:lang w:val="fr-BE"/>
        </w:rPr>
      </w:pPr>
      <w:r w:rsidRPr="00753873">
        <w:rPr>
          <w:lang w:val="fr-BE"/>
        </w:rPr>
        <w:t xml:space="preserve">La directrice exécutive demande le remboursement des frais de voyage, par exemple pour le COSP à New York l'année dernière. Elle suit le formulaire d'approbation des voyages du personnel, mais la différence est qu'elle dispose d'une carte de crédit du </w:t>
      </w:r>
      <w:r w:rsidR="00753873">
        <w:rPr>
          <w:lang w:val="fr-BE"/>
        </w:rPr>
        <w:t>FEPH</w:t>
      </w:r>
      <w:r w:rsidRPr="00753873">
        <w:rPr>
          <w:lang w:val="fr-BE"/>
        </w:rPr>
        <w:t xml:space="preserve">. La politique en matière de cartes de crédit précise la manière dont cela doit être géré (cela doit être revérifié maintenant sans le directeur financier). </w:t>
      </w:r>
    </w:p>
    <w:p w14:paraId="31AD0FB4" w14:textId="77777777" w:rsidR="004358D5" w:rsidRPr="00753873" w:rsidRDefault="004358D5" w:rsidP="004358D5">
      <w:pPr>
        <w:rPr>
          <w:lang w:val="fr-BE"/>
        </w:rPr>
      </w:pPr>
      <w:r w:rsidRPr="00753873">
        <w:rPr>
          <w:lang w:val="fr-BE"/>
        </w:rPr>
        <w:t>En ce qui concerne le directeur adjoint, il suit exactement la même procédure que les autres membres du personnel (planification des voyages, approbation, remboursement - comme pour les délégués de l'AGA).</w:t>
      </w:r>
    </w:p>
    <w:p w14:paraId="57403226" w14:textId="77777777" w:rsidR="004358D5" w:rsidRPr="00753873" w:rsidRDefault="004358D5" w:rsidP="004358D5">
      <w:pPr>
        <w:rPr>
          <w:lang w:val="fr-BE"/>
        </w:rPr>
      </w:pPr>
    </w:p>
    <w:p w14:paraId="3701CFBD" w14:textId="77777777" w:rsidR="004358D5" w:rsidRPr="00753873" w:rsidRDefault="004358D5" w:rsidP="004358D5">
      <w:pPr>
        <w:rPr>
          <w:lang w:val="fr-BE"/>
        </w:rPr>
      </w:pPr>
    </w:p>
    <w:p w14:paraId="45D4A3B7" w14:textId="77777777" w:rsidR="00913671" w:rsidRPr="00753873" w:rsidRDefault="00913671" w:rsidP="00D90CB9">
      <w:pPr>
        <w:pStyle w:val="ListParagraph"/>
        <w:spacing w:line="256" w:lineRule="auto"/>
        <w:ind w:left="0"/>
        <w:rPr>
          <w:lang w:val="fr-BE"/>
        </w:rPr>
      </w:pPr>
      <w:r w:rsidRPr="00753873">
        <w:rPr>
          <w:lang w:val="fr-BE"/>
        </w:rPr>
        <w:t xml:space="preserve"> </w:t>
      </w:r>
    </w:p>
    <w:sectPr w:rsidR="00913671" w:rsidRPr="00753873" w:rsidSect="008665D4">
      <w:headerReference w:type="default" r:id="rId11"/>
      <w:footerReference w:type="default" r:id="rId12"/>
      <w:pgSz w:w="11906" w:h="16838"/>
      <w:pgMar w:top="2041" w:right="836" w:bottom="1440" w:left="1080" w:header="170"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7FF2" w14:textId="77777777" w:rsidR="00E97374" w:rsidRDefault="00E97374" w:rsidP="00F86167">
      <w:pPr>
        <w:spacing w:after="0" w:line="240" w:lineRule="auto"/>
      </w:pPr>
      <w:r>
        <w:separator/>
      </w:r>
    </w:p>
  </w:endnote>
  <w:endnote w:type="continuationSeparator" w:id="0">
    <w:p w14:paraId="426A0C45" w14:textId="77777777" w:rsidR="00E97374" w:rsidRDefault="00E97374"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7F8D" w14:textId="3376193E" w:rsidR="007D4987" w:rsidRDefault="00651E86" w:rsidP="00CD5671">
    <w:pPr>
      <w:pStyle w:val="Footer"/>
      <w:jc w:val="center"/>
      <w:rPr>
        <w:noProof/>
      </w:rPr>
    </w:pPr>
    <w:r>
      <w:rPr>
        <w:noProof/>
      </w:rPr>
      <w:drawing>
        <wp:anchor distT="0" distB="0" distL="114300" distR="114300" simplePos="0" relativeHeight="251658240" behindDoc="1" locked="0" layoutInCell="1" allowOverlap="1" wp14:anchorId="1BED81BE" wp14:editId="575169EA">
          <wp:simplePos x="0" y="0"/>
          <wp:positionH relativeFrom="column">
            <wp:posOffset>962660</wp:posOffset>
          </wp:positionH>
          <wp:positionV relativeFrom="paragraph">
            <wp:posOffset>244475</wp:posOffset>
          </wp:positionV>
          <wp:extent cx="4406900" cy="476250"/>
          <wp:effectExtent l="0" t="0" r="0" b="0"/>
          <wp:wrapSquare wrapText="bothSides"/>
          <wp:docPr id="17"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F2EB0" w14:textId="77777777" w:rsidR="00E97374" w:rsidRDefault="00E97374" w:rsidP="00F86167">
      <w:pPr>
        <w:spacing w:after="0" w:line="240" w:lineRule="auto"/>
      </w:pPr>
      <w:r>
        <w:separator/>
      </w:r>
    </w:p>
  </w:footnote>
  <w:footnote w:type="continuationSeparator" w:id="0">
    <w:p w14:paraId="3F59B0E8" w14:textId="77777777" w:rsidR="00E97374" w:rsidRDefault="00E97374"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7434" w14:textId="514A6F75" w:rsidR="007D4987" w:rsidRPr="00DB6451" w:rsidRDefault="00651E86" w:rsidP="00DB6451">
    <w:pPr>
      <w:tabs>
        <w:tab w:val="center" w:pos="4320"/>
        <w:tab w:val="right" w:pos="8640"/>
      </w:tabs>
      <w:spacing w:after="0" w:line="240" w:lineRule="auto"/>
      <w:ind w:right="902"/>
      <w:jc w:val="center"/>
      <w:rPr>
        <w:rFonts w:ascii="Open Sans" w:hAnsi="Open Sans"/>
        <w:b/>
        <w:bCs/>
        <w:color w:val="003480"/>
        <w:sz w:val="12"/>
        <w:szCs w:val="12"/>
        <w:lang w:val="en"/>
      </w:rPr>
    </w:pPr>
    <w:r>
      <w:rPr>
        <w:noProof/>
      </w:rPr>
      <w:drawing>
        <wp:anchor distT="0" distB="0" distL="114300" distR="114300" simplePos="0" relativeHeight="251658243" behindDoc="1" locked="0" layoutInCell="1" allowOverlap="1" wp14:anchorId="048AA03A" wp14:editId="3B143CF1">
          <wp:simplePos x="0" y="0"/>
          <wp:positionH relativeFrom="page">
            <wp:posOffset>2932430</wp:posOffset>
          </wp:positionH>
          <wp:positionV relativeFrom="paragraph">
            <wp:posOffset>163830</wp:posOffset>
          </wp:positionV>
          <wp:extent cx="1695450" cy="847725"/>
          <wp:effectExtent l="0" t="0" r="0" b="0"/>
          <wp:wrapTight wrapText="bothSides">
            <wp:wrapPolygon edited="0">
              <wp:start x="0" y="0"/>
              <wp:lineTo x="0" y="21357"/>
              <wp:lineTo x="21357" y="21357"/>
              <wp:lineTo x="21357" y="0"/>
              <wp:lineTo x="0" y="0"/>
            </wp:wrapPolygon>
          </wp:wrapTight>
          <wp:docPr id="21" name="Picture 1" descr="A logo with black and green triangles representing the Lithuani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A logo with black and green triangles representing the Lithuanian Disability For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5531903C" wp14:editId="7430BAD5">
          <wp:simplePos x="0" y="0"/>
          <wp:positionH relativeFrom="margin">
            <wp:posOffset>5417185</wp:posOffset>
          </wp:positionH>
          <wp:positionV relativeFrom="paragraph">
            <wp:posOffset>177165</wp:posOffset>
          </wp:positionV>
          <wp:extent cx="947420" cy="834390"/>
          <wp:effectExtent l="0" t="0" r="0" b="0"/>
          <wp:wrapSquare wrapText="bothSides"/>
          <wp:docPr id="18" name="Picture 6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7420" cy="834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9772C5B" wp14:editId="1993F984">
          <wp:simplePos x="0" y="0"/>
          <wp:positionH relativeFrom="column">
            <wp:posOffset>88265</wp:posOffset>
          </wp:positionH>
          <wp:positionV relativeFrom="paragraph">
            <wp:posOffset>218440</wp:posOffset>
          </wp:positionV>
          <wp:extent cx="715010" cy="793115"/>
          <wp:effectExtent l="0" t="0" r="0" b="0"/>
          <wp:wrapSquare wrapText="bothSides"/>
          <wp:docPr id="19" name="Picture 64"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ogo e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B645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B11B6"/>
    <w:multiLevelType w:val="hybridMultilevel"/>
    <w:tmpl w:val="E9AE39D4"/>
    <w:lvl w:ilvl="0" w:tplc="B11E37B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17D83"/>
    <w:multiLevelType w:val="hybridMultilevel"/>
    <w:tmpl w:val="2654D564"/>
    <w:lvl w:ilvl="0" w:tplc="F09AC528">
      <w:start w:val="1"/>
      <w:numFmt w:val="bullet"/>
      <w:lvlText w:val=""/>
      <w:lvlJc w:val="left"/>
      <w:pPr>
        <w:ind w:left="720" w:hanging="360"/>
      </w:pPr>
      <w:rPr>
        <w:rFonts w:ascii="Symbol" w:hAnsi="Symbol" w:hint="default"/>
      </w:rPr>
    </w:lvl>
    <w:lvl w:ilvl="1" w:tplc="0EC01B5E">
      <w:start w:val="1"/>
      <w:numFmt w:val="bullet"/>
      <w:lvlText w:val="o"/>
      <w:lvlJc w:val="left"/>
      <w:pPr>
        <w:ind w:left="1440" w:hanging="360"/>
      </w:pPr>
      <w:rPr>
        <w:rFonts w:ascii="Courier New" w:hAnsi="Courier New" w:hint="default"/>
      </w:rPr>
    </w:lvl>
    <w:lvl w:ilvl="2" w:tplc="594881C2">
      <w:start w:val="1"/>
      <w:numFmt w:val="bullet"/>
      <w:lvlText w:val=""/>
      <w:lvlJc w:val="left"/>
      <w:pPr>
        <w:ind w:left="2160" w:hanging="360"/>
      </w:pPr>
      <w:rPr>
        <w:rFonts w:ascii="Wingdings" w:hAnsi="Wingdings" w:hint="default"/>
      </w:rPr>
    </w:lvl>
    <w:lvl w:ilvl="3" w:tplc="6F243FC8">
      <w:start w:val="1"/>
      <w:numFmt w:val="bullet"/>
      <w:lvlText w:val=""/>
      <w:lvlJc w:val="left"/>
      <w:pPr>
        <w:ind w:left="2880" w:hanging="360"/>
      </w:pPr>
      <w:rPr>
        <w:rFonts w:ascii="Symbol" w:hAnsi="Symbol" w:hint="default"/>
      </w:rPr>
    </w:lvl>
    <w:lvl w:ilvl="4" w:tplc="292E0E60">
      <w:start w:val="1"/>
      <w:numFmt w:val="bullet"/>
      <w:lvlText w:val="o"/>
      <w:lvlJc w:val="left"/>
      <w:pPr>
        <w:ind w:left="3600" w:hanging="360"/>
      </w:pPr>
      <w:rPr>
        <w:rFonts w:ascii="Courier New" w:hAnsi="Courier New" w:hint="default"/>
      </w:rPr>
    </w:lvl>
    <w:lvl w:ilvl="5" w:tplc="FBC8D130">
      <w:start w:val="1"/>
      <w:numFmt w:val="bullet"/>
      <w:lvlText w:val=""/>
      <w:lvlJc w:val="left"/>
      <w:pPr>
        <w:ind w:left="4320" w:hanging="360"/>
      </w:pPr>
      <w:rPr>
        <w:rFonts w:ascii="Wingdings" w:hAnsi="Wingdings" w:hint="default"/>
      </w:rPr>
    </w:lvl>
    <w:lvl w:ilvl="6" w:tplc="DB4225E6">
      <w:start w:val="1"/>
      <w:numFmt w:val="bullet"/>
      <w:lvlText w:val=""/>
      <w:lvlJc w:val="left"/>
      <w:pPr>
        <w:ind w:left="5040" w:hanging="360"/>
      </w:pPr>
      <w:rPr>
        <w:rFonts w:ascii="Symbol" w:hAnsi="Symbol" w:hint="default"/>
      </w:rPr>
    </w:lvl>
    <w:lvl w:ilvl="7" w:tplc="3132D534">
      <w:start w:val="1"/>
      <w:numFmt w:val="bullet"/>
      <w:lvlText w:val="o"/>
      <w:lvlJc w:val="left"/>
      <w:pPr>
        <w:ind w:left="5760" w:hanging="360"/>
      </w:pPr>
      <w:rPr>
        <w:rFonts w:ascii="Courier New" w:hAnsi="Courier New" w:hint="default"/>
      </w:rPr>
    </w:lvl>
    <w:lvl w:ilvl="8" w:tplc="A9EC6DE8">
      <w:start w:val="1"/>
      <w:numFmt w:val="bullet"/>
      <w:lvlText w:val=""/>
      <w:lvlJc w:val="left"/>
      <w:pPr>
        <w:ind w:left="6480" w:hanging="360"/>
      </w:pPr>
      <w:rPr>
        <w:rFonts w:ascii="Wingdings" w:hAnsi="Wingdings" w:hint="default"/>
      </w:rPr>
    </w:lvl>
  </w:abstractNum>
  <w:abstractNum w:abstractNumId="2" w15:restartNumberingAfterBreak="0">
    <w:nsid w:val="28254331"/>
    <w:multiLevelType w:val="multilevel"/>
    <w:tmpl w:val="F40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5702A"/>
    <w:multiLevelType w:val="hybridMultilevel"/>
    <w:tmpl w:val="BC30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A0028"/>
    <w:multiLevelType w:val="hybridMultilevel"/>
    <w:tmpl w:val="7BB6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7A4FD6"/>
    <w:multiLevelType w:val="hybridMultilevel"/>
    <w:tmpl w:val="FFD07608"/>
    <w:lvl w:ilvl="0" w:tplc="AA7603A0">
      <w:start w:val="1"/>
      <w:numFmt w:val="bullet"/>
      <w:lvlText w:val=""/>
      <w:lvlJc w:val="left"/>
      <w:pPr>
        <w:ind w:left="720" w:hanging="360"/>
      </w:pPr>
      <w:rPr>
        <w:rFonts w:ascii="Symbol" w:hAnsi="Symbol" w:hint="default"/>
      </w:rPr>
    </w:lvl>
    <w:lvl w:ilvl="1" w:tplc="890E4A14">
      <w:start w:val="1"/>
      <w:numFmt w:val="bullet"/>
      <w:lvlText w:val="o"/>
      <w:lvlJc w:val="left"/>
      <w:pPr>
        <w:ind w:left="1440" w:hanging="360"/>
      </w:pPr>
      <w:rPr>
        <w:rFonts w:ascii="Courier New" w:hAnsi="Courier New" w:hint="default"/>
      </w:rPr>
    </w:lvl>
    <w:lvl w:ilvl="2" w:tplc="70A87ECA">
      <w:start w:val="1"/>
      <w:numFmt w:val="bullet"/>
      <w:lvlText w:val=""/>
      <w:lvlJc w:val="left"/>
      <w:pPr>
        <w:ind w:left="2160" w:hanging="360"/>
      </w:pPr>
      <w:rPr>
        <w:rFonts w:ascii="Wingdings" w:hAnsi="Wingdings" w:hint="default"/>
      </w:rPr>
    </w:lvl>
    <w:lvl w:ilvl="3" w:tplc="9AE6E39E">
      <w:start w:val="1"/>
      <w:numFmt w:val="bullet"/>
      <w:lvlText w:val=""/>
      <w:lvlJc w:val="left"/>
      <w:pPr>
        <w:ind w:left="2880" w:hanging="360"/>
      </w:pPr>
      <w:rPr>
        <w:rFonts w:ascii="Symbol" w:hAnsi="Symbol" w:hint="default"/>
      </w:rPr>
    </w:lvl>
    <w:lvl w:ilvl="4" w:tplc="B5FC23DE">
      <w:start w:val="1"/>
      <w:numFmt w:val="bullet"/>
      <w:lvlText w:val="o"/>
      <w:lvlJc w:val="left"/>
      <w:pPr>
        <w:ind w:left="3600" w:hanging="360"/>
      </w:pPr>
      <w:rPr>
        <w:rFonts w:ascii="Courier New" w:hAnsi="Courier New" w:hint="default"/>
      </w:rPr>
    </w:lvl>
    <w:lvl w:ilvl="5" w:tplc="68A85EBE">
      <w:start w:val="1"/>
      <w:numFmt w:val="bullet"/>
      <w:lvlText w:val=""/>
      <w:lvlJc w:val="left"/>
      <w:pPr>
        <w:ind w:left="4320" w:hanging="360"/>
      </w:pPr>
      <w:rPr>
        <w:rFonts w:ascii="Wingdings" w:hAnsi="Wingdings" w:hint="default"/>
      </w:rPr>
    </w:lvl>
    <w:lvl w:ilvl="6" w:tplc="111A4F58">
      <w:start w:val="1"/>
      <w:numFmt w:val="bullet"/>
      <w:lvlText w:val=""/>
      <w:lvlJc w:val="left"/>
      <w:pPr>
        <w:ind w:left="5040" w:hanging="360"/>
      </w:pPr>
      <w:rPr>
        <w:rFonts w:ascii="Symbol" w:hAnsi="Symbol" w:hint="default"/>
      </w:rPr>
    </w:lvl>
    <w:lvl w:ilvl="7" w:tplc="355ECF3E">
      <w:start w:val="1"/>
      <w:numFmt w:val="bullet"/>
      <w:lvlText w:val="o"/>
      <w:lvlJc w:val="left"/>
      <w:pPr>
        <w:ind w:left="5760" w:hanging="360"/>
      </w:pPr>
      <w:rPr>
        <w:rFonts w:ascii="Courier New" w:hAnsi="Courier New" w:hint="default"/>
      </w:rPr>
    </w:lvl>
    <w:lvl w:ilvl="8" w:tplc="35E85DE0">
      <w:start w:val="1"/>
      <w:numFmt w:val="bullet"/>
      <w:lvlText w:val=""/>
      <w:lvlJc w:val="left"/>
      <w:pPr>
        <w:ind w:left="6480" w:hanging="360"/>
      </w:pPr>
      <w:rPr>
        <w:rFonts w:ascii="Wingdings" w:hAnsi="Wingdings" w:hint="default"/>
      </w:rPr>
    </w:lvl>
  </w:abstractNum>
  <w:abstractNum w:abstractNumId="6" w15:restartNumberingAfterBreak="0">
    <w:nsid w:val="424B1F09"/>
    <w:multiLevelType w:val="hybridMultilevel"/>
    <w:tmpl w:val="8B245038"/>
    <w:lvl w:ilvl="0" w:tplc="EAD2166E">
      <w:start w:val="1"/>
      <w:numFmt w:val="bullet"/>
      <w:lvlText w:val=""/>
      <w:lvlJc w:val="left"/>
      <w:pPr>
        <w:ind w:left="720" w:hanging="360"/>
      </w:pPr>
      <w:rPr>
        <w:rFonts w:ascii="Symbol" w:hAnsi="Symbol" w:hint="default"/>
      </w:rPr>
    </w:lvl>
    <w:lvl w:ilvl="1" w:tplc="B8F629DE">
      <w:start w:val="1"/>
      <w:numFmt w:val="bullet"/>
      <w:lvlText w:val="o"/>
      <w:lvlJc w:val="left"/>
      <w:pPr>
        <w:ind w:left="1440" w:hanging="360"/>
      </w:pPr>
      <w:rPr>
        <w:rFonts w:ascii="Courier New" w:hAnsi="Courier New" w:hint="default"/>
      </w:rPr>
    </w:lvl>
    <w:lvl w:ilvl="2" w:tplc="9D287D72">
      <w:start w:val="1"/>
      <w:numFmt w:val="bullet"/>
      <w:lvlText w:val=""/>
      <w:lvlJc w:val="left"/>
      <w:pPr>
        <w:ind w:left="2160" w:hanging="360"/>
      </w:pPr>
      <w:rPr>
        <w:rFonts w:ascii="Wingdings" w:hAnsi="Wingdings" w:hint="default"/>
      </w:rPr>
    </w:lvl>
    <w:lvl w:ilvl="3" w:tplc="09381184">
      <w:start w:val="1"/>
      <w:numFmt w:val="bullet"/>
      <w:lvlText w:val=""/>
      <w:lvlJc w:val="left"/>
      <w:pPr>
        <w:ind w:left="2880" w:hanging="360"/>
      </w:pPr>
      <w:rPr>
        <w:rFonts w:ascii="Symbol" w:hAnsi="Symbol" w:hint="default"/>
      </w:rPr>
    </w:lvl>
    <w:lvl w:ilvl="4" w:tplc="3DDEE99A">
      <w:start w:val="1"/>
      <w:numFmt w:val="bullet"/>
      <w:lvlText w:val="o"/>
      <w:lvlJc w:val="left"/>
      <w:pPr>
        <w:ind w:left="3600" w:hanging="360"/>
      </w:pPr>
      <w:rPr>
        <w:rFonts w:ascii="Courier New" w:hAnsi="Courier New" w:hint="default"/>
      </w:rPr>
    </w:lvl>
    <w:lvl w:ilvl="5" w:tplc="69625FFC">
      <w:start w:val="1"/>
      <w:numFmt w:val="bullet"/>
      <w:lvlText w:val=""/>
      <w:lvlJc w:val="left"/>
      <w:pPr>
        <w:ind w:left="4320" w:hanging="360"/>
      </w:pPr>
      <w:rPr>
        <w:rFonts w:ascii="Wingdings" w:hAnsi="Wingdings" w:hint="default"/>
      </w:rPr>
    </w:lvl>
    <w:lvl w:ilvl="6" w:tplc="BCA0D8F4">
      <w:start w:val="1"/>
      <w:numFmt w:val="bullet"/>
      <w:lvlText w:val=""/>
      <w:lvlJc w:val="left"/>
      <w:pPr>
        <w:ind w:left="5040" w:hanging="360"/>
      </w:pPr>
      <w:rPr>
        <w:rFonts w:ascii="Symbol" w:hAnsi="Symbol" w:hint="default"/>
      </w:rPr>
    </w:lvl>
    <w:lvl w:ilvl="7" w:tplc="89A2825E">
      <w:start w:val="1"/>
      <w:numFmt w:val="bullet"/>
      <w:lvlText w:val="o"/>
      <w:lvlJc w:val="left"/>
      <w:pPr>
        <w:ind w:left="5760" w:hanging="360"/>
      </w:pPr>
      <w:rPr>
        <w:rFonts w:ascii="Courier New" w:hAnsi="Courier New" w:hint="default"/>
      </w:rPr>
    </w:lvl>
    <w:lvl w:ilvl="8" w:tplc="DE4A56C8">
      <w:start w:val="1"/>
      <w:numFmt w:val="bullet"/>
      <w:lvlText w:val=""/>
      <w:lvlJc w:val="left"/>
      <w:pPr>
        <w:ind w:left="6480" w:hanging="360"/>
      </w:pPr>
      <w:rPr>
        <w:rFonts w:ascii="Wingdings" w:hAnsi="Wingdings" w:hint="default"/>
      </w:rPr>
    </w:lvl>
  </w:abstractNum>
  <w:abstractNum w:abstractNumId="7" w15:restartNumberingAfterBreak="0">
    <w:nsid w:val="44DF6D8B"/>
    <w:multiLevelType w:val="multilevel"/>
    <w:tmpl w:val="7F0E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603AB"/>
    <w:multiLevelType w:val="hybridMultilevel"/>
    <w:tmpl w:val="AA4A8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7DE6B58"/>
    <w:multiLevelType w:val="hybridMultilevel"/>
    <w:tmpl w:val="6616CA16"/>
    <w:lvl w:ilvl="0" w:tplc="287A373C">
      <w:start w:val="1"/>
      <w:numFmt w:val="bullet"/>
      <w:lvlText w:val=""/>
      <w:lvlJc w:val="left"/>
      <w:pPr>
        <w:ind w:left="720" w:hanging="360"/>
      </w:pPr>
      <w:rPr>
        <w:rFonts w:ascii="Symbol" w:hAnsi="Symbol" w:hint="default"/>
      </w:rPr>
    </w:lvl>
    <w:lvl w:ilvl="1" w:tplc="5F0E1624">
      <w:start w:val="1"/>
      <w:numFmt w:val="bullet"/>
      <w:lvlText w:val="o"/>
      <w:lvlJc w:val="left"/>
      <w:pPr>
        <w:ind w:left="1440" w:hanging="360"/>
      </w:pPr>
      <w:rPr>
        <w:rFonts w:ascii="Courier New" w:hAnsi="Courier New" w:hint="default"/>
      </w:rPr>
    </w:lvl>
    <w:lvl w:ilvl="2" w:tplc="C34CC3CC">
      <w:start w:val="1"/>
      <w:numFmt w:val="bullet"/>
      <w:lvlText w:val=""/>
      <w:lvlJc w:val="left"/>
      <w:pPr>
        <w:ind w:left="2160" w:hanging="360"/>
      </w:pPr>
      <w:rPr>
        <w:rFonts w:ascii="Wingdings" w:hAnsi="Wingdings" w:hint="default"/>
      </w:rPr>
    </w:lvl>
    <w:lvl w:ilvl="3" w:tplc="F7A8941E">
      <w:start w:val="1"/>
      <w:numFmt w:val="bullet"/>
      <w:lvlText w:val=""/>
      <w:lvlJc w:val="left"/>
      <w:pPr>
        <w:ind w:left="2880" w:hanging="360"/>
      </w:pPr>
      <w:rPr>
        <w:rFonts w:ascii="Symbol" w:hAnsi="Symbol" w:hint="default"/>
      </w:rPr>
    </w:lvl>
    <w:lvl w:ilvl="4" w:tplc="C3148664">
      <w:start w:val="1"/>
      <w:numFmt w:val="bullet"/>
      <w:lvlText w:val="o"/>
      <w:lvlJc w:val="left"/>
      <w:pPr>
        <w:ind w:left="3600" w:hanging="360"/>
      </w:pPr>
      <w:rPr>
        <w:rFonts w:ascii="Courier New" w:hAnsi="Courier New" w:hint="default"/>
      </w:rPr>
    </w:lvl>
    <w:lvl w:ilvl="5" w:tplc="51FCA8D0">
      <w:start w:val="1"/>
      <w:numFmt w:val="bullet"/>
      <w:lvlText w:val=""/>
      <w:lvlJc w:val="left"/>
      <w:pPr>
        <w:ind w:left="4320" w:hanging="360"/>
      </w:pPr>
      <w:rPr>
        <w:rFonts w:ascii="Wingdings" w:hAnsi="Wingdings" w:hint="default"/>
      </w:rPr>
    </w:lvl>
    <w:lvl w:ilvl="6" w:tplc="B8DEB2C6">
      <w:start w:val="1"/>
      <w:numFmt w:val="bullet"/>
      <w:lvlText w:val=""/>
      <w:lvlJc w:val="left"/>
      <w:pPr>
        <w:ind w:left="5040" w:hanging="360"/>
      </w:pPr>
      <w:rPr>
        <w:rFonts w:ascii="Symbol" w:hAnsi="Symbol" w:hint="default"/>
      </w:rPr>
    </w:lvl>
    <w:lvl w:ilvl="7" w:tplc="F0B04D72">
      <w:start w:val="1"/>
      <w:numFmt w:val="bullet"/>
      <w:lvlText w:val="o"/>
      <w:lvlJc w:val="left"/>
      <w:pPr>
        <w:ind w:left="5760" w:hanging="360"/>
      </w:pPr>
      <w:rPr>
        <w:rFonts w:ascii="Courier New" w:hAnsi="Courier New" w:hint="default"/>
      </w:rPr>
    </w:lvl>
    <w:lvl w:ilvl="8" w:tplc="7204874C">
      <w:start w:val="1"/>
      <w:numFmt w:val="bullet"/>
      <w:lvlText w:val=""/>
      <w:lvlJc w:val="left"/>
      <w:pPr>
        <w:ind w:left="6480" w:hanging="360"/>
      </w:pPr>
      <w:rPr>
        <w:rFonts w:ascii="Wingdings" w:hAnsi="Wingdings" w:hint="default"/>
      </w:rPr>
    </w:lvl>
  </w:abstractNum>
  <w:abstractNum w:abstractNumId="11" w15:restartNumberingAfterBreak="0">
    <w:nsid w:val="52456AD6"/>
    <w:multiLevelType w:val="hybridMultilevel"/>
    <w:tmpl w:val="C21E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3743A"/>
    <w:multiLevelType w:val="hybridMultilevel"/>
    <w:tmpl w:val="40C8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D6262C"/>
    <w:multiLevelType w:val="multilevel"/>
    <w:tmpl w:val="3B28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A8A124"/>
    <w:multiLevelType w:val="hybridMultilevel"/>
    <w:tmpl w:val="9CBE91B4"/>
    <w:lvl w:ilvl="0" w:tplc="1ADE0256">
      <w:start w:val="1"/>
      <w:numFmt w:val="bullet"/>
      <w:lvlText w:val=""/>
      <w:lvlJc w:val="left"/>
      <w:pPr>
        <w:ind w:left="720" w:hanging="360"/>
      </w:pPr>
      <w:rPr>
        <w:rFonts w:ascii="Symbol" w:hAnsi="Symbol" w:hint="default"/>
      </w:rPr>
    </w:lvl>
    <w:lvl w:ilvl="1" w:tplc="0F3AA440">
      <w:start w:val="1"/>
      <w:numFmt w:val="bullet"/>
      <w:lvlText w:val="o"/>
      <w:lvlJc w:val="left"/>
      <w:pPr>
        <w:ind w:left="1440" w:hanging="360"/>
      </w:pPr>
      <w:rPr>
        <w:rFonts w:ascii="Courier New" w:hAnsi="Courier New" w:hint="default"/>
      </w:rPr>
    </w:lvl>
    <w:lvl w:ilvl="2" w:tplc="A9A2567E">
      <w:start w:val="1"/>
      <w:numFmt w:val="bullet"/>
      <w:lvlText w:val=""/>
      <w:lvlJc w:val="left"/>
      <w:pPr>
        <w:ind w:left="2160" w:hanging="360"/>
      </w:pPr>
      <w:rPr>
        <w:rFonts w:ascii="Wingdings" w:hAnsi="Wingdings" w:hint="default"/>
      </w:rPr>
    </w:lvl>
    <w:lvl w:ilvl="3" w:tplc="9A8C7146">
      <w:start w:val="1"/>
      <w:numFmt w:val="bullet"/>
      <w:lvlText w:val=""/>
      <w:lvlJc w:val="left"/>
      <w:pPr>
        <w:ind w:left="2880" w:hanging="360"/>
      </w:pPr>
      <w:rPr>
        <w:rFonts w:ascii="Symbol" w:hAnsi="Symbol" w:hint="default"/>
      </w:rPr>
    </w:lvl>
    <w:lvl w:ilvl="4" w:tplc="1518A62C">
      <w:start w:val="1"/>
      <w:numFmt w:val="bullet"/>
      <w:lvlText w:val="o"/>
      <w:lvlJc w:val="left"/>
      <w:pPr>
        <w:ind w:left="3600" w:hanging="360"/>
      </w:pPr>
      <w:rPr>
        <w:rFonts w:ascii="Courier New" w:hAnsi="Courier New" w:hint="default"/>
      </w:rPr>
    </w:lvl>
    <w:lvl w:ilvl="5" w:tplc="53149600">
      <w:start w:val="1"/>
      <w:numFmt w:val="bullet"/>
      <w:lvlText w:val=""/>
      <w:lvlJc w:val="left"/>
      <w:pPr>
        <w:ind w:left="4320" w:hanging="360"/>
      </w:pPr>
      <w:rPr>
        <w:rFonts w:ascii="Wingdings" w:hAnsi="Wingdings" w:hint="default"/>
      </w:rPr>
    </w:lvl>
    <w:lvl w:ilvl="6" w:tplc="16B45BB2">
      <w:start w:val="1"/>
      <w:numFmt w:val="bullet"/>
      <w:lvlText w:val=""/>
      <w:lvlJc w:val="left"/>
      <w:pPr>
        <w:ind w:left="5040" w:hanging="360"/>
      </w:pPr>
      <w:rPr>
        <w:rFonts w:ascii="Symbol" w:hAnsi="Symbol" w:hint="default"/>
      </w:rPr>
    </w:lvl>
    <w:lvl w:ilvl="7" w:tplc="2E1C38AA">
      <w:start w:val="1"/>
      <w:numFmt w:val="bullet"/>
      <w:lvlText w:val="o"/>
      <w:lvlJc w:val="left"/>
      <w:pPr>
        <w:ind w:left="5760" w:hanging="360"/>
      </w:pPr>
      <w:rPr>
        <w:rFonts w:ascii="Courier New" w:hAnsi="Courier New" w:hint="default"/>
      </w:rPr>
    </w:lvl>
    <w:lvl w:ilvl="8" w:tplc="627C8E58">
      <w:start w:val="1"/>
      <w:numFmt w:val="bullet"/>
      <w:lvlText w:val=""/>
      <w:lvlJc w:val="left"/>
      <w:pPr>
        <w:ind w:left="6480" w:hanging="360"/>
      </w:pPr>
      <w:rPr>
        <w:rFonts w:ascii="Wingdings" w:hAnsi="Wingdings" w:hint="default"/>
      </w:rPr>
    </w:lvl>
  </w:abstractNum>
  <w:num w:numId="1" w16cid:durableId="1215770388">
    <w:abstractNumId w:val="9"/>
  </w:num>
  <w:num w:numId="2" w16cid:durableId="1041516760">
    <w:abstractNumId w:val="11"/>
  </w:num>
  <w:num w:numId="3" w16cid:durableId="1089037523">
    <w:abstractNumId w:val="1"/>
  </w:num>
  <w:num w:numId="4" w16cid:durableId="1585068426">
    <w:abstractNumId w:val="5"/>
  </w:num>
  <w:num w:numId="5" w16cid:durableId="234702318">
    <w:abstractNumId w:val="14"/>
  </w:num>
  <w:num w:numId="6" w16cid:durableId="788819554">
    <w:abstractNumId w:val="10"/>
  </w:num>
  <w:num w:numId="7" w16cid:durableId="1731686882">
    <w:abstractNumId w:val="6"/>
  </w:num>
  <w:num w:numId="8" w16cid:durableId="388190173">
    <w:abstractNumId w:val="0"/>
  </w:num>
  <w:num w:numId="9" w16cid:durableId="219369175">
    <w:abstractNumId w:val="8"/>
  </w:num>
  <w:num w:numId="10" w16cid:durableId="1216938104">
    <w:abstractNumId w:val="4"/>
  </w:num>
  <w:num w:numId="11" w16cid:durableId="1269897424">
    <w:abstractNumId w:val="3"/>
  </w:num>
  <w:num w:numId="12" w16cid:durableId="1206872903">
    <w:abstractNumId w:val="12"/>
  </w:num>
  <w:num w:numId="13" w16cid:durableId="658341086">
    <w:abstractNumId w:val="13"/>
  </w:num>
  <w:num w:numId="14" w16cid:durableId="950404830">
    <w:abstractNumId w:val="2"/>
  </w:num>
  <w:num w:numId="15" w16cid:durableId="105732119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116EB"/>
    <w:rsid w:val="0001234B"/>
    <w:rsid w:val="00023AC7"/>
    <w:rsid w:val="0002460E"/>
    <w:rsid w:val="00024E6B"/>
    <w:rsid w:val="0003516B"/>
    <w:rsid w:val="0003787F"/>
    <w:rsid w:val="0004043E"/>
    <w:rsid w:val="000410DE"/>
    <w:rsid w:val="00070B9F"/>
    <w:rsid w:val="000722BC"/>
    <w:rsid w:val="0007636E"/>
    <w:rsid w:val="000831B3"/>
    <w:rsid w:val="00094B7E"/>
    <w:rsid w:val="000A0C1B"/>
    <w:rsid w:val="000A4009"/>
    <w:rsid w:val="000A4D76"/>
    <w:rsid w:val="000B15EF"/>
    <w:rsid w:val="000B6839"/>
    <w:rsid w:val="000B7DBE"/>
    <w:rsid w:val="000D1EFA"/>
    <w:rsid w:val="000D5B4F"/>
    <w:rsid w:val="000D6748"/>
    <w:rsid w:val="000D77E3"/>
    <w:rsid w:val="000E2C61"/>
    <w:rsid w:val="000E3CB7"/>
    <w:rsid w:val="000F195C"/>
    <w:rsid w:val="000F281C"/>
    <w:rsid w:val="000F4513"/>
    <w:rsid w:val="000F615C"/>
    <w:rsid w:val="00102288"/>
    <w:rsid w:val="001051D6"/>
    <w:rsid w:val="0010667D"/>
    <w:rsid w:val="001102D0"/>
    <w:rsid w:val="001132B5"/>
    <w:rsid w:val="00113802"/>
    <w:rsid w:val="00125A6D"/>
    <w:rsid w:val="001322F0"/>
    <w:rsid w:val="001325FD"/>
    <w:rsid w:val="00136BA0"/>
    <w:rsid w:val="00146C15"/>
    <w:rsid w:val="001542F2"/>
    <w:rsid w:val="00154391"/>
    <w:rsid w:val="00165B77"/>
    <w:rsid w:val="00176054"/>
    <w:rsid w:val="0018530D"/>
    <w:rsid w:val="0018534F"/>
    <w:rsid w:val="0019743D"/>
    <w:rsid w:val="001A0CDD"/>
    <w:rsid w:val="001B25D2"/>
    <w:rsid w:val="001B4768"/>
    <w:rsid w:val="001B63FA"/>
    <w:rsid w:val="001C21A5"/>
    <w:rsid w:val="001E2101"/>
    <w:rsid w:val="001F1BA2"/>
    <w:rsid w:val="001F4970"/>
    <w:rsid w:val="00204E44"/>
    <w:rsid w:val="0020510C"/>
    <w:rsid w:val="00211C0D"/>
    <w:rsid w:val="00214A7D"/>
    <w:rsid w:val="00226524"/>
    <w:rsid w:val="002266B1"/>
    <w:rsid w:val="00231000"/>
    <w:rsid w:val="002340A9"/>
    <w:rsid w:val="002404DC"/>
    <w:rsid w:val="00245A9B"/>
    <w:rsid w:val="002563BF"/>
    <w:rsid w:val="00257194"/>
    <w:rsid w:val="002616B5"/>
    <w:rsid w:val="00261B9B"/>
    <w:rsid w:val="00261DA8"/>
    <w:rsid w:val="00270413"/>
    <w:rsid w:val="00270533"/>
    <w:rsid w:val="00270809"/>
    <w:rsid w:val="0027112F"/>
    <w:rsid w:val="002876EB"/>
    <w:rsid w:val="00292B80"/>
    <w:rsid w:val="0029348C"/>
    <w:rsid w:val="002A00D3"/>
    <w:rsid w:val="002A239A"/>
    <w:rsid w:val="002A342E"/>
    <w:rsid w:val="002B0F32"/>
    <w:rsid w:val="002B6372"/>
    <w:rsid w:val="002B6845"/>
    <w:rsid w:val="002C169D"/>
    <w:rsid w:val="002C2530"/>
    <w:rsid w:val="002C3CC4"/>
    <w:rsid w:val="002C7D2D"/>
    <w:rsid w:val="002D0A3F"/>
    <w:rsid w:val="002D554E"/>
    <w:rsid w:val="002E2CCB"/>
    <w:rsid w:val="002E4D06"/>
    <w:rsid w:val="00300EA3"/>
    <w:rsid w:val="00303D90"/>
    <w:rsid w:val="0030775B"/>
    <w:rsid w:val="003236EF"/>
    <w:rsid w:val="00333531"/>
    <w:rsid w:val="00337D49"/>
    <w:rsid w:val="00343764"/>
    <w:rsid w:val="003459EA"/>
    <w:rsid w:val="00356623"/>
    <w:rsid w:val="00361A82"/>
    <w:rsid w:val="003620C9"/>
    <w:rsid w:val="00363B2C"/>
    <w:rsid w:val="0036742E"/>
    <w:rsid w:val="00370623"/>
    <w:rsid w:val="00370645"/>
    <w:rsid w:val="0037765C"/>
    <w:rsid w:val="00382AE7"/>
    <w:rsid w:val="003859DC"/>
    <w:rsid w:val="003A532D"/>
    <w:rsid w:val="003B63DF"/>
    <w:rsid w:val="003C3748"/>
    <w:rsid w:val="003C3ACE"/>
    <w:rsid w:val="003C40FF"/>
    <w:rsid w:val="003C4F36"/>
    <w:rsid w:val="003C64E1"/>
    <w:rsid w:val="003D2A2D"/>
    <w:rsid w:val="003D2CFB"/>
    <w:rsid w:val="003E00A4"/>
    <w:rsid w:val="003E10BC"/>
    <w:rsid w:val="003E377A"/>
    <w:rsid w:val="003E5784"/>
    <w:rsid w:val="003E5961"/>
    <w:rsid w:val="003E6B7F"/>
    <w:rsid w:val="004075AB"/>
    <w:rsid w:val="00407C35"/>
    <w:rsid w:val="00417D10"/>
    <w:rsid w:val="00426D35"/>
    <w:rsid w:val="004346B4"/>
    <w:rsid w:val="004358D5"/>
    <w:rsid w:val="00444755"/>
    <w:rsid w:val="004602B7"/>
    <w:rsid w:val="00463858"/>
    <w:rsid w:val="004656C8"/>
    <w:rsid w:val="00473A9A"/>
    <w:rsid w:val="00476616"/>
    <w:rsid w:val="00490168"/>
    <w:rsid w:val="0049755B"/>
    <w:rsid w:val="00497901"/>
    <w:rsid w:val="004A15D9"/>
    <w:rsid w:val="004B0B31"/>
    <w:rsid w:val="004B18D2"/>
    <w:rsid w:val="004C03DC"/>
    <w:rsid w:val="004C0803"/>
    <w:rsid w:val="004C7574"/>
    <w:rsid w:val="004D1BEC"/>
    <w:rsid w:val="004D3877"/>
    <w:rsid w:val="004E3887"/>
    <w:rsid w:val="004F5810"/>
    <w:rsid w:val="004F642D"/>
    <w:rsid w:val="0050545C"/>
    <w:rsid w:val="0051160D"/>
    <w:rsid w:val="00513137"/>
    <w:rsid w:val="00513A6C"/>
    <w:rsid w:val="00514F5E"/>
    <w:rsid w:val="00515EE3"/>
    <w:rsid w:val="005222BC"/>
    <w:rsid w:val="0052395E"/>
    <w:rsid w:val="00526117"/>
    <w:rsid w:val="005324AC"/>
    <w:rsid w:val="00545853"/>
    <w:rsid w:val="00545FF2"/>
    <w:rsid w:val="00555438"/>
    <w:rsid w:val="00565481"/>
    <w:rsid w:val="00565B87"/>
    <w:rsid w:val="00570620"/>
    <w:rsid w:val="0057090B"/>
    <w:rsid w:val="00573F9F"/>
    <w:rsid w:val="00580BDE"/>
    <w:rsid w:val="00582AC5"/>
    <w:rsid w:val="00584A92"/>
    <w:rsid w:val="005850CA"/>
    <w:rsid w:val="00590546"/>
    <w:rsid w:val="00593A76"/>
    <w:rsid w:val="00593E78"/>
    <w:rsid w:val="00594E33"/>
    <w:rsid w:val="00597397"/>
    <w:rsid w:val="005A1124"/>
    <w:rsid w:val="005B1FBC"/>
    <w:rsid w:val="005C0899"/>
    <w:rsid w:val="005D4AF9"/>
    <w:rsid w:val="005E0D54"/>
    <w:rsid w:val="005E11D8"/>
    <w:rsid w:val="005E1BFB"/>
    <w:rsid w:val="005E48B5"/>
    <w:rsid w:val="005F3F25"/>
    <w:rsid w:val="005F4DEE"/>
    <w:rsid w:val="005F6967"/>
    <w:rsid w:val="005F6D5E"/>
    <w:rsid w:val="005F736E"/>
    <w:rsid w:val="00616DB3"/>
    <w:rsid w:val="00617C22"/>
    <w:rsid w:val="00622826"/>
    <w:rsid w:val="006251BF"/>
    <w:rsid w:val="00627D4D"/>
    <w:rsid w:val="00632F7D"/>
    <w:rsid w:val="00634347"/>
    <w:rsid w:val="00635D11"/>
    <w:rsid w:val="00641766"/>
    <w:rsid w:val="006424F3"/>
    <w:rsid w:val="006504AD"/>
    <w:rsid w:val="00651E86"/>
    <w:rsid w:val="0065386E"/>
    <w:rsid w:val="00655407"/>
    <w:rsid w:val="006569F1"/>
    <w:rsid w:val="006622E5"/>
    <w:rsid w:val="006636F6"/>
    <w:rsid w:val="006737D5"/>
    <w:rsid w:val="006743C9"/>
    <w:rsid w:val="006830B6"/>
    <w:rsid w:val="00696B43"/>
    <w:rsid w:val="006A6684"/>
    <w:rsid w:val="006D22FD"/>
    <w:rsid w:val="006D4C54"/>
    <w:rsid w:val="006D6A16"/>
    <w:rsid w:val="006E027F"/>
    <w:rsid w:val="006E5308"/>
    <w:rsid w:val="006F66E1"/>
    <w:rsid w:val="006F6D94"/>
    <w:rsid w:val="006F7E6C"/>
    <w:rsid w:val="00701544"/>
    <w:rsid w:val="007018A3"/>
    <w:rsid w:val="00701A20"/>
    <w:rsid w:val="00702749"/>
    <w:rsid w:val="00706140"/>
    <w:rsid w:val="0071692E"/>
    <w:rsid w:val="00716A9C"/>
    <w:rsid w:val="00721F26"/>
    <w:rsid w:val="00732024"/>
    <w:rsid w:val="007325A4"/>
    <w:rsid w:val="00735289"/>
    <w:rsid w:val="007523B5"/>
    <w:rsid w:val="00753873"/>
    <w:rsid w:val="00754092"/>
    <w:rsid w:val="00764AD4"/>
    <w:rsid w:val="00766C5C"/>
    <w:rsid w:val="0077255D"/>
    <w:rsid w:val="00772F63"/>
    <w:rsid w:val="00782102"/>
    <w:rsid w:val="007907CC"/>
    <w:rsid w:val="0079470A"/>
    <w:rsid w:val="007948C9"/>
    <w:rsid w:val="00794A00"/>
    <w:rsid w:val="00795209"/>
    <w:rsid w:val="007B2C20"/>
    <w:rsid w:val="007B7E78"/>
    <w:rsid w:val="007C1E5E"/>
    <w:rsid w:val="007C2FFC"/>
    <w:rsid w:val="007D3B33"/>
    <w:rsid w:val="007D4987"/>
    <w:rsid w:val="007D652A"/>
    <w:rsid w:val="007D66AC"/>
    <w:rsid w:val="007D7D32"/>
    <w:rsid w:val="007E3A9C"/>
    <w:rsid w:val="007F7978"/>
    <w:rsid w:val="007F7CEA"/>
    <w:rsid w:val="008015D0"/>
    <w:rsid w:val="00803C21"/>
    <w:rsid w:val="008058DC"/>
    <w:rsid w:val="008131BA"/>
    <w:rsid w:val="008177E5"/>
    <w:rsid w:val="00825148"/>
    <w:rsid w:val="00825AC8"/>
    <w:rsid w:val="00832DB6"/>
    <w:rsid w:val="008377E7"/>
    <w:rsid w:val="00843344"/>
    <w:rsid w:val="0084728B"/>
    <w:rsid w:val="008530D2"/>
    <w:rsid w:val="008567BA"/>
    <w:rsid w:val="008665D4"/>
    <w:rsid w:val="00866610"/>
    <w:rsid w:val="0087596D"/>
    <w:rsid w:val="00875E7E"/>
    <w:rsid w:val="00881DAC"/>
    <w:rsid w:val="00892BF1"/>
    <w:rsid w:val="00893F8C"/>
    <w:rsid w:val="00894F90"/>
    <w:rsid w:val="008A3143"/>
    <w:rsid w:val="008A52FA"/>
    <w:rsid w:val="008B5D98"/>
    <w:rsid w:val="008B73DB"/>
    <w:rsid w:val="008C0261"/>
    <w:rsid w:val="008C2716"/>
    <w:rsid w:val="008C516C"/>
    <w:rsid w:val="008C691B"/>
    <w:rsid w:val="008C7715"/>
    <w:rsid w:val="008D677A"/>
    <w:rsid w:val="008E094E"/>
    <w:rsid w:val="008E2322"/>
    <w:rsid w:val="008E6DAB"/>
    <w:rsid w:val="008F7799"/>
    <w:rsid w:val="009054CB"/>
    <w:rsid w:val="00913671"/>
    <w:rsid w:val="009150D3"/>
    <w:rsid w:val="00926EFF"/>
    <w:rsid w:val="00942007"/>
    <w:rsid w:val="00957BE8"/>
    <w:rsid w:val="009625D0"/>
    <w:rsid w:val="0096586F"/>
    <w:rsid w:val="009661CC"/>
    <w:rsid w:val="00972654"/>
    <w:rsid w:val="00975634"/>
    <w:rsid w:val="009936A8"/>
    <w:rsid w:val="009A0EC2"/>
    <w:rsid w:val="009A181F"/>
    <w:rsid w:val="009A5D9A"/>
    <w:rsid w:val="009A7AB3"/>
    <w:rsid w:val="009B1656"/>
    <w:rsid w:val="009B25D4"/>
    <w:rsid w:val="009B2C93"/>
    <w:rsid w:val="009B5369"/>
    <w:rsid w:val="009C4D39"/>
    <w:rsid w:val="009C6D5E"/>
    <w:rsid w:val="009D4BA6"/>
    <w:rsid w:val="009E0409"/>
    <w:rsid w:val="009E1CC5"/>
    <w:rsid w:val="009E5CC2"/>
    <w:rsid w:val="009F25FF"/>
    <w:rsid w:val="009F28B9"/>
    <w:rsid w:val="00A0171E"/>
    <w:rsid w:val="00A05096"/>
    <w:rsid w:val="00A1768D"/>
    <w:rsid w:val="00A265C6"/>
    <w:rsid w:val="00A27065"/>
    <w:rsid w:val="00A30D35"/>
    <w:rsid w:val="00A324BA"/>
    <w:rsid w:val="00A32808"/>
    <w:rsid w:val="00A33867"/>
    <w:rsid w:val="00A36BFD"/>
    <w:rsid w:val="00A42400"/>
    <w:rsid w:val="00A45BDF"/>
    <w:rsid w:val="00A54144"/>
    <w:rsid w:val="00A5459E"/>
    <w:rsid w:val="00A55F90"/>
    <w:rsid w:val="00A73D0F"/>
    <w:rsid w:val="00A81874"/>
    <w:rsid w:val="00A83CA9"/>
    <w:rsid w:val="00A95446"/>
    <w:rsid w:val="00A97010"/>
    <w:rsid w:val="00AA03D8"/>
    <w:rsid w:val="00AA2787"/>
    <w:rsid w:val="00AA5BC4"/>
    <w:rsid w:val="00AA6FE7"/>
    <w:rsid w:val="00AB0673"/>
    <w:rsid w:val="00AB0E43"/>
    <w:rsid w:val="00AB1F06"/>
    <w:rsid w:val="00AB279C"/>
    <w:rsid w:val="00AB6690"/>
    <w:rsid w:val="00AB7675"/>
    <w:rsid w:val="00AC025E"/>
    <w:rsid w:val="00AC0B43"/>
    <w:rsid w:val="00AD03B3"/>
    <w:rsid w:val="00AD1438"/>
    <w:rsid w:val="00AD1746"/>
    <w:rsid w:val="00AD48E5"/>
    <w:rsid w:val="00AD72B6"/>
    <w:rsid w:val="00AD7807"/>
    <w:rsid w:val="00AE22DB"/>
    <w:rsid w:val="00AE3FE3"/>
    <w:rsid w:val="00AE7ABC"/>
    <w:rsid w:val="00AF5964"/>
    <w:rsid w:val="00B03492"/>
    <w:rsid w:val="00B12225"/>
    <w:rsid w:val="00B17193"/>
    <w:rsid w:val="00B17338"/>
    <w:rsid w:val="00B27EA5"/>
    <w:rsid w:val="00B307C9"/>
    <w:rsid w:val="00B467DD"/>
    <w:rsid w:val="00B5105B"/>
    <w:rsid w:val="00B54215"/>
    <w:rsid w:val="00B62799"/>
    <w:rsid w:val="00B62CD4"/>
    <w:rsid w:val="00B632AF"/>
    <w:rsid w:val="00B643D7"/>
    <w:rsid w:val="00B6452E"/>
    <w:rsid w:val="00B6554E"/>
    <w:rsid w:val="00B73510"/>
    <w:rsid w:val="00B7628F"/>
    <w:rsid w:val="00B84C2C"/>
    <w:rsid w:val="00B92D67"/>
    <w:rsid w:val="00BA3332"/>
    <w:rsid w:val="00BB3110"/>
    <w:rsid w:val="00BE1B03"/>
    <w:rsid w:val="00BE2708"/>
    <w:rsid w:val="00BF105F"/>
    <w:rsid w:val="00BF4A02"/>
    <w:rsid w:val="00C200F7"/>
    <w:rsid w:val="00C20F4C"/>
    <w:rsid w:val="00C2120F"/>
    <w:rsid w:val="00C31972"/>
    <w:rsid w:val="00C36B74"/>
    <w:rsid w:val="00C36E13"/>
    <w:rsid w:val="00C518E3"/>
    <w:rsid w:val="00C5465A"/>
    <w:rsid w:val="00C6729F"/>
    <w:rsid w:val="00C74721"/>
    <w:rsid w:val="00C755F8"/>
    <w:rsid w:val="00C9246D"/>
    <w:rsid w:val="00CA183A"/>
    <w:rsid w:val="00CA3E46"/>
    <w:rsid w:val="00CA4078"/>
    <w:rsid w:val="00CB360E"/>
    <w:rsid w:val="00CC3B17"/>
    <w:rsid w:val="00CC5BE7"/>
    <w:rsid w:val="00CC6803"/>
    <w:rsid w:val="00CD1D02"/>
    <w:rsid w:val="00CD5671"/>
    <w:rsid w:val="00CE144E"/>
    <w:rsid w:val="00D003B4"/>
    <w:rsid w:val="00D01BEF"/>
    <w:rsid w:val="00D02932"/>
    <w:rsid w:val="00D03008"/>
    <w:rsid w:val="00D06189"/>
    <w:rsid w:val="00D1320A"/>
    <w:rsid w:val="00D13794"/>
    <w:rsid w:val="00D25D09"/>
    <w:rsid w:val="00D41527"/>
    <w:rsid w:val="00D453E0"/>
    <w:rsid w:val="00D57487"/>
    <w:rsid w:val="00D62675"/>
    <w:rsid w:val="00D65282"/>
    <w:rsid w:val="00D654C8"/>
    <w:rsid w:val="00D81B22"/>
    <w:rsid w:val="00D90CB9"/>
    <w:rsid w:val="00D91F38"/>
    <w:rsid w:val="00D93E53"/>
    <w:rsid w:val="00D9498D"/>
    <w:rsid w:val="00D95D4B"/>
    <w:rsid w:val="00DA1601"/>
    <w:rsid w:val="00DA5760"/>
    <w:rsid w:val="00DA5F56"/>
    <w:rsid w:val="00DB2670"/>
    <w:rsid w:val="00DB2F34"/>
    <w:rsid w:val="00DB3FB5"/>
    <w:rsid w:val="00DB6451"/>
    <w:rsid w:val="00DC1B14"/>
    <w:rsid w:val="00DD3B03"/>
    <w:rsid w:val="00DD4E92"/>
    <w:rsid w:val="00DE20BA"/>
    <w:rsid w:val="00DE2155"/>
    <w:rsid w:val="00DE3E21"/>
    <w:rsid w:val="00DF50A1"/>
    <w:rsid w:val="00DF6BFD"/>
    <w:rsid w:val="00DF6DEA"/>
    <w:rsid w:val="00DF7BCD"/>
    <w:rsid w:val="00E0253A"/>
    <w:rsid w:val="00E06A55"/>
    <w:rsid w:val="00E075BD"/>
    <w:rsid w:val="00E159C8"/>
    <w:rsid w:val="00E21BA9"/>
    <w:rsid w:val="00E22041"/>
    <w:rsid w:val="00E31CFE"/>
    <w:rsid w:val="00E41446"/>
    <w:rsid w:val="00E45F7A"/>
    <w:rsid w:val="00E47C5F"/>
    <w:rsid w:val="00E512E6"/>
    <w:rsid w:val="00E657B8"/>
    <w:rsid w:val="00E672DF"/>
    <w:rsid w:val="00E71CE8"/>
    <w:rsid w:val="00E75197"/>
    <w:rsid w:val="00E77B66"/>
    <w:rsid w:val="00E84D89"/>
    <w:rsid w:val="00E90FA7"/>
    <w:rsid w:val="00E95946"/>
    <w:rsid w:val="00E97374"/>
    <w:rsid w:val="00EA1A2F"/>
    <w:rsid w:val="00EC57A6"/>
    <w:rsid w:val="00EC6A95"/>
    <w:rsid w:val="00EC7FA1"/>
    <w:rsid w:val="00ED43D1"/>
    <w:rsid w:val="00ED50C9"/>
    <w:rsid w:val="00ED5865"/>
    <w:rsid w:val="00ED6D40"/>
    <w:rsid w:val="00EF1CCE"/>
    <w:rsid w:val="00F045D0"/>
    <w:rsid w:val="00F103A6"/>
    <w:rsid w:val="00F13C40"/>
    <w:rsid w:val="00F175FC"/>
    <w:rsid w:val="00F40196"/>
    <w:rsid w:val="00F6470F"/>
    <w:rsid w:val="00F67043"/>
    <w:rsid w:val="00F67FFA"/>
    <w:rsid w:val="00F837F5"/>
    <w:rsid w:val="00F86167"/>
    <w:rsid w:val="00F90C80"/>
    <w:rsid w:val="00FA37B4"/>
    <w:rsid w:val="00FA3FED"/>
    <w:rsid w:val="00FA6938"/>
    <w:rsid w:val="00FA7239"/>
    <w:rsid w:val="00FB4923"/>
    <w:rsid w:val="00FB4974"/>
    <w:rsid w:val="00FE19A7"/>
    <w:rsid w:val="00FF231A"/>
    <w:rsid w:val="00FF3AC6"/>
    <w:rsid w:val="00FF4E71"/>
    <w:rsid w:val="137FF01B"/>
    <w:rsid w:val="17ADC09C"/>
    <w:rsid w:val="2B54DCD0"/>
    <w:rsid w:val="2DF28B15"/>
    <w:rsid w:val="3233586E"/>
    <w:rsid w:val="34343D7E"/>
    <w:rsid w:val="351661E3"/>
    <w:rsid w:val="39F60EB2"/>
    <w:rsid w:val="4CBCECA8"/>
    <w:rsid w:val="5195B9E5"/>
    <w:rsid w:val="5284E7B2"/>
    <w:rsid w:val="58982A15"/>
    <w:rsid w:val="58EA1323"/>
    <w:rsid w:val="7AA48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1690"/>
  <w15:chartTrackingRefBased/>
  <w15:docId w15:val="{0C167BAF-F13A-4C0D-B3AC-C7B8B311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val="en-GB"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uiPriority w:val="10"/>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uiPriority w:val="10"/>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val="en-GB" w:bidi="en-US"/>
    </w:rPr>
  </w:style>
  <w:style w:type="character" w:styleId="Mention">
    <w:name w:val="Mention"/>
    <w:uiPriority w:val="99"/>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paragraph" w:styleId="NoSpacing">
    <w:name w:val="No Spacing"/>
    <w:uiPriority w:val="1"/>
    <w:qFormat/>
    <w:rsid w:val="009150D3"/>
    <w:rPr>
      <w:rFonts w:ascii="Arial" w:eastAsia="Times New Roman" w:hAnsi="Arial"/>
      <w:sz w:val="22"/>
      <w:szCs w:val="22"/>
      <w:lang w:val="en-GB" w:bidi="en-US"/>
    </w:rPr>
  </w:style>
  <w:style w:type="table" w:styleId="TableGrid">
    <w:name w:val="Table Grid"/>
    <w:basedOn w:val="TableNormal"/>
    <w:uiPriority w:val="59"/>
    <w:rsid w:val="004358D5"/>
    <w:rPr>
      <w:rFonts w:ascii="Aptos" w:eastAsia="MS Mincho" w:hAnsi="Aptos" w:cs="Arial"/>
      <w:sz w:val="24"/>
      <w:szCs w:val="24"/>
      <w:lang w:val="en-GB"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53406227">
      <w:bodyDiv w:val="1"/>
      <w:marLeft w:val="0"/>
      <w:marRight w:val="0"/>
      <w:marTop w:val="0"/>
      <w:marBottom w:val="0"/>
      <w:divBdr>
        <w:top w:val="none" w:sz="0" w:space="0" w:color="auto"/>
        <w:left w:val="none" w:sz="0" w:space="0" w:color="auto"/>
        <w:bottom w:val="none" w:sz="0" w:space="0" w:color="auto"/>
        <w:right w:val="none" w:sz="0" w:space="0" w:color="auto"/>
      </w:divBdr>
    </w:div>
    <w:div w:id="468673559">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623877">
      <w:bodyDiv w:val="1"/>
      <w:marLeft w:val="0"/>
      <w:marRight w:val="0"/>
      <w:marTop w:val="0"/>
      <w:marBottom w:val="0"/>
      <w:divBdr>
        <w:top w:val="none" w:sz="0" w:space="0" w:color="auto"/>
        <w:left w:val="none" w:sz="0" w:space="0" w:color="auto"/>
        <w:bottom w:val="none" w:sz="0" w:space="0" w:color="auto"/>
        <w:right w:val="none" w:sz="0" w:space="0" w:color="auto"/>
      </w:divBdr>
    </w:div>
    <w:div w:id="753357737">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286693702">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0EA8BFDE-F7CD-4C71-8A1C-B6E9191BDFEA}">
    <t:Anchor>
      <t:Comment id="551861099"/>
    </t:Anchor>
    <t:History>
      <t:Event id="{7AA5E68A-AA34-4209-A374-E073F875219D}" time="2025-06-06T08:51:58.483Z">
        <t:Attribution userId="S::catherine.naughton@edf-feph.org::6c4d67e7-c4d5-4d49-a70e-74c9d7a18aa6" userProvider="AD" userName="Catherine Naughton"/>
        <t:Anchor>
          <t:Comment id="551861099"/>
        </t:Anchor>
        <t:Create/>
      </t:Event>
      <t:Event id="{F9FB2FF7-6E5F-44CD-97DF-27E55407CA6D}" time="2025-06-06T08:51:58.483Z">
        <t:Attribution userId="S::catherine.naughton@edf-feph.org::6c4d67e7-c4d5-4d49-a70e-74c9d7a18aa6" userProvider="AD" userName="Catherine Naughton"/>
        <t:Anchor>
          <t:Comment id="551861099"/>
        </t:Anchor>
        <t:Assign userId="S::marion.steff@edf-feph.org::ec10c335-d335-47a8-b584-1b61dec0cc6d" userProvider="AD" userName="Marion Steff"/>
      </t:Event>
      <t:Event id="{96B1F32C-07E5-4280-981D-0032022E310E}" time="2025-06-06T08:51:58.483Z">
        <t:Attribution userId="S::catherine.naughton@edf-feph.org::6c4d67e7-c4d5-4d49-a70e-74c9d7a18aa6" userProvider="AD" userName="Catherine Naughton"/>
        <t:Anchor>
          <t:Comment id="551861099"/>
        </t:Anchor>
        <t:SetTitle title="I do not find this accurate- we did nothing to reduce the loss because we were told about it too late. We intervened to prevent it recurring- could we discuss what you mean in this point? Thank you! @Marion Steff "/>
      </t:Event>
    </t:History>
  </t:Task>
  <t:Task id="{293A4AD4-C107-4281-B2DA-A693EA09DC61}">
    <t:Anchor>
      <t:Comment id="149123010"/>
    </t:Anchor>
    <t:History>
      <t:Event id="{FD607A3F-E478-4572-B43C-7C00836E8D08}" time="2025-06-06T08:54:08.911Z">
        <t:Attribution userId="S::catherine.naughton@edf-feph.org::6c4d67e7-c4d5-4d49-a70e-74c9d7a18aa6" userProvider="AD" userName="Catherine Naughton"/>
        <t:Anchor>
          <t:Comment id="149123010"/>
        </t:Anchor>
        <t:Create/>
      </t:Event>
      <t:Event id="{7CE0A5C4-AAD7-43C5-9D9E-250DC4D66A72}" time="2025-06-06T08:54:08.911Z">
        <t:Attribution userId="S::catherine.naughton@edf-feph.org::6c4d67e7-c4d5-4d49-a70e-74c9d7a18aa6" userProvider="AD" userName="Catherine Naughton"/>
        <t:Anchor>
          <t:Comment id="149123010"/>
        </t:Anchor>
        <t:Assign userId="S::marion.steff@edf-feph.org::ec10c335-d335-47a8-b584-1b61dec0cc6d" userProvider="AD" userName="Marion Steff"/>
      </t:Event>
      <t:Event id="{E4D265D2-BFAB-4A99-A294-E9FAEEBE8A23}" time="2025-06-06T08:54:08.911Z">
        <t:Attribution userId="S::catherine.naughton@edf-feph.org::6c4d67e7-c4d5-4d49-a70e-74c9d7a18aa6" userProvider="AD" userName="Catherine Naughton"/>
        <t:Anchor>
          <t:Comment id="149123010"/>
        </t:Anchor>
        <t:SetTitle title="This is a more of less public document so we cannot be looking to legally challenge the external audotor- you use the word transprency often, and it actually has quite harsh implicaitons @Marion Steff . Rememebring this document goes to 200 peop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B51CC2-F4B9-4F1F-8179-A007D37D1653}">
  <ds:schemaRefs>
    <ds:schemaRef ds:uri="http://schemas.openxmlformats.org/officeDocument/2006/bibliography"/>
  </ds:schemaRefs>
</ds:datastoreItem>
</file>

<file path=customXml/itemProps2.xml><?xml version="1.0" encoding="utf-8"?>
<ds:datastoreItem xmlns:ds="http://schemas.openxmlformats.org/officeDocument/2006/customXml" ds:itemID="{25F83809-2313-44A3-B083-DE5361115AD2}"/>
</file>

<file path=customXml/itemProps3.xml><?xml version="1.0" encoding="utf-8"?>
<ds:datastoreItem xmlns:ds="http://schemas.openxmlformats.org/officeDocument/2006/customXml" ds:itemID="{31C97800-6BF2-42DE-BAE6-9E3C42D568A4}">
  <ds:schemaRefs>
    <ds:schemaRef ds:uri="http://schemas.microsoft.com/office/2006/metadata/properties"/>
    <ds:schemaRef ds:uri="http://schemas.microsoft.com/office/infopath/2007/PartnerControls"/>
    <ds:schemaRef ds:uri="3da24565-8b77-45e0-9465-ff23cf6f6a01"/>
    <ds:schemaRef ds:uri="252f4827-23ce-43c5-a232-6be14f1d3f55"/>
  </ds:schemaRefs>
</ds:datastoreItem>
</file>

<file path=customXml/itemProps4.xml><?xml version="1.0" encoding="utf-8"?>
<ds:datastoreItem xmlns:ds="http://schemas.openxmlformats.org/officeDocument/2006/customXml" ds:itemID="{68F3486B-BB78-40D5-AA37-807B6F1CF5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2625</Words>
  <Characters>14963</Characters>
  <Application>Microsoft Office Word</Application>
  <DocSecurity>0</DocSecurity>
  <Lines>124</Lines>
  <Paragraphs>35</Paragraphs>
  <ScaleCrop>false</ScaleCrop>
  <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docId:4C6638AC0E01758DEAB352A8CC8D69EA</cp:keywords>
  <dc:description/>
  <cp:lastModifiedBy>Loredana Dicsi</cp:lastModifiedBy>
  <cp:revision>47</cp:revision>
  <dcterms:created xsi:type="dcterms:W3CDTF">2025-06-03T14:10:00Z</dcterms:created>
  <dcterms:modified xsi:type="dcterms:W3CDTF">2025-06-18T13:49:00Z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ies>
</file>