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4CE2" w14:textId="77777777" w:rsidR="005E3760" w:rsidRDefault="2D19ACC9" w:rsidP="005E3760">
      <w:pPr>
        <w:pStyle w:val="Heading1"/>
        <w:jc w:val="center"/>
        <w:rPr>
          <w:rFonts w:asciiTheme="minorHAnsi" w:eastAsia="Times New Roman" w:hAnsiTheme="minorHAnsi"/>
          <w:b/>
          <w:bCs/>
          <w:color w:val="auto"/>
          <w:sz w:val="24"/>
          <w:szCs w:val="24"/>
          <w:lang w:eastAsia="en-GB"/>
        </w:rPr>
      </w:pPr>
      <w:r w:rsidRPr="407E5854">
        <w:rPr>
          <w:rFonts w:asciiTheme="minorHAnsi" w:eastAsia="Times New Roman" w:hAnsiTheme="minorHAnsi"/>
          <w:b/>
          <w:bCs/>
          <w:color w:val="auto"/>
          <w:sz w:val="24"/>
          <w:szCs w:val="24"/>
          <w:lang w:eastAsia="en-GB"/>
        </w:rPr>
        <w:t>Public Consultation</w:t>
      </w:r>
    </w:p>
    <w:p w14:paraId="15B49621" w14:textId="425CDD15" w:rsidR="2D19ACC9" w:rsidRDefault="2D19ACC9" w:rsidP="005E3760">
      <w:pPr>
        <w:pStyle w:val="Heading1"/>
        <w:jc w:val="center"/>
        <w:rPr>
          <w:rFonts w:asciiTheme="minorHAnsi" w:eastAsia="Times New Roman" w:hAnsiTheme="minorHAnsi"/>
          <w:b/>
          <w:bCs/>
          <w:color w:val="auto"/>
          <w:sz w:val="24"/>
          <w:szCs w:val="24"/>
          <w:lang w:eastAsia="en-GB"/>
        </w:rPr>
      </w:pPr>
      <w:r w:rsidRPr="009D2CEA">
        <w:rPr>
          <w:rFonts w:asciiTheme="minorHAnsi" w:eastAsia="Times New Roman" w:hAnsiTheme="minorHAnsi"/>
          <w:b/>
          <w:bCs/>
          <w:color w:val="auto"/>
          <w:sz w:val="24"/>
          <w:szCs w:val="24"/>
          <w:lang w:eastAsia="en-GB"/>
        </w:rPr>
        <w:t xml:space="preserve">MFF </w:t>
      </w:r>
      <w:r w:rsidR="009D2CEA">
        <w:rPr>
          <w:rFonts w:asciiTheme="minorHAnsi" w:eastAsia="Times New Roman" w:hAnsiTheme="minorHAnsi"/>
          <w:b/>
          <w:bCs/>
          <w:color w:val="auto"/>
          <w:sz w:val="24"/>
          <w:szCs w:val="24"/>
          <w:lang w:eastAsia="en-GB"/>
        </w:rPr>
        <w:t>f</w:t>
      </w:r>
      <w:r w:rsidRPr="009D2CEA">
        <w:rPr>
          <w:rFonts w:asciiTheme="minorHAnsi" w:eastAsia="Times New Roman" w:hAnsiTheme="minorHAnsi"/>
          <w:b/>
          <w:bCs/>
          <w:color w:val="auto"/>
          <w:sz w:val="24"/>
          <w:szCs w:val="24"/>
          <w:lang w:eastAsia="en-GB"/>
        </w:rPr>
        <w:t xml:space="preserve">unding for </w:t>
      </w:r>
      <w:r w:rsidR="13F7A2D8" w:rsidRPr="009D2CEA">
        <w:rPr>
          <w:rFonts w:asciiTheme="minorHAnsi" w:eastAsia="Times New Roman" w:hAnsiTheme="minorHAnsi"/>
          <w:b/>
          <w:bCs/>
          <w:color w:val="auto"/>
          <w:sz w:val="24"/>
          <w:szCs w:val="24"/>
          <w:lang w:eastAsia="en-GB"/>
        </w:rPr>
        <w:t>e</w:t>
      </w:r>
      <w:r w:rsidRPr="009D2CEA">
        <w:rPr>
          <w:rFonts w:asciiTheme="minorHAnsi" w:eastAsia="Times New Roman" w:hAnsiTheme="minorHAnsi"/>
          <w:b/>
          <w:bCs/>
          <w:color w:val="auto"/>
          <w:sz w:val="24"/>
          <w:szCs w:val="24"/>
          <w:lang w:eastAsia="en-GB"/>
        </w:rPr>
        <w:t xml:space="preserve">xternal </w:t>
      </w:r>
      <w:r w:rsidR="14DD71F6" w:rsidRPr="009D2CEA">
        <w:rPr>
          <w:rFonts w:asciiTheme="minorHAnsi" w:eastAsia="Times New Roman" w:hAnsiTheme="minorHAnsi"/>
          <w:b/>
          <w:bCs/>
          <w:color w:val="auto"/>
          <w:sz w:val="24"/>
          <w:szCs w:val="24"/>
          <w:lang w:eastAsia="en-GB"/>
        </w:rPr>
        <w:t>a</w:t>
      </w:r>
      <w:r w:rsidRPr="009D2CEA">
        <w:rPr>
          <w:rFonts w:asciiTheme="minorHAnsi" w:eastAsia="Times New Roman" w:hAnsiTheme="minorHAnsi"/>
          <w:b/>
          <w:bCs/>
          <w:color w:val="auto"/>
          <w:sz w:val="24"/>
          <w:szCs w:val="24"/>
          <w:lang w:eastAsia="en-GB"/>
        </w:rPr>
        <w:t>ction</w:t>
      </w:r>
    </w:p>
    <w:p w14:paraId="6A3A6B48" w14:textId="77777777" w:rsidR="00AB2A78" w:rsidRPr="00F44AFB" w:rsidRDefault="00AB2A78" w:rsidP="00AB2A78">
      <w:pPr>
        <w:pStyle w:val="Heading2"/>
        <w:rPr>
          <w:rFonts w:asciiTheme="minorHAnsi" w:hAnsiTheme="minorHAnsi"/>
          <w:b/>
          <w:bCs/>
          <w:color w:val="auto"/>
          <w:sz w:val="24"/>
          <w:szCs w:val="24"/>
        </w:rPr>
      </w:pPr>
      <w:r w:rsidRPr="00F44AFB">
        <w:rPr>
          <w:rFonts w:asciiTheme="minorHAnsi" w:hAnsiTheme="minorHAnsi"/>
          <w:b/>
          <w:bCs/>
          <w:color w:val="auto"/>
          <w:sz w:val="24"/>
          <w:szCs w:val="24"/>
        </w:rPr>
        <w:t>Introduction</w:t>
      </w:r>
    </w:p>
    <w:p w14:paraId="568FB780" w14:textId="2138BCDD" w:rsidR="00AB2A78" w:rsidRPr="00F44AFB" w:rsidRDefault="00AB2A78" w:rsidP="00AB2A78">
      <w:r w:rsidRPr="00F44AFB">
        <w:t xml:space="preserve">The </w:t>
      </w:r>
      <w:hyperlink r:id="rId9" w:history="1">
        <w:r w:rsidRPr="00105F81">
          <w:rPr>
            <w:rStyle w:val="Hyperlink"/>
          </w:rPr>
          <w:t>current Multiannual Financial Framework (‘MFF’)</w:t>
        </w:r>
      </w:hyperlink>
      <w:r w:rsidRPr="00F44AFB">
        <w:t xml:space="preserve">— the EU’s long-term budget — runs until the end of 2027. In 2025, the Commission will put forth comprehensive proposals for the next </w:t>
      </w:r>
      <w:r w:rsidR="0097325D">
        <w:t>MFF</w:t>
      </w:r>
      <w:r w:rsidRPr="00F44AFB">
        <w:t xml:space="preserve"> and for the next generation of financing instruments. These funds will provide financial support to hundreds of thousands of beneficiaries such as international organisations, national and local authorities, Civil Society Organisations, businesses, farmers, students, scientists, within the EU, in partner countries and globally.</w:t>
      </w:r>
    </w:p>
    <w:p w14:paraId="5359B5B2" w14:textId="39CA8C0E" w:rsidR="00AB2A78" w:rsidRPr="00F44AFB" w:rsidRDefault="00AB2A78" w:rsidP="00AB2A78">
      <w:r w:rsidRPr="00F44AFB">
        <w:t>Following the political guidelines of President von der Leyen for the 2024-2029 European Commission, the Commission will work towards a simpler, more focused and responsive long-term budget that reflects the European strategic priorities with the ambition to be an “Investment Commission”. Moreover, we will also need to revamp our external action financing, to make it more impactful and targeted for our partners and more aligned with our strategic interests.</w:t>
      </w:r>
    </w:p>
    <w:p w14:paraId="339C5105" w14:textId="2FC73E87" w:rsidR="00AB2A78" w:rsidRPr="00F44AFB" w:rsidRDefault="00AB2A78" w:rsidP="00AB2A78">
      <w:r w:rsidRPr="00F44AFB">
        <w:t xml:space="preserve">The Commission’s proposals will be designed to make it possible for the EU to deliver on the things that matter most, in areas where it can achieve more than Member States acting alone. This requires a careful assessment both of what has worked well in the past and what could be improved in the future. </w:t>
      </w:r>
    </w:p>
    <w:p w14:paraId="4F807646" w14:textId="0836FFA9" w:rsidR="00AB2A78" w:rsidRPr="00F44AFB" w:rsidRDefault="00AB2A78" w:rsidP="00AB2A78">
      <w:r w:rsidRPr="00F44AFB">
        <w:t xml:space="preserve">As an integral part of the process, the Commission is launching </w:t>
      </w:r>
      <w:hyperlink r:id="rId10">
        <w:r w:rsidRPr="407E5854">
          <w:rPr>
            <w:rStyle w:val="Hyperlink"/>
          </w:rPr>
          <w:t>a series of public consultations</w:t>
        </w:r>
      </w:hyperlink>
      <w:r w:rsidRPr="00F44AFB">
        <w:t xml:space="preserve"> to gather views from all interested parties on the future EU budget. </w:t>
      </w:r>
      <w:hyperlink r:id="rId11">
        <w:r w:rsidRPr="407E5854">
          <w:rPr>
            <w:rStyle w:val="Hyperlink"/>
          </w:rPr>
          <w:t>This consultation</w:t>
        </w:r>
      </w:hyperlink>
      <w:r w:rsidRPr="00F44AFB">
        <w:t xml:space="preserve"> covers EU external funding implemented in partner countries, sometime with Members States in a Team Europe approach. </w:t>
      </w:r>
    </w:p>
    <w:p w14:paraId="1BFF284C" w14:textId="5337D968" w:rsidR="00AB2A78" w:rsidRPr="00F44AFB" w:rsidRDefault="00AB2A78" w:rsidP="407E5854">
      <w:r w:rsidRPr="00F44AFB">
        <w:t xml:space="preserve">This questionnaire consists of three parts. </w:t>
      </w:r>
    </w:p>
    <w:p w14:paraId="07F95309" w14:textId="62B66F5B" w:rsidR="00AB2A78" w:rsidRPr="00F44AFB" w:rsidRDefault="00AB2A78" w:rsidP="407E5854">
      <w:pPr>
        <w:pStyle w:val="ListParagraph"/>
        <w:numPr>
          <w:ilvl w:val="0"/>
          <w:numId w:val="2"/>
        </w:numPr>
      </w:pPr>
      <w:r w:rsidRPr="007B559E">
        <w:rPr>
          <w:b/>
          <w:bCs/>
        </w:rPr>
        <w:t>Part 1</w:t>
      </w:r>
      <w:r w:rsidRPr="00F44AFB">
        <w:t xml:space="preserve"> collects some information about you</w:t>
      </w:r>
    </w:p>
    <w:p w14:paraId="171EE87B" w14:textId="2B2B1CDC" w:rsidR="00AB2A78" w:rsidRPr="00F44AFB" w:rsidRDefault="00AB2A78" w:rsidP="407E5854">
      <w:pPr>
        <w:pStyle w:val="ListParagraph"/>
        <w:numPr>
          <w:ilvl w:val="0"/>
          <w:numId w:val="2"/>
        </w:numPr>
      </w:pPr>
      <w:r w:rsidRPr="007B559E">
        <w:rPr>
          <w:b/>
          <w:bCs/>
        </w:rPr>
        <w:t>Part 2</w:t>
      </w:r>
      <w:r w:rsidRPr="00F44AFB">
        <w:t xml:space="preserve"> contains questions related to the EU funds</w:t>
      </w:r>
    </w:p>
    <w:p w14:paraId="361A6DE1" w14:textId="6BF44189" w:rsidR="00AB2A78" w:rsidRPr="00F44AFB" w:rsidRDefault="4CE63D99" w:rsidP="407E5854">
      <w:pPr>
        <w:pStyle w:val="ListParagraph"/>
        <w:numPr>
          <w:ilvl w:val="0"/>
          <w:numId w:val="2"/>
        </w:numPr>
      </w:pPr>
      <w:r w:rsidRPr="007B559E">
        <w:rPr>
          <w:b/>
          <w:bCs/>
        </w:rPr>
        <w:t>Part</w:t>
      </w:r>
      <w:r w:rsidR="00AB2A78" w:rsidRPr="007B559E">
        <w:rPr>
          <w:b/>
          <w:bCs/>
        </w:rPr>
        <w:t xml:space="preserve"> 3</w:t>
      </w:r>
      <w:r w:rsidR="00AB2A78" w:rsidRPr="00F44AFB">
        <w:t xml:space="preserve"> contains two closing questions</w:t>
      </w:r>
    </w:p>
    <w:p w14:paraId="6261023A" w14:textId="7922A6E7" w:rsidR="003C0D9D" w:rsidRDefault="003C0D9D">
      <w:r>
        <w:t>The Europ</w:t>
      </w:r>
      <w:r w:rsidR="0020173F">
        <w:t xml:space="preserve">ean Disability Forum encourages other Organisations of Persons with Disabilities to </w:t>
      </w:r>
      <w:r w:rsidR="008C28E2">
        <w:t>fill out t</w:t>
      </w:r>
      <w:r w:rsidR="007B559E">
        <w:t xml:space="preserve">he questionnaire </w:t>
      </w:r>
      <w:r w:rsidR="008C28E2">
        <w:t>to highlight the need for disability inclusion in EU external action</w:t>
      </w:r>
      <w:r w:rsidR="46D72208" w:rsidRPr="407E5854">
        <w:t xml:space="preserve"> funding</w:t>
      </w:r>
      <w:r w:rsidR="008C28E2" w:rsidRPr="407E5854">
        <w:t>.</w:t>
      </w:r>
      <w:r w:rsidR="008C28E2">
        <w:t xml:space="preserve"> </w:t>
      </w:r>
      <w:r>
        <w:t>You can complete the</w:t>
      </w:r>
      <w:r w:rsidR="007B559E">
        <w:t xml:space="preserve"> questionnaire</w:t>
      </w:r>
      <w:r>
        <w:t xml:space="preserve"> on the </w:t>
      </w:r>
      <w:hyperlink r:id="rId12">
        <w:r w:rsidRPr="407E5854">
          <w:rPr>
            <w:rStyle w:val="Hyperlink"/>
          </w:rPr>
          <w:t>official EU webpage</w:t>
        </w:r>
      </w:hyperlink>
      <w:r w:rsidRPr="407E5854">
        <w:t>.</w:t>
      </w:r>
    </w:p>
    <w:p w14:paraId="42E59C94" w14:textId="0BD0BFF6" w:rsidR="00DC2D62" w:rsidRPr="003C0D9D" w:rsidRDefault="005D7933">
      <w:r w:rsidRPr="00F44AFB">
        <w:rPr>
          <w:b/>
          <w:bCs/>
        </w:rPr>
        <w:t>Below you will find</w:t>
      </w:r>
      <w:r w:rsidR="002A7B86" w:rsidRPr="00F44AFB">
        <w:rPr>
          <w:b/>
          <w:bCs/>
        </w:rPr>
        <w:t xml:space="preserve"> the full questionnaire with template responses from</w:t>
      </w:r>
      <w:r w:rsidR="00103826" w:rsidRPr="00F44AFB">
        <w:rPr>
          <w:b/>
          <w:bCs/>
        </w:rPr>
        <w:t xml:space="preserve"> the European Disability Forum. </w:t>
      </w:r>
      <w:r w:rsidR="00DC2D62" w:rsidRPr="00F44AFB">
        <w:rPr>
          <w:b/>
          <w:bCs/>
        </w:rPr>
        <w:br w:type="page"/>
      </w:r>
    </w:p>
    <w:p w14:paraId="130D109F" w14:textId="034D2DE0" w:rsidR="00AB2A78" w:rsidRPr="00F44AFB" w:rsidRDefault="00AB2A78" w:rsidP="00AB2A78">
      <w:pPr>
        <w:pStyle w:val="Heading2"/>
        <w:rPr>
          <w:rFonts w:asciiTheme="minorHAnsi" w:hAnsiTheme="minorHAnsi"/>
          <w:b/>
          <w:bCs/>
          <w:color w:val="auto"/>
          <w:sz w:val="24"/>
          <w:szCs w:val="24"/>
        </w:rPr>
      </w:pPr>
      <w:r w:rsidRPr="00F44AFB">
        <w:rPr>
          <w:rFonts w:asciiTheme="minorHAnsi" w:hAnsiTheme="minorHAnsi"/>
          <w:b/>
          <w:bCs/>
          <w:color w:val="auto"/>
          <w:sz w:val="24"/>
          <w:szCs w:val="24"/>
        </w:rPr>
        <w:lastRenderedPageBreak/>
        <w:t xml:space="preserve">Policy </w:t>
      </w:r>
      <w:r w:rsidR="000B157A" w:rsidRPr="00F44AFB">
        <w:rPr>
          <w:rFonts w:asciiTheme="minorHAnsi" w:hAnsiTheme="minorHAnsi"/>
          <w:b/>
          <w:bCs/>
          <w:color w:val="auto"/>
          <w:sz w:val="24"/>
          <w:szCs w:val="24"/>
        </w:rPr>
        <w:t>Q</w:t>
      </w:r>
      <w:r w:rsidRPr="00F44AFB">
        <w:rPr>
          <w:rFonts w:asciiTheme="minorHAnsi" w:hAnsiTheme="minorHAnsi"/>
          <w:b/>
          <w:bCs/>
          <w:color w:val="auto"/>
          <w:sz w:val="24"/>
          <w:szCs w:val="24"/>
        </w:rPr>
        <w:t>uestions</w:t>
      </w:r>
    </w:p>
    <w:p w14:paraId="7136A5A2" w14:textId="502777DA" w:rsidR="00AB2A78" w:rsidRPr="00F44AFB" w:rsidRDefault="00AB2A78" w:rsidP="002F2C62">
      <w:pPr>
        <w:pStyle w:val="ListParagraph"/>
        <w:numPr>
          <w:ilvl w:val="0"/>
          <w:numId w:val="1"/>
        </w:numPr>
      </w:pPr>
      <w:r w:rsidRPr="00F44AFB">
        <w:t>Do you agree that EU external funding should help contribute to EU policy objectives for:</w:t>
      </w:r>
    </w:p>
    <w:tbl>
      <w:tblPr>
        <w:tblW w:w="9924" w:type="dxa"/>
        <w:tblInd w:w="-4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6"/>
        <w:gridCol w:w="1134"/>
        <w:gridCol w:w="142"/>
        <w:gridCol w:w="1417"/>
        <w:gridCol w:w="1276"/>
        <w:gridCol w:w="1465"/>
        <w:gridCol w:w="1654"/>
      </w:tblGrid>
      <w:tr w:rsidR="00DC2D62" w:rsidRPr="00F44AFB" w14:paraId="7815970E" w14:textId="77777777" w:rsidTr="00F23CF6">
        <w:trPr>
          <w:tblHeader/>
        </w:trPr>
        <w:tc>
          <w:tcPr>
            <w:tcW w:w="2836"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587D3C40" w14:textId="77777777" w:rsidR="00AB2A78" w:rsidRPr="00F23CF6" w:rsidRDefault="00AB2A78" w:rsidP="00AB2A78">
            <w:pPr>
              <w:rPr>
                <w:sz w:val="22"/>
                <w:szCs w:val="22"/>
              </w:rPr>
            </w:pPr>
          </w:p>
        </w:tc>
        <w:tc>
          <w:tcPr>
            <w:tcW w:w="1276" w:type="dxa"/>
            <w:gridSpan w:val="2"/>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577D3B97" w14:textId="77777777" w:rsidR="00AB2A78" w:rsidRPr="00F23CF6" w:rsidRDefault="00AB2A78" w:rsidP="00AB2A78">
            <w:pPr>
              <w:rPr>
                <w:b/>
                <w:bCs/>
                <w:sz w:val="22"/>
                <w:szCs w:val="22"/>
              </w:rPr>
            </w:pPr>
            <w:r w:rsidRPr="00F23CF6">
              <w:rPr>
                <w:b/>
                <w:bCs/>
                <w:sz w:val="22"/>
                <w:szCs w:val="22"/>
              </w:rPr>
              <w:t>To a large extent</w:t>
            </w:r>
          </w:p>
        </w:tc>
        <w:tc>
          <w:tcPr>
            <w:tcW w:w="1417"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7A63EF9C" w14:textId="77777777" w:rsidR="00AB2A78" w:rsidRPr="00F23CF6" w:rsidRDefault="00AB2A78" w:rsidP="00AB2A78">
            <w:pPr>
              <w:rPr>
                <w:b/>
                <w:bCs/>
                <w:sz w:val="22"/>
                <w:szCs w:val="22"/>
              </w:rPr>
            </w:pPr>
            <w:r w:rsidRPr="00F23CF6">
              <w:rPr>
                <w:b/>
                <w:bCs/>
                <w:sz w:val="22"/>
                <w:szCs w:val="22"/>
              </w:rPr>
              <w:t>Somewhat</w:t>
            </w:r>
          </w:p>
        </w:tc>
        <w:tc>
          <w:tcPr>
            <w:tcW w:w="1276"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66EC391E" w14:textId="77777777" w:rsidR="00AB2A78" w:rsidRPr="00F23CF6" w:rsidRDefault="00AB2A78" w:rsidP="00AB2A78">
            <w:pPr>
              <w:rPr>
                <w:b/>
                <w:bCs/>
                <w:sz w:val="22"/>
                <w:szCs w:val="22"/>
              </w:rPr>
            </w:pPr>
            <w:r w:rsidRPr="00F23CF6">
              <w:rPr>
                <w:b/>
                <w:bCs/>
                <w:sz w:val="22"/>
                <w:szCs w:val="22"/>
              </w:rPr>
              <w:t>Very little</w:t>
            </w:r>
          </w:p>
        </w:tc>
        <w:tc>
          <w:tcPr>
            <w:tcW w:w="1465"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0F582112" w14:textId="77777777" w:rsidR="00AB2A78" w:rsidRPr="00F23CF6" w:rsidRDefault="00AB2A78" w:rsidP="00AB2A78">
            <w:pPr>
              <w:rPr>
                <w:b/>
                <w:bCs/>
                <w:sz w:val="22"/>
                <w:szCs w:val="22"/>
              </w:rPr>
            </w:pPr>
            <w:r w:rsidRPr="00F23CF6">
              <w:rPr>
                <w:b/>
                <w:bCs/>
                <w:sz w:val="22"/>
                <w:szCs w:val="22"/>
              </w:rPr>
              <w:t>Not at all</w:t>
            </w:r>
          </w:p>
        </w:tc>
        <w:tc>
          <w:tcPr>
            <w:tcW w:w="1654"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42F97BF7" w14:textId="77777777" w:rsidR="00AB2A78" w:rsidRPr="00F23CF6" w:rsidRDefault="00AB2A78" w:rsidP="00AB2A78">
            <w:pPr>
              <w:rPr>
                <w:b/>
                <w:bCs/>
                <w:sz w:val="22"/>
                <w:szCs w:val="22"/>
              </w:rPr>
            </w:pPr>
            <w:r w:rsidRPr="00F23CF6">
              <w:rPr>
                <w:b/>
                <w:bCs/>
                <w:sz w:val="22"/>
                <w:szCs w:val="22"/>
              </w:rPr>
              <w:t>Don't know/not applicable</w:t>
            </w:r>
          </w:p>
        </w:tc>
      </w:tr>
      <w:tr w:rsidR="00F23CF6" w:rsidRPr="00F44AFB" w14:paraId="2915B1CD"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F50FC9A" w14:textId="77777777" w:rsidR="00AB2A78" w:rsidRPr="00F23CF6" w:rsidRDefault="00AB2A78" w:rsidP="00AB2A78">
            <w:pPr>
              <w:rPr>
                <w:sz w:val="22"/>
                <w:szCs w:val="22"/>
              </w:rPr>
            </w:pPr>
            <w:r w:rsidRPr="00F23CF6">
              <w:rPr>
                <w:sz w:val="22"/>
                <w:szCs w:val="22"/>
              </w:rPr>
              <w:t>the green transition</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0F79E5A" w14:textId="3180BB16" w:rsidR="00AB2A78" w:rsidRPr="00F23CF6" w:rsidRDefault="328CD1C2" w:rsidP="00AB2A78">
            <w:pPr>
              <w:rPr>
                <w:b/>
                <w:bCs/>
                <w:sz w:val="22"/>
                <w:szCs w:val="22"/>
              </w:rPr>
            </w:pPr>
            <w:r w:rsidRPr="00F23CF6">
              <w:rPr>
                <w:b/>
                <w:bCs/>
                <w:sz w:val="22"/>
                <w:szCs w:val="22"/>
              </w:rPr>
              <w:t>X</w:t>
            </w: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682A6A9"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D404B34"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691F15F"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7E57712" w14:textId="77777777" w:rsidR="00AB2A78" w:rsidRPr="00F23CF6" w:rsidRDefault="00AB2A78" w:rsidP="00AB2A78">
            <w:pPr>
              <w:rPr>
                <w:sz w:val="22"/>
                <w:szCs w:val="22"/>
              </w:rPr>
            </w:pPr>
          </w:p>
        </w:tc>
      </w:tr>
      <w:tr w:rsidR="007A5D6A" w:rsidRPr="00F44AFB" w14:paraId="391DED83"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052CB28" w14:textId="77777777" w:rsidR="00AB2A78" w:rsidRPr="00F23CF6" w:rsidRDefault="00AB2A78" w:rsidP="00AB2A78">
            <w:pPr>
              <w:rPr>
                <w:sz w:val="22"/>
                <w:szCs w:val="22"/>
              </w:rPr>
            </w:pPr>
            <w:r w:rsidRPr="00F23CF6">
              <w:rPr>
                <w:sz w:val="22"/>
                <w:szCs w:val="22"/>
              </w:rPr>
              <w:t>the digital transition</w:t>
            </w:r>
          </w:p>
        </w:tc>
        <w:tc>
          <w:tcPr>
            <w:tcW w:w="113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3489486" w14:textId="48966074" w:rsidR="00AB2A78" w:rsidRPr="00F23CF6" w:rsidRDefault="1F05486F" w:rsidP="00AB2A78">
            <w:pPr>
              <w:rPr>
                <w:b/>
                <w:bCs/>
                <w:sz w:val="22"/>
                <w:szCs w:val="22"/>
              </w:rPr>
            </w:pPr>
            <w:r w:rsidRPr="00F23CF6">
              <w:rPr>
                <w:b/>
                <w:bCs/>
                <w:sz w:val="22"/>
                <w:szCs w:val="22"/>
              </w:rPr>
              <w:t>X</w:t>
            </w: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276AE19"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2E01D19F"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6D380C1"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AFF243C" w14:textId="77777777" w:rsidR="00AB2A78" w:rsidRPr="00F23CF6" w:rsidRDefault="00AB2A78" w:rsidP="00AB2A78">
            <w:pPr>
              <w:rPr>
                <w:sz w:val="22"/>
                <w:szCs w:val="22"/>
              </w:rPr>
            </w:pPr>
          </w:p>
        </w:tc>
      </w:tr>
      <w:tr w:rsidR="00F23CF6" w:rsidRPr="00F44AFB" w14:paraId="07E13DD0"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C2D7AA7" w14:textId="77777777" w:rsidR="00AB2A78" w:rsidRPr="00F23CF6" w:rsidRDefault="00AB2A78" w:rsidP="00AB2A78">
            <w:pPr>
              <w:rPr>
                <w:sz w:val="22"/>
                <w:szCs w:val="22"/>
              </w:rPr>
            </w:pPr>
            <w:r w:rsidRPr="00F23CF6">
              <w:rPr>
                <w:sz w:val="22"/>
                <w:szCs w:val="22"/>
              </w:rPr>
              <w:t>migration and asylum</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7C73E20" w14:textId="77777777" w:rsidR="00AB2A78" w:rsidRPr="00F23CF6" w:rsidRDefault="00AB2A78" w:rsidP="00AB2A78">
            <w:pPr>
              <w:rPr>
                <w:sz w:val="22"/>
                <w:szCs w:val="22"/>
              </w:rPr>
            </w:pP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1A702DB"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F254BFE" w14:textId="588D7C9F" w:rsidR="00AB2A78" w:rsidRPr="00F23CF6" w:rsidRDefault="25C5D161" w:rsidP="00AB2A78">
            <w:pPr>
              <w:rPr>
                <w:b/>
                <w:bCs/>
                <w:sz w:val="22"/>
                <w:szCs w:val="22"/>
              </w:rPr>
            </w:pPr>
            <w:r w:rsidRPr="00F23CF6">
              <w:rPr>
                <w:b/>
                <w:bCs/>
                <w:sz w:val="22"/>
                <w:szCs w:val="22"/>
              </w:rPr>
              <w:t>X</w:t>
            </w:r>
          </w:p>
        </w:tc>
        <w:tc>
          <w:tcPr>
            <w:tcW w:w="146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4E15791"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3E94AA3" w14:textId="77777777" w:rsidR="00AB2A78" w:rsidRPr="00F23CF6" w:rsidRDefault="00AB2A78" w:rsidP="00AB2A78">
            <w:pPr>
              <w:rPr>
                <w:sz w:val="22"/>
                <w:szCs w:val="22"/>
              </w:rPr>
            </w:pPr>
          </w:p>
        </w:tc>
      </w:tr>
      <w:tr w:rsidR="007A5D6A" w:rsidRPr="00F44AFB" w14:paraId="699CB358"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70D0BEF" w14:textId="77777777" w:rsidR="00AB2A78" w:rsidRPr="00F23CF6" w:rsidRDefault="00AB2A78" w:rsidP="00AB2A78">
            <w:pPr>
              <w:rPr>
                <w:sz w:val="22"/>
                <w:szCs w:val="22"/>
              </w:rPr>
            </w:pPr>
            <w:r w:rsidRPr="00F23CF6">
              <w:rPr>
                <w:sz w:val="22"/>
                <w:szCs w:val="22"/>
              </w:rPr>
              <w:t>peace and security</w:t>
            </w:r>
          </w:p>
        </w:tc>
        <w:tc>
          <w:tcPr>
            <w:tcW w:w="113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A8FB294" w14:textId="427F1267" w:rsidR="00AB2A78" w:rsidRPr="00F23CF6" w:rsidRDefault="747E396B" w:rsidP="00AB2A78">
            <w:pPr>
              <w:rPr>
                <w:b/>
                <w:bCs/>
                <w:sz w:val="22"/>
                <w:szCs w:val="22"/>
              </w:rPr>
            </w:pPr>
            <w:r w:rsidRPr="00F23CF6">
              <w:rPr>
                <w:b/>
                <w:bCs/>
                <w:sz w:val="22"/>
                <w:szCs w:val="22"/>
              </w:rPr>
              <w:t>X</w:t>
            </w: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5C2C109"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B747E6A"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F2283FF"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A2E9F28" w14:textId="77777777" w:rsidR="00AB2A78" w:rsidRPr="00F23CF6" w:rsidRDefault="00AB2A78" w:rsidP="00AB2A78">
            <w:pPr>
              <w:rPr>
                <w:sz w:val="22"/>
                <w:szCs w:val="22"/>
              </w:rPr>
            </w:pPr>
          </w:p>
        </w:tc>
      </w:tr>
      <w:tr w:rsidR="00F23CF6" w:rsidRPr="00F44AFB" w14:paraId="103474F4"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B9933E0" w14:textId="77777777" w:rsidR="00AB2A78" w:rsidRPr="00F23CF6" w:rsidRDefault="00AB2A78" w:rsidP="00AB2A78">
            <w:pPr>
              <w:rPr>
                <w:sz w:val="22"/>
                <w:szCs w:val="22"/>
              </w:rPr>
            </w:pPr>
            <w:r w:rsidRPr="00F23CF6">
              <w:rPr>
                <w:sz w:val="22"/>
                <w:szCs w:val="22"/>
              </w:rPr>
              <w:t>human rights, democracy and the rule of law</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F67EA58" w14:textId="3B9DD7FF" w:rsidR="00AB2A78" w:rsidRPr="00F23CF6" w:rsidRDefault="33823F34" w:rsidP="00AB2A78">
            <w:pPr>
              <w:rPr>
                <w:b/>
                <w:bCs/>
                <w:sz w:val="22"/>
                <w:szCs w:val="22"/>
              </w:rPr>
            </w:pPr>
            <w:r w:rsidRPr="00F23CF6">
              <w:rPr>
                <w:b/>
                <w:bCs/>
                <w:sz w:val="22"/>
                <w:szCs w:val="22"/>
              </w:rPr>
              <w:t>X</w:t>
            </w: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096273B"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B6BE69D"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57AE941"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75342BF" w14:textId="77777777" w:rsidR="00AB2A78" w:rsidRPr="00F23CF6" w:rsidRDefault="00AB2A78" w:rsidP="00AB2A78">
            <w:pPr>
              <w:rPr>
                <w:sz w:val="22"/>
                <w:szCs w:val="22"/>
              </w:rPr>
            </w:pPr>
          </w:p>
        </w:tc>
      </w:tr>
      <w:tr w:rsidR="007A5D6A" w:rsidRPr="00F44AFB" w14:paraId="0335277A"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77766C4" w14:textId="77777777" w:rsidR="00AB2A78" w:rsidRPr="00F23CF6" w:rsidRDefault="00AB2A78" w:rsidP="00AB2A78">
            <w:pPr>
              <w:rPr>
                <w:sz w:val="22"/>
                <w:szCs w:val="22"/>
              </w:rPr>
            </w:pPr>
            <w:r w:rsidRPr="00F23CF6">
              <w:rPr>
                <w:sz w:val="22"/>
                <w:szCs w:val="22"/>
              </w:rPr>
              <w:t>public diplomacy and the fight against disinformation</w:t>
            </w:r>
          </w:p>
        </w:tc>
        <w:tc>
          <w:tcPr>
            <w:tcW w:w="113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AAE5AE6" w14:textId="77777777" w:rsidR="00AB2A78" w:rsidRPr="00F23CF6" w:rsidRDefault="00AB2A78" w:rsidP="00AB2A78">
            <w:pPr>
              <w:rPr>
                <w:sz w:val="22"/>
                <w:szCs w:val="22"/>
              </w:rPr>
            </w:pP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DE20066"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236108A"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F253C8C"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290AC78" w14:textId="3BCFFA56" w:rsidR="00AB2A78" w:rsidRPr="00F23CF6" w:rsidRDefault="7CFC5F6C" w:rsidP="00AB2A78">
            <w:pPr>
              <w:rPr>
                <w:b/>
                <w:bCs/>
                <w:sz w:val="22"/>
                <w:szCs w:val="22"/>
              </w:rPr>
            </w:pPr>
            <w:r w:rsidRPr="00F23CF6">
              <w:rPr>
                <w:b/>
                <w:bCs/>
                <w:sz w:val="22"/>
                <w:szCs w:val="22"/>
              </w:rPr>
              <w:t>X</w:t>
            </w:r>
          </w:p>
        </w:tc>
      </w:tr>
      <w:tr w:rsidR="00F23CF6" w:rsidRPr="00F44AFB" w14:paraId="4A848749"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938296C" w14:textId="77777777" w:rsidR="00AB2A78" w:rsidRPr="00F23CF6" w:rsidRDefault="2C91DC60" w:rsidP="00AB2A78">
            <w:pPr>
              <w:rPr>
                <w:sz w:val="22"/>
                <w:szCs w:val="22"/>
              </w:rPr>
            </w:pPr>
            <w:r w:rsidRPr="00F23CF6">
              <w:rPr>
                <w:sz w:val="22"/>
                <w:szCs w:val="22"/>
              </w:rPr>
              <w:t>preparation for EU accession</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A99E440" w14:textId="77777777" w:rsidR="00AB2A78" w:rsidRPr="00F23CF6" w:rsidRDefault="00AB2A78" w:rsidP="00AB2A78">
            <w:pPr>
              <w:rPr>
                <w:sz w:val="22"/>
                <w:szCs w:val="22"/>
              </w:rPr>
            </w:pP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CD66383"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7B46086"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DE7B68B"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D52BF5F" w14:textId="0B1A2B8D" w:rsidR="00AB2A78" w:rsidRPr="00F23CF6" w:rsidRDefault="7CFC5F6C" w:rsidP="00AB2A78">
            <w:pPr>
              <w:rPr>
                <w:b/>
                <w:bCs/>
                <w:sz w:val="22"/>
                <w:szCs w:val="22"/>
              </w:rPr>
            </w:pPr>
            <w:r w:rsidRPr="00F23CF6">
              <w:rPr>
                <w:b/>
                <w:bCs/>
                <w:sz w:val="22"/>
                <w:szCs w:val="22"/>
              </w:rPr>
              <w:t>X</w:t>
            </w:r>
          </w:p>
        </w:tc>
      </w:tr>
      <w:tr w:rsidR="007A5D6A" w:rsidRPr="00F44AFB" w14:paraId="66EAF560" w14:textId="77777777" w:rsidTr="00F23CF6">
        <w:tc>
          <w:tcPr>
            <w:tcW w:w="283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946EB50" w14:textId="77777777" w:rsidR="00AB2A78" w:rsidRPr="00F23CF6" w:rsidRDefault="00AB2A78" w:rsidP="00AB2A78">
            <w:pPr>
              <w:rPr>
                <w:sz w:val="22"/>
                <w:szCs w:val="22"/>
              </w:rPr>
            </w:pPr>
            <w:r w:rsidRPr="00F23CF6">
              <w:rPr>
                <w:sz w:val="22"/>
                <w:szCs w:val="22"/>
              </w:rPr>
              <w:t>engagement in fragile contexts, focusing on supporting the basic needs of affected populations and using the Humanitarian-Development-Peace Nexus approach.</w:t>
            </w:r>
          </w:p>
        </w:tc>
        <w:tc>
          <w:tcPr>
            <w:tcW w:w="113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0BE3634" w14:textId="0A24E7FF" w:rsidR="00AB2A78" w:rsidRPr="00F23CF6" w:rsidRDefault="1CC4CF3D" w:rsidP="00AB2A78">
            <w:pPr>
              <w:rPr>
                <w:b/>
                <w:bCs/>
                <w:sz w:val="22"/>
                <w:szCs w:val="22"/>
              </w:rPr>
            </w:pPr>
            <w:r w:rsidRPr="00F23CF6">
              <w:rPr>
                <w:b/>
                <w:bCs/>
                <w:sz w:val="22"/>
                <w:szCs w:val="22"/>
              </w:rPr>
              <w:t>X</w:t>
            </w:r>
          </w:p>
        </w:tc>
        <w:tc>
          <w:tcPr>
            <w:tcW w:w="1559" w:type="dxa"/>
            <w:gridSpan w:val="2"/>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C323012" w14:textId="77777777" w:rsidR="00AB2A78" w:rsidRPr="00F23CF6" w:rsidRDefault="00AB2A78" w:rsidP="00AB2A78">
            <w:pPr>
              <w:rPr>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C6B11CE" w14:textId="77777777" w:rsidR="00AB2A78" w:rsidRPr="00F23CF6" w:rsidRDefault="00AB2A78" w:rsidP="00AB2A78">
            <w:pPr>
              <w:rPr>
                <w:sz w:val="22"/>
                <w:szCs w:val="22"/>
              </w:rPr>
            </w:pPr>
          </w:p>
        </w:tc>
        <w:tc>
          <w:tcPr>
            <w:tcW w:w="1465"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2970200" w14:textId="77777777" w:rsidR="00AB2A78" w:rsidRPr="00F23CF6" w:rsidRDefault="00AB2A78" w:rsidP="00AB2A78">
            <w:pPr>
              <w:rPr>
                <w:sz w:val="22"/>
                <w:szCs w:val="22"/>
              </w:rPr>
            </w:pPr>
          </w:p>
        </w:tc>
        <w:tc>
          <w:tcPr>
            <w:tcW w:w="165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6347EA2" w14:textId="77777777" w:rsidR="00AB2A78" w:rsidRPr="00F23CF6" w:rsidRDefault="00AB2A78" w:rsidP="00AB2A78">
            <w:pPr>
              <w:rPr>
                <w:sz w:val="22"/>
                <w:szCs w:val="22"/>
              </w:rPr>
            </w:pPr>
          </w:p>
        </w:tc>
      </w:tr>
    </w:tbl>
    <w:p w14:paraId="08F71EEE" w14:textId="74D1C64D" w:rsidR="00B01239" w:rsidRPr="00F44AFB" w:rsidRDefault="00B01239" w:rsidP="00B01239">
      <w:pPr>
        <w:pStyle w:val="ListParagraph"/>
      </w:pPr>
    </w:p>
    <w:p w14:paraId="08CB2832" w14:textId="35204F39" w:rsidR="00B01239" w:rsidRPr="00F44AFB" w:rsidRDefault="00B01239" w:rsidP="00B01239">
      <w:r w:rsidRPr="00F44AFB">
        <w:br w:type="page"/>
      </w:r>
    </w:p>
    <w:p w14:paraId="118C6D6B" w14:textId="6504ECA3" w:rsidR="00AB2A78" w:rsidRPr="00F44AFB" w:rsidRDefault="00AB2A78" w:rsidP="00B01239">
      <w:pPr>
        <w:pStyle w:val="ListParagraph"/>
        <w:numPr>
          <w:ilvl w:val="0"/>
          <w:numId w:val="1"/>
        </w:numPr>
      </w:pPr>
      <w:r w:rsidRPr="00F44AFB">
        <w:lastRenderedPageBreak/>
        <w:t>Do you agree that EU funds should support the following objectives?</w:t>
      </w:r>
    </w:p>
    <w:tbl>
      <w:tblPr>
        <w:tblW w:w="9588"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2727"/>
        <w:gridCol w:w="1195"/>
        <w:gridCol w:w="1468"/>
        <w:gridCol w:w="970"/>
        <w:gridCol w:w="967"/>
        <w:gridCol w:w="2261"/>
      </w:tblGrid>
      <w:tr w:rsidR="007A5D6A" w:rsidRPr="00F44AFB" w14:paraId="71DE9ADD" w14:textId="77777777" w:rsidTr="00DC2D62">
        <w:trPr>
          <w:tblHeader/>
        </w:trPr>
        <w:tc>
          <w:tcPr>
            <w:tcW w:w="2747"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534E6CCC" w14:textId="77777777" w:rsidR="00AB2A78" w:rsidRPr="00F44AFB" w:rsidRDefault="00AB2A78" w:rsidP="00AB2A78"/>
        </w:tc>
        <w:tc>
          <w:tcPr>
            <w:tcW w:w="1200"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02B0C087" w14:textId="77777777" w:rsidR="00AB2A78" w:rsidRPr="00F44AFB" w:rsidRDefault="00AB2A78" w:rsidP="00AB2A78">
            <w:pPr>
              <w:rPr>
                <w:b/>
                <w:bCs/>
              </w:rPr>
            </w:pPr>
            <w:r w:rsidRPr="00F44AFB">
              <w:rPr>
                <w:b/>
                <w:bCs/>
              </w:rPr>
              <w:t>To a large extent</w:t>
            </w:r>
          </w:p>
        </w:tc>
        <w:tc>
          <w:tcPr>
            <w:tcW w:w="1410"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51D6BC88" w14:textId="77777777" w:rsidR="00AB2A78" w:rsidRPr="00F44AFB" w:rsidRDefault="00AB2A78" w:rsidP="00AB2A78">
            <w:pPr>
              <w:rPr>
                <w:b/>
                <w:bCs/>
              </w:rPr>
            </w:pPr>
            <w:r w:rsidRPr="00F44AFB">
              <w:rPr>
                <w:b/>
                <w:bCs/>
              </w:rPr>
              <w:t>Somewhat</w:t>
            </w:r>
          </w:p>
        </w:tc>
        <w:tc>
          <w:tcPr>
            <w:tcW w:w="974"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360B7DCF" w14:textId="77777777" w:rsidR="00AB2A78" w:rsidRPr="00F44AFB" w:rsidRDefault="00AB2A78" w:rsidP="00AB2A78">
            <w:pPr>
              <w:rPr>
                <w:b/>
                <w:bCs/>
              </w:rPr>
            </w:pPr>
            <w:r w:rsidRPr="00F44AFB">
              <w:rPr>
                <w:b/>
                <w:bCs/>
              </w:rPr>
              <w:t>Very little</w:t>
            </w:r>
          </w:p>
        </w:tc>
        <w:tc>
          <w:tcPr>
            <w:tcW w:w="974"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71E634DB" w14:textId="77777777" w:rsidR="00AB2A78" w:rsidRPr="00F44AFB" w:rsidRDefault="00AB2A78" w:rsidP="00AB2A78">
            <w:pPr>
              <w:rPr>
                <w:b/>
                <w:bCs/>
              </w:rPr>
            </w:pPr>
            <w:r w:rsidRPr="00F44AFB">
              <w:rPr>
                <w:b/>
                <w:bCs/>
              </w:rPr>
              <w:t>Not at all</w:t>
            </w:r>
          </w:p>
        </w:tc>
        <w:tc>
          <w:tcPr>
            <w:tcW w:w="2283"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27869A6A" w14:textId="77777777" w:rsidR="00AB2A78" w:rsidRPr="00F44AFB" w:rsidRDefault="00AB2A78" w:rsidP="00AB2A78">
            <w:pPr>
              <w:rPr>
                <w:b/>
                <w:bCs/>
              </w:rPr>
            </w:pPr>
            <w:r w:rsidRPr="00F44AFB">
              <w:rPr>
                <w:b/>
                <w:bCs/>
              </w:rPr>
              <w:t>Don’t know/ not applicable</w:t>
            </w:r>
          </w:p>
        </w:tc>
      </w:tr>
      <w:tr w:rsidR="00AB2A78" w:rsidRPr="00F44AFB" w14:paraId="31FB77EB" w14:textId="77777777" w:rsidTr="00DC2D62">
        <w:tc>
          <w:tcPr>
            <w:tcW w:w="274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3E7FFA2" w14:textId="77777777" w:rsidR="00AB2A78" w:rsidRPr="00F44AFB" w:rsidRDefault="00AB2A78" w:rsidP="00AB2A78">
            <w:r w:rsidRPr="00F44AFB">
              <w:t>Support the strategic relationship with the EU’s Mediterranean partners</w:t>
            </w:r>
          </w:p>
        </w:tc>
        <w:tc>
          <w:tcPr>
            <w:tcW w:w="120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6469A54" w14:textId="2C841438" w:rsidR="00AB2A78" w:rsidRPr="00F44AFB" w:rsidRDefault="00AB2A78" w:rsidP="00AB2A78"/>
        </w:tc>
        <w:tc>
          <w:tcPr>
            <w:tcW w:w="141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D9B765D"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0188C5A"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8CD25DF" w14:textId="77777777" w:rsidR="00AB2A78" w:rsidRPr="00F44AFB" w:rsidRDefault="00AB2A78" w:rsidP="00AB2A78"/>
        </w:tc>
        <w:tc>
          <w:tcPr>
            <w:tcW w:w="228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132B94D" w14:textId="5A9029E7" w:rsidR="00AB2A78" w:rsidRPr="00F44AFB" w:rsidRDefault="48B6D1F1" w:rsidP="00AB2A78">
            <w:pPr>
              <w:rPr>
                <w:b/>
                <w:bCs/>
              </w:rPr>
            </w:pPr>
            <w:r w:rsidRPr="00F44AFB">
              <w:rPr>
                <w:b/>
                <w:bCs/>
              </w:rPr>
              <w:t>X</w:t>
            </w:r>
          </w:p>
        </w:tc>
      </w:tr>
      <w:tr w:rsidR="007A5D6A" w:rsidRPr="00F44AFB" w14:paraId="17DA5D61" w14:textId="77777777" w:rsidTr="00DC2D62">
        <w:tc>
          <w:tcPr>
            <w:tcW w:w="2747"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7344E03" w14:textId="77777777" w:rsidR="00AB2A78" w:rsidRPr="00F44AFB" w:rsidRDefault="00AB2A78" w:rsidP="00AB2A78">
            <w:r w:rsidRPr="00F44AFB">
              <w:t>Further develop partnerships with non-EU countries, notably in Africa, Asia and Latin America, and accelerate the achievement of Sustainable Development Goals, including through the Global Gateway strategy</w:t>
            </w:r>
          </w:p>
        </w:tc>
        <w:tc>
          <w:tcPr>
            <w:tcW w:w="120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CA1822F" w14:textId="15173EF4" w:rsidR="00AB2A78" w:rsidRPr="00F44AFB" w:rsidRDefault="0E203758" w:rsidP="00AB2A78">
            <w:pPr>
              <w:rPr>
                <w:b/>
                <w:bCs/>
              </w:rPr>
            </w:pPr>
            <w:r w:rsidRPr="00F44AFB">
              <w:rPr>
                <w:b/>
                <w:bCs/>
              </w:rPr>
              <w:t>X</w:t>
            </w:r>
          </w:p>
        </w:tc>
        <w:tc>
          <w:tcPr>
            <w:tcW w:w="141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B0C2EA5" w14:textId="77777777" w:rsidR="00AB2A78" w:rsidRPr="00F44AFB" w:rsidRDefault="00AB2A78" w:rsidP="00AB2A78">
            <w:pPr>
              <w:rPr>
                <w:b/>
                <w:bCs/>
              </w:rPr>
            </w:pPr>
          </w:p>
        </w:tc>
        <w:tc>
          <w:tcPr>
            <w:tcW w:w="97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D666D85" w14:textId="77777777" w:rsidR="00AB2A78" w:rsidRPr="00F44AFB" w:rsidRDefault="00AB2A78" w:rsidP="00AB2A78">
            <w:pPr>
              <w:rPr>
                <w:b/>
                <w:bCs/>
              </w:rPr>
            </w:pPr>
          </w:p>
        </w:tc>
        <w:tc>
          <w:tcPr>
            <w:tcW w:w="97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D8471A3" w14:textId="77777777" w:rsidR="00AB2A78" w:rsidRPr="00F44AFB" w:rsidRDefault="00AB2A78" w:rsidP="00AB2A78">
            <w:pPr>
              <w:rPr>
                <w:b/>
                <w:bCs/>
              </w:rPr>
            </w:pPr>
          </w:p>
        </w:tc>
        <w:tc>
          <w:tcPr>
            <w:tcW w:w="228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D0870C1" w14:textId="77777777" w:rsidR="00AB2A78" w:rsidRPr="00F44AFB" w:rsidRDefault="00AB2A78" w:rsidP="00AB2A78">
            <w:pPr>
              <w:rPr>
                <w:b/>
                <w:bCs/>
              </w:rPr>
            </w:pPr>
          </w:p>
        </w:tc>
      </w:tr>
      <w:tr w:rsidR="00AB2A78" w:rsidRPr="00F44AFB" w14:paraId="1B2C97A5" w14:textId="77777777" w:rsidTr="00DC2D62">
        <w:tc>
          <w:tcPr>
            <w:tcW w:w="274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F3D0DBC" w14:textId="77777777" w:rsidR="00AB2A78" w:rsidRPr="00F44AFB" w:rsidRDefault="2C91DC60" w:rsidP="03ED2B4E">
            <w:r w:rsidRPr="00F44AFB">
              <w:t>Promote EU interests including European competitiveness</w:t>
            </w:r>
          </w:p>
        </w:tc>
        <w:tc>
          <w:tcPr>
            <w:tcW w:w="120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444A150" w14:textId="77777777" w:rsidR="00AB2A78" w:rsidRPr="00F44AFB" w:rsidRDefault="00AB2A78" w:rsidP="00AB2A78"/>
        </w:tc>
        <w:tc>
          <w:tcPr>
            <w:tcW w:w="141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7ED66DB"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98FD5DF"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E0C9E95" w14:textId="1876ACB4" w:rsidR="00AB2A78" w:rsidRPr="00F44AFB" w:rsidRDefault="75897EA9" w:rsidP="00AB2A78">
            <w:pPr>
              <w:rPr>
                <w:b/>
                <w:bCs/>
              </w:rPr>
            </w:pPr>
            <w:r w:rsidRPr="00F44AFB">
              <w:rPr>
                <w:b/>
                <w:bCs/>
              </w:rPr>
              <w:t>X</w:t>
            </w:r>
          </w:p>
        </w:tc>
        <w:tc>
          <w:tcPr>
            <w:tcW w:w="228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52C9A6A" w14:textId="77777777" w:rsidR="00AB2A78" w:rsidRPr="00F44AFB" w:rsidRDefault="00AB2A78" w:rsidP="00AB2A78"/>
        </w:tc>
      </w:tr>
      <w:tr w:rsidR="007A5D6A" w:rsidRPr="00F44AFB" w14:paraId="77A69635" w14:textId="77777777" w:rsidTr="00DC2D62">
        <w:tc>
          <w:tcPr>
            <w:tcW w:w="2747"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8C26531" w14:textId="77777777" w:rsidR="00AB2A78" w:rsidRPr="00F44AFB" w:rsidRDefault="00AB2A78" w:rsidP="00AB2A78">
            <w:r w:rsidRPr="00F44AFB">
              <w:t>Provide humanitarian assistance abroad</w:t>
            </w:r>
          </w:p>
        </w:tc>
        <w:tc>
          <w:tcPr>
            <w:tcW w:w="120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4B0D0E1" w14:textId="70967A19" w:rsidR="00AB2A78" w:rsidRPr="00F44AFB" w:rsidRDefault="15CF5858" w:rsidP="00AB2A78">
            <w:pPr>
              <w:rPr>
                <w:b/>
                <w:bCs/>
              </w:rPr>
            </w:pPr>
            <w:r w:rsidRPr="00F44AFB">
              <w:rPr>
                <w:b/>
                <w:bCs/>
              </w:rPr>
              <w:t>X</w:t>
            </w:r>
          </w:p>
        </w:tc>
        <w:tc>
          <w:tcPr>
            <w:tcW w:w="141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E4A3DE7"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1358BA1"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E3A689E" w14:textId="77777777" w:rsidR="00AB2A78" w:rsidRPr="00F44AFB" w:rsidRDefault="00AB2A78" w:rsidP="00AB2A78"/>
        </w:tc>
        <w:tc>
          <w:tcPr>
            <w:tcW w:w="228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1CC5A07" w14:textId="77777777" w:rsidR="00AB2A78" w:rsidRPr="00F44AFB" w:rsidRDefault="00AB2A78" w:rsidP="00AB2A78"/>
        </w:tc>
      </w:tr>
      <w:tr w:rsidR="00AB2A78" w:rsidRPr="00F44AFB" w14:paraId="3E465753" w14:textId="77777777" w:rsidTr="00DC2D62">
        <w:tc>
          <w:tcPr>
            <w:tcW w:w="274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CDD5D06" w14:textId="77777777" w:rsidR="00AB2A78" w:rsidRPr="00F44AFB" w:rsidRDefault="00AB2A78" w:rsidP="00AB2A78">
            <w:r w:rsidRPr="00F44AFB">
              <w:t xml:space="preserve">Support the strengthening of nuclear safety, radiation protection, radioactive waste management and nuclear safeguards with beneficiary countries located across the EU’s </w:t>
            </w:r>
            <w:r w:rsidRPr="00F44AFB">
              <w:lastRenderedPageBreak/>
              <w:t>neighbourhood region and beyond</w:t>
            </w:r>
          </w:p>
        </w:tc>
        <w:tc>
          <w:tcPr>
            <w:tcW w:w="120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3468D10" w14:textId="77777777" w:rsidR="00AB2A78" w:rsidRPr="00F44AFB" w:rsidRDefault="00AB2A78" w:rsidP="00AB2A78"/>
        </w:tc>
        <w:tc>
          <w:tcPr>
            <w:tcW w:w="141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49E8F82"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1F428E5"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ED1BBA6" w14:textId="77777777" w:rsidR="00AB2A78" w:rsidRPr="00F44AFB" w:rsidRDefault="00AB2A78" w:rsidP="00AB2A78">
            <w:pPr>
              <w:rPr>
                <w:b/>
                <w:bCs/>
              </w:rPr>
            </w:pPr>
          </w:p>
        </w:tc>
        <w:tc>
          <w:tcPr>
            <w:tcW w:w="228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F189CDC" w14:textId="0F509F0C" w:rsidR="00AB2A78" w:rsidRPr="00F44AFB" w:rsidRDefault="43E5B0E0" w:rsidP="00AB2A78">
            <w:pPr>
              <w:rPr>
                <w:b/>
                <w:bCs/>
              </w:rPr>
            </w:pPr>
            <w:r w:rsidRPr="00F44AFB">
              <w:rPr>
                <w:b/>
                <w:bCs/>
              </w:rPr>
              <w:t>X</w:t>
            </w:r>
          </w:p>
        </w:tc>
      </w:tr>
      <w:tr w:rsidR="007A5D6A" w:rsidRPr="00F44AFB" w14:paraId="6BF035CB" w14:textId="77777777" w:rsidTr="00DC2D62">
        <w:tc>
          <w:tcPr>
            <w:tcW w:w="2747"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2259E60" w14:textId="22EDA8C5" w:rsidR="00AB2A78" w:rsidRPr="00F44AFB" w:rsidRDefault="57CCB702" w:rsidP="00AB2A78">
            <w:r w:rsidRPr="00F44AFB">
              <w:t>Other (please specify below)</w:t>
            </w:r>
          </w:p>
          <w:p w14:paraId="2B90D5DC" w14:textId="0F047C11" w:rsidR="00AB2A78" w:rsidRPr="00F44AFB" w:rsidRDefault="0A683714" w:rsidP="00AB2A78">
            <w:pPr>
              <w:rPr>
                <w:i/>
                <w:iCs/>
              </w:rPr>
            </w:pPr>
            <w:r w:rsidRPr="00F44AFB">
              <w:rPr>
                <w:i/>
                <w:iCs/>
              </w:rPr>
              <w:t xml:space="preserve">Financially support the implementation of the United Nations Convention on the Rights of Persons with Disabilities </w:t>
            </w:r>
          </w:p>
        </w:tc>
        <w:tc>
          <w:tcPr>
            <w:tcW w:w="120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E691011" w14:textId="22200938" w:rsidR="00AB2A78" w:rsidRPr="00F44AFB" w:rsidRDefault="00DC2D62" w:rsidP="00AB2A78">
            <w:pPr>
              <w:rPr>
                <w:b/>
                <w:bCs/>
              </w:rPr>
            </w:pPr>
            <w:r w:rsidRPr="00F44AFB">
              <w:rPr>
                <w:b/>
                <w:bCs/>
              </w:rPr>
              <w:t>X</w:t>
            </w:r>
          </w:p>
        </w:tc>
        <w:tc>
          <w:tcPr>
            <w:tcW w:w="141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F9A5064"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E0ADBAD" w14:textId="77777777" w:rsidR="00AB2A78" w:rsidRPr="00F44AFB" w:rsidRDefault="00AB2A78" w:rsidP="00AB2A78"/>
        </w:tc>
        <w:tc>
          <w:tcPr>
            <w:tcW w:w="974"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19A6366" w14:textId="77777777" w:rsidR="00AB2A78" w:rsidRPr="00F44AFB" w:rsidRDefault="00AB2A78" w:rsidP="00AB2A78"/>
        </w:tc>
        <w:tc>
          <w:tcPr>
            <w:tcW w:w="228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AE41B19" w14:textId="77777777" w:rsidR="00AB2A78" w:rsidRPr="00F44AFB" w:rsidRDefault="00AB2A78" w:rsidP="00AB2A78"/>
        </w:tc>
      </w:tr>
    </w:tbl>
    <w:p w14:paraId="031C7E9C" w14:textId="67EC74C4" w:rsidR="00B01239" w:rsidRPr="00F44AFB" w:rsidRDefault="00B01239" w:rsidP="00AB2A78"/>
    <w:p w14:paraId="7B397FE5" w14:textId="737DECD0" w:rsidR="00AB2A78" w:rsidRPr="00F44AFB" w:rsidRDefault="00B01239" w:rsidP="00AB2A78">
      <w:r w:rsidRPr="00F44AFB">
        <w:br w:type="page"/>
      </w:r>
    </w:p>
    <w:p w14:paraId="0960A865" w14:textId="06D28B56" w:rsidR="00AB2A78" w:rsidRPr="00F44AFB" w:rsidRDefault="00AB2A78" w:rsidP="00186644">
      <w:pPr>
        <w:pStyle w:val="ListParagraph"/>
        <w:numPr>
          <w:ilvl w:val="0"/>
          <w:numId w:val="1"/>
        </w:numPr>
      </w:pPr>
      <w:r w:rsidRPr="00F44AFB">
        <w:lastRenderedPageBreak/>
        <w:t>To what extent do you agree with the following statements regarding EU external funding?</w:t>
      </w:r>
    </w:p>
    <w:tbl>
      <w:tblPr>
        <w:tblW w:w="10207"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2633"/>
        <w:gridCol w:w="1320"/>
        <w:gridCol w:w="1498"/>
        <w:gridCol w:w="1351"/>
        <w:gridCol w:w="1199"/>
        <w:gridCol w:w="2206"/>
      </w:tblGrid>
      <w:tr w:rsidR="00AB2A78" w:rsidRPr="00F44AFB" w14:paraId="251B25D0" w14:textId="77777777" w:rsidTr="00F44AFB">
        <w:trPr>
          <w:tblHeader/>
        </w:trPr>
        <w:tc>
          <w:tcPr>
            <w:tcW w:w="2633"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5C28EB81" w14:textId="77777777" w:rsidR="00AB2A78" w:rsidRPr="00F44AFB" w:rsidRDefault="00AB2A78" w:rsidP="00AB2A78">
            <w:pPr>
              <w:rPr>
                <w:b/>
                <w:bCs/>
              </w:rPr>
            </w:pPr>
          </w:p>
        </w:tc>
        <w:tc>
          <w:tcPr>
            <w:tcW w:w="1320"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28DF9246" w14:textId="77777777" w:rsidR="00AB2A78" w:rsidRPr="00F44AFB" w:rsidRDefault="00AB2A78" w:rsidP="00AB2A78">
            <w:pPr>
              <w:rPr>
                <w:b/>
                <w:bCs/>
              </w:rPr>
            </w:pPr>
            <w:r w:rsidRPr="00F44AFB">
              <w:rPr>
                <w:b/>
                <w:bCs/>
              </w:rPr>
              <w:t>To a large extent</w:t>
            </w:r>
          </w:p>
        </w:tc>
        <w:tc>
          <w:tcPr>
            <w:tcW w:w="1498"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23FB5C2D" w14:textId="77777777" w:rsidR="00AB2A78" w:rsidRPr="00F44AFB" w:rsidRDefault="00AB2A78" w:rsidP="00AB2A78">
            <w:pPr>
              <w:rPr>
                <w:b/>
                <w:bCs/>
              </w:rPr>
            </w:pPr>
            <w:r w:rsidRPr="00F44AFB">
              <w:rPr>
                <w:b/>
                <w:bCs/>
              </w:rPr>
              <w:t>Somewhat</w:t>
            </w:r>
          </w:p>
        </w:tc>
        <w:tc>
          <w:tcPr>
            <w:tcW w:w="1351"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7D0BEE87" w14:textId="77777777" w:rsidR="00AB2A78" w:rsidRPr="00F44AFB" w:rsidRDefault="00AB2A78" w:rsidP="00AB2A78">
            <w:pPr>
              <w:rPr>
                <w:b/>
                <w:bCs/>
              </w:rPr>
            </w:pPr>
            <w:r w:rsidRPr="00F44AFB">
              <w:rPr>
                <w:b/>
                <w:bCs/>
              </w:rPr>
              <w:t>Very little</w:t>
            </w:r>
          </w:p>
        </w:tc>
        <w:tc>
          <w:tcPr>
            <w:tcW w:w="1199"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4DCABC7C" w14:textId="77777777" w:rsidR="00AB2A78" w:rsidRPr="00F44AFB" w:rsidRDefault="00AB2A78" w:rsidP="00AB2A78">
            <w:pPr>
              <w:rPr>
                <w:b/>
                <w:bCs/>
              </w:rPr>
            </w:pPr>
            <w:r w:rsidRPr="00F44AFB">
              <w:rPr>
                <w:b/>
                <w:bCs/>
              </w:rPr>
              <w:t>Not at all</w:t>
            </w:r>
          </w:p>
        </w:tc>
        <w:tc>
          <w:tcPr>
            <w:tcW w:w="2206" w:type="dxa"/>
            <w:tcBorders>
              <w:top w:val="single" w:sz="6" w:space="0" w:color="BBBBBB"/>
              <w:left w:val="single" w:sz="6" w:space="0" w:color="BBBBBB"/>
              <w:bottom w:val="single" w:sz="6" w:space="0" w:color="BBBBBB"/>
              <w:right w:val="single" w:sz="6" w:space="0" w:color="BBBBBB"/>
            </w:tcBorders>
            <w:shd w:val="clear" w:color="auto" w:fill="A5C9EB" w:themeFill="text2" w:themeFillTint="40"/>
            <w:tcMar>
              <w:top w:w="75" w:type="dxa"/>
              <w:left w:w="150" w:type="dxa"/>
              <w:bottom w:w="75" w:type="dxa"/>
              <w:right w:w="150" w:type="dxa"/>
            </w:tcMar>
            <w:vAlign w:val="center"/>
            <w:hideMark/>
          </w:tcPr>
          <w:p w14:paraId="75ADBC3B" w14:textId="77777777" w:rsidR="00AB2A78" w:rsidRPr="00F44AFB" w:rsidRDefault="00AB2A78" w:rsidP="00AB2A78">
            <w:pPr>
              <w:rPr>
                <w:b/>
                <w:bCs/>
              </w:rPr>
            </w:pPr>
            <w:r w:rsidRPr="00F44AFB">
              <w:rPr>
                <w:b/>
                <w:bCs/>
              </w:rPr>
              <w:t>Don't know/not applicable</w:t>
            </w:r>
          </w:p>
        </w:tc>
      </w:tr>
      <w:tr w:rsidR="00AB2A78" w:rsidRPr="00F44AFB" w14:paraId="326FFDB3"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D865223" w14:textId="77777777" w:rsidR="00AB2A78" w:rsidRPr="00F44AFB" w:rsidRDefault="00AB2A78" w:rsidP="00AB2A78">
            <w:r w:rsidRPr="00F44AFB">
              <w:t>The merging of several instruments has brought about improvements.</w:t>
            </w:r>
          </w:p>
        </w:tc>
        <w:tc>
          <w:tcPr>
            <w:tcW w:w="132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509DDAF"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68A5BAA" w14:textId="7CC18374" w:rsidR="00AB2A78" w:rsidRPr="00F44AFB" w:rsidRDefault="5D634133"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4EB617A"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5073B31"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176B7A5" w14:textId="77777777" w:rsidR="00AB2A78" w:rsidRPr="00F44AFB" w:rsidRDefault="00AB2A78" w:rsidP="00AB2A78"/>
        </w:tc>
      </w:tr>
      <w:tr w:rsidR="00AB2A78" w:rsidRPr="00F44AFB" w14:paraId="1204631C"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D647DD1" w14:textId="77777777" w:rsidR="00AB2A78" w:rsidRPr="00F44AFB" w:rsidRDefault="00AB2A78" w:rsidP="00AB2A78">
            <w:r w:rsidRPr="00F44AFB">
              <w:t>The joint work of the EU and its Member States and European financial institutions under a Team Europe approach should be scaled up.</w:t>
            </w:r>
          </w:p>
        </w:tc>
        <w:tc>
          <w:tcPr>
            <w:tcW w:w="132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33B80D5" w14:textId="4C2BA476"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CCA5746" w14:textId="77777777" w:rsidR="00AB2A78" w:rsidRPr="00F44AFB" w:rsidRDefault="00AB2A78" w:rsidP="00AB2A78"/>
        </w:tc>
        <w:tc>
          <w:tcPr>
            <w:tcW w:w="1351"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98307D8" w14:textId="1371F211" w:rsidR="00AB2A78" w:rsidRPr="00F44AFB" w:rsidRDefault="58894DE5" w:rsidP="00AB2A78">
            <w:pPr>
              <w:rPr>
                <w:b/>
                <w:bCs/>
              </w:rPr>
            </w:pPr>
            <w:r w:rsidRPr="00F44AFB">
              <w:rPr>
                <w:b/>
                <w:bCs/>
              </w:rPr>
              <w:t>X</w:t>
            </w:r>
          </w:p>
        </w:tc>
        <w:tc>
          <w:tcPr>
            <w:tcW w:w="1199"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2D0ED92"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436B682" w14:textId="77777777" w:rsidR="00AB2A78" w:rsidRPr="00F44AFB" w:rsidRDefault="00AB2A78" w:rsidP="00AB2A78"/>
        </w:tc>
      </w:tr>
      <w:tr w:rsidR="00AB2A78" w:rsidRPr="00F44AFB" w14:paraId="0144FC2F"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D5AE065" w14:textId="77777777" w:rsidR="00AB2A78" w:rsidRPr="00F44AFB" w:rsidRDefault="00AB2A78" w:rsidP="00AB2A78">
            <w:r w:rsidRPr="00F44AFB">
              <w:t>The geographic focus in EU external action financing is effective and has an adequate impact.</w:t>
            </w:r>
          </w:p>
        </w:tc>
        <w:tc>
          <w:tcPr>
            <w:tcW w:w="132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25F5783"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EAD07BF" w14:textId="79F56DEA" w:rsidR="00AB2A78" w:rsidRPr="00F44AFB" w:rsidRDefault="419CDA9F"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F0EE4FC"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9734CAC"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7513401" w14:textId="77777777" w:rsidR="00AB2A78" w:rsidRPr="00F44AFB" w:rsidRDefault="00AB2A78" w:rsidP="00AB2A78"/>
        </w:tc>
      </w:tr>
      <w:tr w:rsidR="00AB2A78" w:rsidRPr="00F44AFB" w14:paraId="69D090AC"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E8B4741" w14:textId="77777777" w:rsidR="00AB2A78" w:rsidRPr="00F44AFB" w:rsidRDefault="00AB2A78" w:rsidP="00AB2A78">
            <w:r w:rsidRPr="00F44AFB">
              <w:t>It is important for the EU to encourage private sector investments to increase the total funding for development and humanitarian assistance and to achieve the Sustainable Development Goals as well as build mutually beneficial partnerships.</w:t>
            </w:r>
          </w:p>
        </w:tc>
        <w:tc>
          <w:tcPr>
            <w:tcW w:w="132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0395A96"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35506DB" w14:textId="4E522CA7" w:rsidR="00AB2A78" w:rsidRPr="00F44AFB" w:rsidRDefault="431D58A1"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2FF4DBA6" w14:textId="1D88AEA6"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F9B2BD8"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EEDF4AE" w14:textId="77777777" w:rsidR="00AB2A78" w:rsidRPr="00F44AFB" w:rsidRDefault="00AB2A78" w:rsidP="00AB2A78"/>
        </w:tc>
      </w:tr>
      <w:tr w:rsidR="00AB2A78" w:rsidRPr="00F44AFB" w14:paraId="6FE30EEB"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14B120C" w14:textId="77777777" w:rsidR="00AB2A78" w:rsidRPr="00F44AFB" w:rsidRDefault="00AB2A78" w:rsidP="00AB2A78">
            <w:r w:rsidRPr="00F44AFB">
              <w:lastRenderedPageBreak/>
              <w:t>Combining grants with loans, guarantees and blending would produce better results in the beneficiary countries compared to the use of grants alone.</w:t>
            </w:r>
          </w:p>
        </w:tc>
        <w:tc>
          <w:tcPr>
            <w:tcW w:w="132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7FFF7A1"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1CBA7D7" w14:textId="2FCB006C" w:rsidR="00AB2A78" w:rsidRPr="00F44AFB" w:rsidRDefault="00AB2A78" w:rsidP="00AB2A78"/>
        </w:tc>
        <w:tc>
          <w:tcPr>
            <w:tcW w:w="1351"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CF2CBEF" w14:textId="38C90CFC"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98647CB"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F7D2AE3" w14:textId="3CFE7BAA" w:rsidR="00AB2A78" w:rsidRPr="00F44AFB" w:rsidRDefault="0708328C" w:rsidP="00AB2A78">
            <w:pPr>
              <w:rPr>
                <w:b/>
                <w:bCs/>
              </w:rPr>
            </w:pPr>
            <w:r w:rsidRPr="00F44AFB">
              <w:rPr>
                <w:b/>
                <w:bCs/>
              </w:rPr>
              <w:t>X</w:t>
            </w:r>
          </w:p>
        </w:tc>
      </w:tr>
      <w:tr w:rsidR="00AB2A78" w:rsidRPr="00F44AFB" w14:paraId="54C28CD3"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74C04002" w14:textId="77777777" w:rsidR="00AB2A78" w:rsidRPr="00F44AFB" w:rsidRDefault="00AB2A78" w:rsidP="00AB2A78">
            <w:r w:rsidRPr="00F44AFB">
              <w:t>EU external funding is sufficiently flexible to respond in a timely matter to crises and secure stability at the EU’s borders and beyond.</w:t>
            </w:r>
          </w:p>
        </w:tc>
        <w:tc>
          <w:tcPr>
            <w:tcW w:w="132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0E6489A3"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200DDE6" w14:textId="14B62EC5" w:rsidR="00AB2A78" w:rsidRPr="00F44AFB" w:rsidRDefault="00A608D9"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64D966C"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9908D37"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9866AF9" w14:textId="77777777" w:rsidR="00AB2A78" w:rsidRPr="00F44AFB" w:rsidRDefault="00AB2A78" w:rsidP="00AB2A78"/>
        </w:tc>
      </w:tr>
      <w:tr w:rsidR="00AB2A78" w:rsidRPr="00F44AFB" w14:paraId="0D5C1004"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6A16799" w14:textId="77777777" w:rsidR="00AB2A78" w:rsidRPr="00F44AFB" w:rsidRDefault="00AB2A78" w:rsidP="00AB2A78">
            <w:r w:rsidRPr="00F44AFB">
              <w:t>EU grants effectively support global public goods, democracy, human rights, good governance and the rule of law.</w:t>
            </w:r>
          </w:p>
        </w:tc>
        <w:tc>
          <w:tcPr>
            <w:tcW w:w="132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9103678" w14:textId="74556061" w:rsidR="00AB2A78" w:rsidRPr="00F44AFB" w:rsidRDefault="00AB2A78" w:rsidP="00AB2A78">
            <w:pPr>
              <w:rPr>
                <w:b/>
                <w:bCs/>
              </w:rPr>
            </w:pPr>
          </w:p>
        </w:tc>
        <w:tc>
          <w:tcPr>
            <w:tcW w:w="1498"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E0663EC" w14:textId="298F1EE9" w:rsidR="00AB2A78" w:rsidRPr="00F44AFB" w:rsidRDefault="6B6E18DD"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63435C5"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BFF82A8"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4445ACC" w14:textId="77777777" w:rsidR="00AB2A78" w:rsidRPr="00F44AFB" w:rsidRDefault="00AB2A78" w:rsidP="00AB2A78"/>
        </w:tc>
      </w:tr>
      <w:tr w:rsidR="00AB2A78" w:rsidRPr="00F44AFB" w14:paraId="3AD8FBA5"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FDF1D02" w14:textId="77777777" w:rsidR="00AB2A78" w:rsidRPr="00F44AFB" w:rsidRDefault="00AB2A78" w:rsidP="00AB2A78">
            <w:r w:rsidRPr="00F44AFB">
              <w:t>Working through strategic and comprehensive partnerships, in pre-accession countries, with national reform plans linking payments to delivering results is increasing the EU’s leverage in negotiations with its partners.</w:t>
            </w:r>
          </w:p>
        </w:tc>
        <w:tc>
          <w:tcPr>
            <w:tcW w:w="132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D688801"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E3663A2" w14:textId="77777777" w:rsidR="00AB2A78" w:rsidRPr="00F44AFB" w:rsidRDefault="00AB2A78" w:rsidP="00AB2A78"/>
        </w:tc>
        <w:tc>
          <w:tcPr>
            <w:tcW w:w="1351"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7990C74"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557F865F" w14:textId="75C1619B"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852C840" w14:textId="5C4BD2C3" w:rsidR="00AB2A78" w:rsidRPr="00F44AFB" w:rsidRDefault="6870E4A9" w:rsidP="00AB2A78">
            <w:pPr>
              <w:rPr>
                <w:b/>
                <w:bCs/>
              </w:rPr>
            </w:pPr>
            <w:r w:rsidRPr="00F44AFB">
              <w:rPr>
                <w:b/>
                <w:bCs/>
              </w:rPr>
              <w:t>X</w:t>
            </w:r>
          </w:p>
        </w:tc>
      </w:tr>
      <w:tr w:rsidR="00AB2A78" w:rsidRPr="00F44AFB" w14:paraId="2BECDE84"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13AABDB" w14:textId="77777777" w:rsidR="00AB2A78" w:rsidRPr="00F44AFB" w:rsidRDefault="00AB2A78" w:rsidP="00AB2A78">
            <w:r w:rsidRPr="00F44AFB">
              <w:lastRenderedPageBreak/>
              <w:t>The synergy between EU external funding and EU internal / national funding in the EU’s external border regions should be strengthened.</w:t>
            </w:r>
          </w:p>
        </w:tc>
        <w:tc>
          <w:tcPr>
            <w:tcW w:w="132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2DFABE7"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9D2915D" w14:textId="77777777" w:rsidR="00AB2A78" w:rsidRPr="00F44AFB" w:rsidRDefault="00AB2A78" w:rsidP="00AB2A78"/>
        </w:tc>
        <w:tc>
          <w:tcPr>
            <w:tcW w:w="1351"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E1F6B76"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66A5D12" w14:textId="776F66FC"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9812ECA" w14:textId="6A0A076E" w:rsidR="00AB2A78" w:rsidRPr="00F44AFB" w:rsidRDefault="4408E08F" w:rsidP="00AB2A78">
            <w:pPr>
              <w:rPr>
                <w:b/>
                <w:bCs/>
              </w:rPr>
            </w:pPr>
            <w:r w:rsidRPr="00F44AFB">
              <w:rPr>
                <w:b/>
                <w:bCs/>
              </w:rPr>
              <w:t>X</w:t>
            </w:r>
          </w:p>
        </w:tc>
      </w:tr>
      <w:tr w:rsidR="00AB2A78" w:rsidRPr="00F44AFB" w14:paraId="234204A0"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9212D58" w14:textId="77777777" w:rsidR="00AB2A78" w:rsidRPr="00F44AFB" w:rsidRDefault="00AB2A78" w:rsidP="00AB2A78">
            <w:r w:rsidRPr="00F44AFB">
              <w:t>EU funding is helping to address the specific challenges of Overseas Countries and Territories, including Greenland.</w:t>
            </w:r>
          </w:p>
        </w:tc>
        <w:tc>
          <w:tcPr>
            <w:tcW w:w="132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8D55612"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B53C6DB" w14:textId="77777777" w:rsidR="00AB2A78" w:rsidRPr="00F44AFB" w:rsidRDefault="00AB2A78" w:rsidP="00AB2A78"/>
        </w:tc>
        <w:tc>
          <w:tcPr>
            <w:tcW w:w="1351"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1800A2FE"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B799F2C"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33DC3DF7" w14:textId="2AEA700C" w:rsidR="00AB2A78" w:rsidRPr="00F44AFB" w:rsidRDefault="2E969C45" w:rsidP="00AB2A78">
            <w:pPr>
              <w:rPr>
                <w:b/>
                <w:bCs/>
              </w:rPr>
            </w:pPr>
            <w:r w:rsidRPr="00F44AFB">
              <w:rPr>
                <w:b/>
                <w:bCs/>
              </w:rPr>
              <w:t>X</w:t>
            </w:r>
          </w:p>
        </w:tc>
      </w:tr>
      <w:tr w:rsidR="00AB2A78" w:rsidRPr="00F44AFB" w14:paraId="29CA3562"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6B82413" w14:textId="77777777" w:rsidR="00AB2A78" w:rsidRPr="00F44AFB" w:rsidRDefault="00AB2A78" w:rsidP="00AB2A78">
            <w:r w:rsidRPr="00F44AFB">
              <w:t>You feel well informed about the EU’s external action activities.</w:t>
            </w:r>
          </w:p>
        </w:tc>
        <w:tc>
          <w:tcPr>
            <w:tcW w:w="1320"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14CBE59"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82F472F" w14:textId="66DA0FCF" w:rsidR="00AB2A78" w:rsidRPr="00F44AFB" w:rsidRDefault="00A608D9"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8CA8A4D"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D28769A"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45AC87E" w14:textId="77777777" w:rsidR="00AB2A78" w:rsidRPr="00F44AFB" w:rsidRDefault="00AB2A78" w:rsidP="00AB2A78"/>
        </w:tc>
      </w:tr>
      <w:tr w:rsidR="00AB2A78" w:rsidRPr="00F44AFB" w14:paraId="470006BB" w14:textId="77777777" w:rsidTr="00F44AFB">
        <w:tc>
          <w:tcPr>
            <w:tcW w:w="2633"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D6EBF80" w14:textId="77777777" w:rsidR="00AB2A78" w:rsidRPr="00F44AFB" w:rsidRDefault="00AB2A78" w:rsidP="00AB2A78">
            <w:r w:rsidRPr="00F44AFB">
              <w:t>The EU should better prevent and combat fraud, corruption and other illegal activities targeting EU funds</w:t>
            </w:r>
          </w:p>
        </w:tc>
        <w:tc>
          <w:tcPr>
            <w:tcW w:w="1320"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2CB5759B" w14:textId="77777777" w:rsidR="00AB2A78" w:rsidRPr="00F44AFB" w:rsidRDefault="00AB2A78" w:rsidP="00AB2A78"/>
        </w:tc>
        <w:tc>
          <w:tcPr>
            <w:tcW w:w="1498"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86D888F" w14:textId="087FF33F" w:rsidR="00AB2A78" w:rsidRPr="00F44AFB" w:rsidRDefault="1C753C12" w:rsidP="00AB2A78">
            <w:pPr>
              <w:rPr>
                <w:b/>
                <w:bCs/>
              </w:rPr>
            </w:pPr>
            <w:r w:rsidRPr="00F44AFB">
              <w:rPr>
                <w:b/>
                <w:bCs/>
              </w:rPr>
              <w:t>X</w:t>
            </w:r>
          </w:p>
        </w:tc>
        <w:tc>
          <w:tcPr>
            <w:tcW w:w="1351"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2D1CBA34" w14:textId="77777777" w:rsidR="00AB2A78" w:rsidRPr="00F44AFB" w:rsidRDefault="00AB2A78" w:rsidP="00AB2A78"/>
        </w:tc>
        <w:tc>
          <w:tcPr>
            <w:tcW w:w="1199"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42203814" w14:textId="77777777" w:rsidR="00AB2A78" w:rsidRPr="00F44AFB" w:rsidRDefault="00AB2A78" w:rsidP="00AB2A78"/>
        </w:tc>
        <w:tc>
          <w:tcPr>
            <w:tcW w:w="2206" w:type="dxa"/>
            <w:tcBorders>
              <w:top w:val="single" w:sz="6" w:space="0" w:color="BBBBBB"/>
              <w:left w:val="single" w:sz="6" w:space="0" w:color="BBBBBB"/>
              <w:bottom w:val="single" w:sz="6" w:space="0" w:color="BBBBBB"/>
              <w:right w:val="single" w:sz="6" w:space="0" w:color="BBBBBB"/>
            </w:tcBorders>
            <w:shd w:val="clear" w:color="auto" w:fill="DAE9F7" w:themeFill="text2" w:themeFillTint="1A"/>
            <w:tcMar>
              <w:top w:w="75" w:type="dxa"/>
              <w:left w:w="150" w:type="dxa"/>
              <w:bottom w:w="75" w:type="dxa"/>
              <w:right w:w="150" w:type="dxa"/>
            </w:tcMar>
            <w:vAlign w:val="center"/>
            <w:hideMark/>
          </w:tcPr>
          <w:p w14:paraId="69143346" w14:textId="77777777" w:rsidR="00AB2A78" w:rsidRPr="00F44AFB" w:rsidRDefault="00AB2A78" w:rsidP="00AB2A78"/>
        </w:tc>
      </w:tr>
    </w:tbl>
    <w:p w14:paraId="3025F68B" w14:textId="77777777" w:rsidR="00F44AFB" w:rsidRPr="00F44AFB" w:rsidRDefault="00F44AFB" w:rsidP="00F44AFB"/>
    <w:p w14:paraId="54B88F5C" w14:textId="77777777" w:rsidR="00F44AFB" w:rsidRPr="00F44AFB" w:rsidRDefault="00F44AFB">
      <w:r w:rsidRPr="00F44AFB">
        <w:br w:type="page"/>
      </w:r>
    </w:p>
    <w:p w14:paraId="670F08E6" w14:textId="510F1356" w:rsidR="00AB2A78" w:rsidRPr="00F44AFB" w:rsidRDefault="00F44AFB" w:rsidP="00F44AFB">
      <w:pPr>
        <w:pStyle w:val="ListParagraph"/>
        <w:numPr>
          <w:ilvl w:val="0"/>
          <w:numId w:val="1"/>
        </w:numPr>
      </w:pPr>
      <w:r w:rsidRPr="00F44AFB">
        <w:lastRenderedPageBreak/>
        <w:t>Y</w:t>
      </w:r>
      <w:r w:rsidR="00AB2A78" w:rsidRPr="00F44AFB">
        <w:t>ou can provide further comments on these topics here.</w:t>
      </w:r>
    </w:p>
    <w:p w14:paraId="142E964F" w14:textId="66EF4046" w:rsidR="6C63B13E" w:rsidRPr="00F44AFB" w:rsidRDefault="5293B6A3" w:rsidP="16D40552">
      <w:pPr>
        <w:rPr>
          <w:i/>
          <w:iCs/>
        </w:rPr>
      </w:pPr>
      <w:r w:rsidRPr="00F44AFB">
        <w:rPr>
          <w:i/>
          <w:iCs/>
        </w:rPr>
        <w:t>We urge the EU to prioriti</w:t>
      </w:r>
      <w:r w:rsidR="43A1DFC6" w:rsidRPr="00F44AFB">
        <w:rPr>
          <w:i/>
          <w:iCs/>
        </w:rPr>
        <w:t>s</w:t>
      </w:r>
      <w:r w:rsidRPr="00F44AFB">
        <w:rPr>
          <w:i/>
          <w:iCs/>
        </w:rPr>
        <w:t xml:space="preserve">e </w:t>
      </w:r>
      <w:r w:rsidR="00BD7994" w:rsidRPr="00F44AFB">
        <w:rPr>
          <w:i/>
          <w:iCs/>
        </w:rPr>
        <w:t xml:space="preserve">funding for </w:t>
      </w:r>
      <w:r w:rsidRPr="00F44AFB">
        <w:rPr>
          <w:i/>
          <w:iCs/>
        </w:rPr>
        <w:t xml:space="preserve">disability inclusion in its 2028–2034 budget for external action. Despite commitments like the CRPD, disability remains underfunded and under-prioritised. </w:t>
      </w:r>
      <w:r w:rsidR="00186644" w:rsidRPr="00F44AFB">
        <w:rPr>
          <w:i/>
          <w:iCs/>
        </w:rPr>
        <w:t>We call</w:t>
      </w:r>
      <w:r w:rsidRPr="00F44AFB">
        <w:rPr>
          <w:i/>
          <w:iCs/>
        </w:rPr>
        <w:t xml:space="preserve"> for a dedicated and better funding, accessible programmes, and civil society support. A systemic, rights-based approach is essential to ensure international cooperation truly leaves no one behind.</w:t>
      </w:r>
    </w:p>
    <w:p w14:paraId="1ED9D520" w14:textId="56D0901C" w:rsidR="00186644" w:rsidRPr="00F44AFB" w:rsidRDefault="00AB2A78" w:rsidP="00186644">
      <w:pPr>
        <w:pStyle w:val="ListParagraph"/>
        <w:numPr>
          <w:ilvl w:val="0"/>
          <w:numId w:val="1"/>
        </w:numPr>
      </w:pPr>
      <w:r w:rsidRPr="00F44AFB">
        <w:t>If you wish to attach any relevant document to support your replies, please feel free to do so here.</w:t>
      </w:r>
    </w:p>
    <w:p w14:paraId="0E621662" w14:textId="36E8B1B4" w:rsidR="00186644" w:rsidRPr="00F44AFB" w:rsidRDefault="00B01239" w:rsidP="00186644">
      <w:pPr>
        <w:rPr>
          <w:i/>
          <w:iCs/>
        </w:rPr>
      </w:pPr>
      <w:r w:rsidRPr="00F44AFB">
        <w:rPr>
          <w:i/>
          <w:iCs/>
        </w:rPr>
        <w:t xml:space="preserve">Please find template attachment on EDF’s website. </w:t>
      </w:r>
    </w:p>
    <w:p w14:paraId="41031ED5" w14:textId="77777777" w:rsidR="00186644" w:rsidRPr="00F44AFB" w:rsidRDefault="00186644" w:rsidP="00AB2A78"/>
    <w:p w14:paraId="076045FB" w14:textId="77777777" w:rsidR="00AB2A78" w:rsidRPr="00F44AFB" w:rsidRDefault="00AB2A78"/>
    <w:sectPr w:rsidR="00AB2A78" w:rsidRPr="00F44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E2AAF"/>
    <w:multiLevelType w:val="hybridMultilevel"/>
    <w:tmpl w:val="C0643DC2"/>
    <w:lvl w:ilvl="0" w:tplc="5FF8095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BBDE1"/>
    <w:multiLevelType w:val="hybridMultilevel"/>
    <w:tmpl w:val="FFFFFFFF"/>
    <w:lvl w:ilvl="0" w:tplc="79785BD4">
      <w:start w:val="1"/>
      <w:numFmt w:val="bullet"/>
      <w:lvlText w:val="-"/>
      <w:lvlJc w:val="left"/>
      <w:pPr>
        <w:ind w:left="720" w:hanging="360"/>
      </w:pPr>
      <w:rPr>
        <w:rFonts w:ascii="Aptos" w:hAnsi="Aptos" w:hint="default"/>
      </w:rPr>
    </w:lvl>
    <w:lvl w:ilvl="1" w:tplc="3A86856C">
      <w:start w:val="1"/>
      <w:numFmt w:val="bullet"/>
      <w:lvlText w:val="o"/>
      <w:lvlJc w:val="left"/>
      <w:pPr>
        <w:ind w:left="1440" w:hanging="360"/>
      </w:pPr>
      <w:rPr>
        <w:rFonts w:ascii="Courier New" w:hAnsi="Courier New" w:hint="default"/>
      </w:rPr>
    </w:lvl>
    <w:lvl w:ilvl="2" w:tplc="E10887CC">
      <w:start w:val="1"/>
      <w:numFmt w:val="bullet"/>
      <w:lvlText w:val=""/>
      <w:lvlJc w:val="left"/>
      <w:pPr>
        <w:ind w:left="2160" w:hanging="360"/>
      </w:pPr>
      <w:rPr>
        <w:rFonts w:ascii="Wingdings" w:hAnsi="Wingdings" w:hint="default"/>
      </w:rPr>
    </w:lvl>
    <w:lvl w:ilvl="3" w:tplc="0ABABDE0">
      <w:start w:val="1"/>
      <w:numFmt w:val="bullet"/>
      <w:lvlText w:val=""/>
      <w:lvlJc w:val="left"/>
      <w:pPr>
        <w:ind w:left="2880" w:hanging="360"/>
      </w:pPr>
      <w:rPr>
        <w:rFonts w:ascii="Symbol" w:hAnsi="Symbol" w:hint="default"/>
      </w:rPr>
    </w:lvl>
    <w:lvl w:ilvl="4" w:tplc="C1102AD0">
      <w:start w:val="1"/>
      <w:numFmt w:val="bullet"/>
      <w:lvlText w:val="o"/>
      <w:lvlJc w:val="left"/>
      <w:pPr>
        <w:ind w:left="3600" w:hanging="360"/>
      </w:pPr>
      <w:rPr>
        <w:rFonts w:ascii="Courier New" w:hAnsi="Courier New" w:hint="default"/>
      </w:rPr>
    </w:lvl>
    <w:lvl w:ilvl="5" w:tplc="D6365D6C">
      <w:start w:val="1"/>
      <w:numFmt w:val="bullet"/>
      <w:lvlText w:val=""/>
      <w:lvlJc w:val="left"/>
      <w:pPr>
        <w:ind w:left="4320" w:hanging="360"/>
      </w:pPr>
      <w:rPr>
        <w:rFonts w:ascii="Wingdings" w:hAnsi="Wingdings" w:hint="default"/>
      </w:rPr>
    </w:lvl>
    <w:lvl w:ilvl="6" w:tplc="5B3A3136">
      <w:start w:val="1"/>
      <w:numFmt w:val="bullet"/>
      <w:lvlText w:val=""/>
      <w:lvlJc w:val="left"/>
      <w:pPr>
        <w:ind w:left="5040" w:hanging="360"/>
      </w:pPr>
      <w:rPr>
        <w:rFonts w:ascii="Symbol" w:hAnsi="Symbol" w:hint="default"/>
      </w:rPr>
    </w:lvl>
    <w:lvl w:ilvl="7" w:tplc="2B420744">
      <w:start w:val="1"/>
      <w:numFmt w:val="bullet"/>
      <w:lvlText w:val="o"/>
      <w:lvlJc w:val="left"/>
      <w:pPr>
        <w:ind w:left="5760" w:hanging="360"/>
      </w:pPr>
      <w:rPr>
        <w:rFonts w:ascii="Courier New" w:hAnsi="Courier New" w:hint="default"/>
      </w:rPr>
    </w:lvl>
    <w:lvl w:ilvl="8" w:tplc="FEFCAD5C">
      <w:start w:val="1"/>
      <w:numFmt w:val="bullet"/>
      <w:lvlText w:val=""/>
      <w:lvlJc w:val="left"/>
      <w:pPr>
        <w:ind w:left="6480" w:hanging="360"/>
      </w:pPr>
      <w:rPr>
        <w:rFonts w:ascii="Wingdings" w:hAnsi="Wingdings" w:hint="default"/>
      </w:rPr>
    </w:lvl>
  </w:abstractNum>
  <w:num w:numId="1" w16cid:durableId="2016415992">
    <w:abstractNumId w:val="0"/>
  </w:num>
  <w:num w:numId="2" w16cid:durableId="36309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78"/>
    <w:rsid w:val="00043277"/>
    <w:rsid w:val="00070669"/>
    <w:rsid w:val="00076827"/>
    <w:rsid w:val="000B157A"/>
    <w:rsid w:val="000E6A29"/>
    <w:rsid w:val="00103826"/>
    <w:rsid w:val="00105F81"/>
    <w:rsid w:val="0014364D"/>
    <w:rsid w:val="00186644"/>
    <w:rsid w:val="0019433C"/>
    <w:rsid w:val="001E32A4"/>
    <w:rsid w:val="0020173F"/>
    <w:rsid w:val="00216303"/>
    <w:rsid w:val="002205D6"/>
    <w:rsid w:val="0023301C"/>
    <w:rsid w:val="002A7B86"/>
    <w:rsid w:val="002B1DB5"/>
    <w:rsid w:val="002B564A"/>
    <w:rsid w:val="002F2C62"/>
    <w:rsid w:val="00331B54"/>
    <w:rsid w:val="00357BBC"/>
    <w:rsid w:val="00380612"/>
    <w:rsid w:val="00387F7D"/>
    <w:rsid w:val="003C0D9D"/>
    <w:rsid w:val="003E263F"/>
    <w:rsid w:val="00412A0B"/>
    <w:rsid w:val="004206EA"/>
    <w:rsid w:val="004331C1"/>
    <w:rsid w:val="00461AB7"/>
    <w:rsid w:val="0046603C"/>
    <w:rsid w:val="00486736"/>
    <w:rsid w:val="0049013A"/>
    <w:rsid w:val="005232AC"/>
    <w:rsid w:val="00531C5A"/>
    <w:rsid w:val="0053649D"/>
    <w:rsid w:val="00553FCF"/>
    <w:rsid w:val="005D723F"/>
    <w:rsid w:val="005D791D"/>
    <w:rsid w:val="005D7933"/>
    <w:rsid w:val="005E3760"/>
    <w:rsid w:val="0060626D"/>
    <w:rsid w:val="00624EB4"/>
    <w:rsid w:val="00655A43"/>
    <w:rsid w:val="006B30E9"/>
    <w:rsid w:val="006B5BED"/>
    <w:rsid w:val="006B6C91"/>
    <w:rsid w:val="006D5794"/>
    <w:rsid w:val="007969AE"/>
    <w:rsid w:val="007A5D6A"/>
    <w:rsid w:val="007B559E"/>
    <w:rsid w:val="008125BD"/>
    <w:rsid w:val="008148FB"/>
    <w:rsid w:val="00891CCA"/>
    <w:rsid w:val="008A205A"/>
    <w:rsid w:val="008C28E2"/>
    <w:rsid w:val="0095417C"/>
    <w:rsid w:val="00954843"/>
    <w:rsid w:val="009631B9"/>
    <w:rsid w:val="009726C0"/>
    <w:rsid w:val="0097325D"/>
    <w:rsid w:val="00995F04"/>
    <w:rsid w:val="009D2CEA"/>
    <w:rsid w:val="009E786E"/>
    <w:rsid w:val="00A608D9"/>
    <w:rsid w:val="00A61381"/>
    <w:rsid w:val="00A678B4"/>
    <w:rsid w:val="00AB2A78"/>
    <w:rsid w:val="00B01239"/>
    <w:rsid w:val="00B13068"/>
    <w:rsid w:val="00B373B3"/>
    <w:rsid w:val="00B64E65"/>
    <w:rsid w:val="00B65F44"/>
    <w:rsid w:val="00B877DF"/>
    <w:rsid w:val="00BA06CB"/>
    <w:rsid w:val="00BD47F7"/>
    <w:rsid w:val="00BD7994"/>
    <w:rsid w:val="00C071D6"/>
    <w:rsid w:val="00C51106"/>
    <w:rsid w:val="00C9338D"/>
    <w:rsid w:val="00C978F5"/>
    <w:rsid w:val="00CD25A1"/>
    <w:rsid w:val="00CD3BAA"/>
    <w:rsid w:val="00D12069"/>
    <w:rsid w:val="00D4510C"/>
    <w:rsid w:val="00D703D7"/>
    <w:rsid w:val="00D7769A"/>
    <w:rsid w:val="00D8487B"/>
    <w:rsid w:val="00D95672"/>
    <w:rsid w:val="00DC2D62"/>
    <w:rsid w:val="00DF0EA4"/>
    <w:rsid w:val="00E84383"/>
    <w:rsid w:val="00EB4D7D"/>
    <w:rsid w:val="00F15E3F"/>
    <w:rsid w:val="00F23CF6"/>
    <w:rsid w:val="00F44AFB"/>
    <w:rsid w:val="00F475E5"/>
    <w:rsid w:val="00F50C9A"/>
    <w:rsid w:val="00F663A8"/>
    <w:rsid w:val="00F9195C"/>
    <w:rsid w:val="00FF280D"/>
    <w:rsid w:val="021704A0"/>
    <w:rsid w:val="023EF33B"/>
    <w:rsid w:val="037B6CF4"/>
    <w:rsid w:val="03ED2B4E"/>
    <w:rsid w:val="04C3A95B"/>
    <w:rsid w:val="04CA54A3"/>
    <w:rsid w:val="063D93B6"/>
    <w:rsid w:val="06DEB9BC"/>
    <w:rsid w:val="0708328C"/>
    <w:rsid w:val="08AC28C1"/>
    <w:rsid w:val="0A683714"/>
    <w:rsid w:val="0BC2F996"/>
    <w:rsid w:val="0BEDD907"/>
    <w:rsid w:val="0C28DF7E"/>
    <w:rsid w:val="0E203758"/>
    <w:rsid w:val="0F67D253"/>
    <w:rsid w:val="0F7CA165"/>
    <w:rsid w:val="10093772"/>
    <w:rsid w:val="1149F0EA"/>
    <w:rsid w:val="12BF606E"/>
    <w:rsid w:val="12C350C9"/>
    <w:rsid w:val="13659649"/>
    <w:rsid w:val="13F7A2D8"/>
    <w:rsid w:val="145B0002"/>
    <w:rsid w:val="14DD71F6"/>
    <w:rsid w:val="15CF5858"/>
    <w:rsid w:val="15E1E800"/>
    <w:rsid w:val="16D40552"/>
    <w:rsid w:val="1A1B6E32"/>
    <w:rsid w:val="1AD36862"/>
    <w:rsid w:val="1AD54757"/>
    <w:rsid w:val="1C753C12"/>
    <w:rsid w:val="1CC4CF3D"/>
    <w:rsid w:val="1D05EBC0"/>
    <w:rsid w:val="1F05486F"/>
    <w:rsid w:val="21D315AC"/>
    <w:rsid w:val="2487537D"/>
    <w:rsid w:val="25C5D161"/>
    <w:rsid w:val="27B0A55A"/>
    <w:rsid w:val="29B96A63"/>
    <w:rsid w:val="29DAD305"/>
    <w:rsid w:val="2B15FACB"/>
    <w:rsid w:val="2C91DC60"/>
    <w:rsid w:val="2D19ACC9"/>
    <w:rsid w:val="2E969C45"/>
    <w:rsid w:val="31BF8ACA"/>
    <w:rsid w:val="328CD1C2"/>
    <w:rsid w:val="33823F34"/>
    <w:rsid w:val="3391D799"/>
    <w:rsid w:val="34157F17"/>
    <w:rsid w:val="354424E1"/>
    <w:rsid w:val="363EE2D9"/>
    <w:rsid w:val="36A8CA80"/>
    <w:rsid w:val="38378823"/>
    <w:rsid w:val="38FFC3A6"/>
    <w:rsid w:val="3E9A6773"/>
    <w:rsid w:val="3F60944B"/>
    <w:rsid w:val="400F0717"/>
    <w:rsid w:val="4077BFF8"/>
    <w:rsid w:val="407E5854"/>
    <w:rsid w:val="40F3AFC1"/>
    <w:rsid w:val="4134B55E"/>
    <w:rsid w:val="419CDA9F"/>
    <w:rsid w:val="423AB10E"/>
    <w:rsid w:val="431D58A1"/>
    <w:rsid w:val="43A1DFC6"/>
    <w:rsid w:val="43E5B0E0"/>
    <w:rsid w:val="4408E08F"/>
    <w:rsid w:val="4520FB3E"/>
    <w:rsid w:val="46D72208"/>
    <w:rsid w:val="48B6D1F1"/>
    <w:rsid w:val="492B5D6E"/>
    <w:rsid w:val="4CE63D99"/>
    <w:rsid w:val="4DDC4370"/>
    <w:rsid w:val="503F8E11"/>
    <w:rsid w:val="5148B524"/>
    <w:rsid w:val="5293B6A3"/>
    <w:rsid w:val="571E271C"/>
    <w:rsid w:val="57CCB702"/>
    <w:rsid w:val="58894DE5"/>
    <w:rsid w:val="5983E19C"/>
    <w:rsid w:val="5B5F2B95"/>
    <w:rsid w:val="5BB6DC00"/>
    <w:rsid w:val="5CFF9BC6"/>
    <w:rsid w:val="5D634133"/>
    <w:rsid w:val="60C6D904"/>
    <w:rsid w:val="60ED6870"/>
    <w:rsid w:val="64B775CD"/>
    <w:rsid w:val="6743A86F"/>
    <w:rsid w:val="6870E4A9"/>
    <w:rsid w:val="6927B298"/>
    <w:rsid w:val="6A5B7091"/>
    <w:rsid w:val="6AF53A69"/>
    <w:rsid w:val="6B24C2DE"/>
    <w:rsid w:val="6B52C55F"/>
    <w:rsid w:val="6B6E18DD"/>
    <w:rsid w:val="6C63B13E"/>
    <w:rsid w:val="6DBE9716"/>
    <w:rsid w:val="6E3B621F"/>
    <w:rsid w:val="6F8924CE"/>
    <w:rsid w:val="71D16F39"/>
    <w:rsid w:val="7368D595"/>
    <w:rsid w:val="742C0937"/>
    <w:rsid w:val="747E396B"/>
    <w:rsid w:val="75897EA9"/>
    <w:rsid w:val="7AE8B568"/>
    <w:rsid w:val="7B5560F8"/>
    <w:rsid w:val="7CFC5F6C"/>
    <w:rsid w:val="7D09CED6"/>
    <w:rsid w:val="7D5173E3"/>
    <w:rsid w:val="7DC01B3B"/>
    <w:rsid w:val="7E8186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3A1C"/>
  <w15:chartTrackingRefBased/>
  <w15:docId w15:val="{F72ED24B-D329-49C0-9F9D-0F7FF85C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2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2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78"/>
    <w:rPr>
      <w:rFonts w:eastAsiaTheme="majorEastAsia" w:cstheme="majorBidi"/>
      <w:color w:val="272727" w:themeColor="text1" w:themeTint="D8"/>
    </w:rPr>
  </w:style>
  <w:style w:type="paragraph" w:styleId="Title">
    <w:name w:val="Title"/>
    <w:basedOn w:val="Normal"/>
    <w:next w:val="Normal"/>
    <w:link w:val="TitleChar"/>
    <w:uiPriority w:val="10"/>
    <w:qFormat/>
    <w:rsid w:val="00AB2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78"/>
    <w:pPr>
      <w:spacing w:before="160"/>
      <w:jc w:val="center"/>
    </w:pPr>
    <w:rPr>
      <w:i/>
      <w:iCs/>
      <w:color w:val="404040" w:themeColor="text1" w:themeTint="BF"/>
    </w:rPr>
  </w:style>
  <w:style w:type="character" w:customStyle="1" w:styleId="QuoteChar">
    <w:name w:val="Quote Char"/>
    <w:basedOn w:val="DefaultParagraphFont"/>
    <w:link w:val="Quote"/>
    <w:uiPriority w:val="29"/>
    <w:rsid w:val="00AB2A78"/>
    <w:rPr>
      <w:i/>
      <w:iCs/>
      <w:color w:val="404040" w:themeColor="text1" w:themeTint="BF"/>
    </w:rPr>
  </w:style>
  <w:style w:type="paragraph" w:styleId="ListParagraph">
    <w:name w:val="List Paragraph"/>
    <w:basedOn w:val="Normal"/>
    <w:uiPriority w:val="34"/>
    <w:qFormat/>
    <w:rsid w:val="00AB2A78"/>
    <w:pPr>
      <w:ind w:left="720"/>
      <w:contextualSpacing/>
    </w:pPr>
  </w:style>
  <w:style w:type="character" w:styleId="IntenseEmphasis">
    <w:name w:val="Intense Emphasis"/>
    <w:basedOn w:val="DefaultParagraphFont"/>
    <w:uiPriority w:val="21"/>
    <w:qFormat/>
    <w:rsid w:val="00AB2A78"/>
    <w:rPr>
      <w:i/>
      <w:iCs/>
      <w:color w:val="0F4761" w:themeColor="accent1" w:themeShade="BF"/>
    </w:rPr>
  </w:style>
  <w:style w:type="paragraph" w:styleId="IntenseQuote">
    <w:name w:val="Intense Quote"/>
    <w:basedOn w:val="Normal"/>
    <w:next w:val="Normal"/>
    <w:link w:val="IntenseQuoteChar"/>
    <w:uiPriority w:val="30"/>
    <w:qFormat/>
    <w:rsid w:val="00AB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A78"/>
    <w:rPr>
      <w:i/>
      <w:iCs/>
      <w:color w:val="0F4761" w:themeColor="accent1" w:themeShade="BF"/>
    </w:rPr>
  </w:style>
  <w:style w:type="character" w:styleId="IntenseReference">
    <w:name w:val="Intense Reference"/>
    <w:basedOn w:val="DefaultParagraphFont"/>
    <w:uiPriority w:val="32"/>
    <w:qFormat/>
    <w:rsid w:val="00AB2A78"/>
    <w:rPr>
      <w:b/>
      <w:bCs/>
      <w:smallCaps/>
      <w:color w:val="0F4761" w:themeColor="accent1" w:themeShade="BF"/>
      <w:spacing w:val="5"/>
    </w:rPr>
  </w:style>
  <w:style w:type="character" w:styleId="Hyperlink">
    <w:name w:val="Hyperlink"/>
    <w:basedOn w:val="DefaultParagraphFont"/>
    <w:uiPriority w:val="99"/>
    <w:unhideWhenUsed/>
    <w:rsid w:val="00AB2A78"/>
    <w:rPr>
      <w:color w:val="467886" w:themeColor="hyperlink"/>
      <w:u w:val="single"/>
    </w:rPr>
  </w:style>
  <w:style w:type="character" w:styleId="UnresolvedMention">
    <w:name w:val="Unresolved Mention"/>
    <w:basedOn w:val="DefaultParagraphFont"/>
    <w:uiPriority w:val="99"/>
    <w:semiHidden/>
    <w:unhideWhenUsed/>
    <w:rsid w:val="00AB2A7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84383"/>
    <w:rPr>
      <w:b/>
      <w:bCs/>
    </w:rPr>
  </w:style>
  <w:style w:type="character" w:customStyle="1" w:styleId="CommentSubjectChar">
    <w:name w:val="Comment Subject Char"/>
    <w:basedOn w:val="CommentTextChar"/>
    <w:link w:val="CommentSubject"/>
    <w:uiPriority w:val="99"/>
    <w:semiHidden/>
    <w:rsid w:val="00E84383"/>
    <w:rPr>
      <w:b/>
      <w:bCs/>
      <w:sz w:val="20"/>
      <w:szCs w:val="20"/>
    </w:rPr>
  </w:style>
  <w:style w:type="paragraph" w:styleId="Revision">
    <w:name w:val="Revision"/>
    <w:hidden/>
    <w:uiPriority w:val="99"/>
    <w:semiHidden/>
    <w:rsid w:val="00BD7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6064">
      <w:bodyDiv w:val="1"/>
      <w:marLeft w:val="0"/>
      <w:marRight w:val="0"/>
      <w:marTop w:val="0"/>
      <w:marBottom w:val="0"/>
      <w:divBdr>
        <w:top w:val="none" w:sz="0" w:space="0" w:color="auto"/>
        <w:left w:val="none" w:sz="0" w:space="0" w:color="auto"/>
        <w:bottom w:val="none" w:sz="0" w:space="0" w:color="auto"/>
        <w:right w:val="none" w:sz="0" w:space="0" w:color="auto"/>
      </w:divBdr>
      <w:divsChild>
        <w:div w:id="282002265">
          <w:marLeft w:val="0"/>
          <w:marRight w:val="0"/>
          <w:marTop w:val="0"/>
          <w:marBottom w:val="0"/>
          <w:divBdr>
            <w:top w:val="none" w:sz="0" w:space="0" w:color="auto"/>
            <w:left w:val="none" w:sz="0" w:space="0" w:color="auto"/>
            <w:bottom w:val="none" w:sz="0" w:space="0" w:color="auto"/>
            <w:right w:val="none" w:sz="0" w:space="0" w:color="auto"/>
          </w:divBdr>
          <w:divsChild>
            <w:div w:id="1801144866">
              <w:marLeft w:val="75"/>
              <w:marRight w:val="75"/>
              <w:marTop w:val="300"/>
              <w:marBottom w:val="75"/>
              <w:divBdr>
                <w:top w:val="none" w:sz="0" w:space="0" w:color="auto"/>
                <w:left w:val="none" w:sz="0" w:space="0" w:color="auto"/>
                <w:bottom w:val="none" w:sz="0" w:space="0" w:color="auto"/>
                <w:right w:val="none" w:sz="0" w:space="0" w:color="auto"/>
              </w:divBdr>
              <w:divsChild>
                <w:div w:id="402262193">
                  <w:marLeft w:val="0"/>
                  <w:marRight w:val="0"/>
                  <w:marTop w:val="0"/>
                  <w:marBottom w:val="0"/>
                  <w:divBdr>
                    <w:top w:val="none" w:sz="0" w:space="0" w:color="auto"/>
                    <w:left w:val="none" w:sz="0" w:space="0" w:color="auto"/>
                    <w:bottom w:val="none" w:sz="0" w:space="0" w:color="auto"/>
                    <w:right w:val="none" w:sz="0" w:space="0" w:color="auto"/>
                  </w:divBdr>
                  <w:divsChild>
                    <w:div w:id="679623147">
                      <w:marLeft w:val="0"/>
                      <w:marRight w:val="0"/>
                      <w:marTop w:val="0"/>
                      <w:marBottom w:val="0"/>
                      <w:divBdr>
                        <w:top w:val="none" w:sz="0" w:space="0" w:color="auto"/>
                        <w:left w:val="none" w:sz="0" w:space="0" w:color="auto"/>
                        <w:bottom w:val="none" w:sz="0" w:space="0" w:color="auto"/>
                        <w:right w:val="none" w:sz="0" w:space="0" w:color="auto"/>
                      </w:divBdr>
                      <w:divsChild>
                        <w:div w:id="15967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02009">
          <w:marLeft w:val="0"/>
          <w:marRight w:val="0"/>
          <w:marTop w:val="0"/>
          <w:marBottom w:val="0"/>
          <w:divBdr>
            <w:top w:val="none" w:sz="0" w:space="0" w:color="auto"/>
            <w:left w:val="none" w:sz="0" w:space="0" w:color="auto"/>
            <w:bottom w:val="none" w:sz="0" w:space="0" w:color="auto"/>
            <w:right w:val="none" w:sz="0" w:space="0" w:color="auto"/>
          </w:divBdr>
          <w:divsChild>
            <w:div w:id="2096170518">
              <w:marLeft w:val="75"/>
              <w:marRight w:val="75"/>
              <w:marTop w:val="300"/>
              <w:marBottom w:val="75"/>
              <w:divBdr>
                <w:top w:val="none" w:sz="0" w:space="0" w:color="auto"/>
                <w:left w:val="none" w:sz="0" w:space="0" w:color="auto"/>
                <w:bottom w:val="none" w:sz="0" w:space="0" w:color="auto"/>
                <w:right w:val="none" w:sz="0" w:space="0" w:color="auto"/>
              </w:divBdr>
              <w:divsChild>
                <w:div w:id="1980063006">
                  <w:marLeft w:val="0"/>
                  <w:marRight w:val="0"/>
                  <w:marTop w:val="0"/>
                  <w:marBottom w:val="0"/>
                  <w:divBdr>
                    <w:top w:val="none" w:sz="0" w:space="0" w:color="auto"/>
                    <w:left w:val="none" w:sz="0" w:space="0" w:color="auto"/>
                    <w:bottom w:val="none" w:sz="0" w:space="0" w:color="auto"/>
                    <w:right w:val="none" w:sz="0" w:space="0" w:color="auto"/>
                  </w:divBdr>
                  <w:divsChild>
                    <w:div w:id="1144471049">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379521001">
          <w:marLeft w:val="0"/>
          <w:marRight w:val="0"/>
          <w:marTop w:val="0"/>
          <w:marBottom w:val="0"/>
          <w:divBdr>
            <w:top w:val="none" w:sz="0" w:space="0" w:color="auto"/>
            <w:left w:val="none" w:sz="0" w:space="0" w:color="auto"/>
            <w:bottom w:val="none" w:sz="0" w:space="0" w:color="auto"/>
            <w:right w:val="none" w:sz="0" w:space="0" w:color="auto"/>
          </w:divBdr>
          <w:divsChild>
            <w:div w:id="1754862364">
              <w:marLeft w:val="75"/>
              <w:marRight w:val="75"/>
              <w:marTop w:val="300"/>
              <w:marBottom w:val="75"/>
              <w:divBdr>
                <w:top w:val="none" w:sz="0" w:space="0" w:color="auto"/>
                <w:left w:val="none" w:sz="0" w:space="0" w:color="auto"/>
                <w:bottom w:val="none" w:sz="0" w:space="0" w:color="auto"/>
                <w:right w:val="none" w:sz="0" w:space="0" w:color="auto"/>
              </w:divBdr>
              <w:divsChild>
                <w:div w:id="13690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3219">
          <w:marLeft w:val="0"/>
          <w:marRight w:val="0"/>
          <w:marTop w:val="0"/>
          <w:marBottom w:val="0"/>
          <w:divBdr>
            <w:top w:val="none" w:sz="0" w:space="0" w:color="auto"/>
            <w:left w:val="none" w:sz="0" w:space="0" w:color="auto"/>
            <w:bottom w:val="none" w:sz="0" w:space="0" w:color="auto"/>
            <w:right w:val="none" w:sz="0" w:space="0" w:color="auto"/>
          </w:divBdr>
          <w:divsChild>
            <w:div w:id="902983208">
              <w:marLeft w:val="75"/>
              <w:marRight w:val="75"/>
              <w:marTop w:val="300"/>
              <w:marBottom w:val="75"/>
              <w:divBdr>
                <w:top w:val="none" w:sz="0" w:space="0" w:color="auto"/>
                <w:left w:val="none" w:sz="0" w:space="0" w:color="auto"/>
                <w:bottom w:val="none" w:sz="0" w:space="0" w:color="auto"/>
                <w:right w:val="none" w:sz="0" w:space="0" w:color="auto"/>
              </w:divBdr>
              <w:divsChild>
                <w:div w:id="801733412">
                  <w:marLeft w:val="0"/>
                  <w:marRight w:val="0"/>
                  <w:marTop w:val="0"/>
                  <w:marBottom w:val="0"/>
                  <w:divBdr>
                    <w:top w:val="none" w:sz="0" w:space="0" w:color="auto"/>
                    <w:left w:val="none" w:sz="0" w:space="0" w:color="auto"/>
                    <w:bottom w:val="none" w:sz="0" w:space="0" w:color="auto"/>
                    <w:right w:val="none" w:sz="0" w:space="0" w:color="auto"/>
                  </w:divBdr>
                  <w:divsChild>
                    <w:div w:id="434399174">
                      <w:marLeft w:val="300"/>
                      <w:marRight w:val="0"/>
                      <w:marTop w:val="0"/>
                      <w:marBottom w:val="0"/>
                      <w:divBdr>
                        <w:top w:val="none" w:sz="0" w:space="0" w:color="auto"/>
                        <w:left w:val="none" w:sz="0" w:space="0" w:color="auto"/>
                        <w:bottom w:val="none" w:sz="0" w:space="0" w:color="auto"/>
                        <w:right w:val="none" w:sz="0" w:space="0" w:color="auto"/>
                      </w:divBdr>
                    </w:div>
                    <w:div w:id="16793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4836">
          <w:marLeft w:val="0"/>
          <w:marRight w:val="0"/>
          <w:marTop w:val="0"/>
          <w:marBottom w:val="0"/>
          <w:divBdr>
            <w:top w:val="none" w:sz="0" w:space="0" w:color="auto"/>
            <w:left w:val="none" w:sz="0" w:space="0" w:color="auto"/>
            <w:bottom w:val="none" w:sz="0" w:space="0" w:color="auto"/>
            <w:right w:val="none" w:sz="0" w:space="0" w:color="auto"/>
          </w:divBdr>
          <w:divsChild>
            <w:div w:id="429743391">
              <w:marLeft w:val="75"/>
              <w:marRight w:val="75"/>
              <w:marTop w:val="300"/>
              <w:marBottom w:val="75"/>
              <w:divBdr>
                <w:top w:val="none" w:sz="0" w:space="0" w:color="auto"/>
                <w:left w:val="none" w:sz="0" w:space="0" w:color="auto"/>
                <w:bottom w:val="none" w:sz="0" w:space="0" w:color="auto"/>
                <w:right w:val="none" w:sz="0" w:space="0" w:color="auto"/>
              </w:divBdr>
              <w:divsChild>
                <w:div w:id="954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3555">
          <w:marLeft w:val="0"/>
          <w:marRight w:val="0"/>
          <w:marTop w:val="0"/>
          <w:marBottom w:val="0"/>
          <w:divBdr>
            <w:top w:val="none" w:sz="0" w:space="0" w:color="auto"/>
            <w:left w:val="none" w:sz="0" w:space="0" w:color="auto"/>
            <w:bottom w:val="none" w:sz="0" w:space="0" w:color="auto"/>
            <w:right w:val="none" w:sz="0" w:space="0" w:color="auto"/>
          </w:divBdr>
          <w:divsChild>
            <w:div w:id="1456099575">
              <w:marLeft w:val="75"/>
              <w:marRight w:val="75"/>
              <w:marTop w:val="300"/>
              <w:marBottom w:val="75"/>
              <w:divBdr>
                <w:top w:val="none" w:sz="0" w:space="0" w:color="auto"/>
                <w:left w:val="none" w:sz="0" w:space="0" w:color="auto"/>
                <w:bottom w:val="none" w:sz="0" w:space="0" w:color="auto"/>
                <w:right w:val="none" w:sz="0" w:space="0" w:color="auto"/>
              </w:divBdr>
              <w:divsChild>
                <w:div w:id="2025278942">
                  <w:marLeft w:val="0"/>
                  <w:marRight w:val="0"/>
                  <w:marTop w:val="0"/>
                  <w:marBottom w:val="0"/>
                  <w:divBdr>
                    <w:top w:val="none" w:sz="0" w:space="0" w:color="auto"/>
                    <w:left w:val="none" w:sz="0" w:space="0" w:color="auto"/>
                    <w:bottom w:val="none" w:sz="0" w:space="0" w:color="auto"/>
                    <w:right w:val="none" w:sz="0" w:space="0" w:color="auto"/>
                  </w:divBdr>
                  <w:divsChild>
                    <w:div w:id="11404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58730">
          <w:marLeft w:val="0"/>
          <w:marRight w:val="0"/>
          <w:marTop w:val="0"/>
          <w:marBottom w:val="0"/>
          <w:divBdr>
            <w:top w:val="none" w:sz="0" w:space="0" w:color="auto"/>
            <w:left w:val="none" w:sz="0" w:space="0" w:color="auto"/>
            <w:bottom w:val="none" w:sz="0" w:space="0" w:color="auto"/>
            <w:right w:val="none" w:sz="0" w:space="0" w:color="auto"/>
          </w:divBdr>
          <w:divsChild>
            <w:div w:id="928464802">
              <w:marLeft w:val="75"/>
              <w:marRight w:val="75"/>
              <w:marTop w:val="300"/>
              <w:marBottom w:val="75"/>
              <w:divBdr>
                <w:top w:val="none" w:sz="0" w:space="0" w:color="auto"/>
                <w:left w:val="none" w:sz="0" w:space="0" w:color="auto"/>
                <w:bottom w:val="none" w:sz="0" w:space="0" w:color="auto"/>
                <w:right w:val="none" w:sz="0" w:space="0" w:color="auto"/>
              </w:divBdr>
              <w:divsChild>
                <w:div w:id="1449277505">
                  <w:marLeft w:val="0"/>
                  <w:marRight w:val="0"/>
                  <w:marTop w:val="0"/>
                  <w:marBottom w:val="0"/>
                  <w:divBdr>
                    <w:top w:val="none" w:sz="0" w:space="0" w:color="auto"/>
                    <w:left w:val="none" w:sz="0" w:space="0" w:color="auto"/>
                    <w:bottom w:val="none" w:sz="0" w:space="0" w:color="auto"/>
                    <w:right w:val="none" w:sz="0" w:space="0" w:color="auto"/>
                  </w:divBdr>
                  <w:divsChild>
                    <w:div w:id="13067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4819">
          <w:marLeft w:val="0"/>
          <w:marRight w:val="0"/>
          <w:marTop w:val="0"/>
          <w:marBottom w:val="0"/>
          <w:divBdr>
            <w:top w:val="none" w:sz="0" w:space="0" w:color="auto"/>
            <w:left w:val="none" w:sz="0" w:space="0" w:color="auto"/>
            <w:bottom w:val="none" w:sz="0" w:space="0" w:color="auto"/>
            <w:right w:val="none" w:sz="0" w:space="0" w:color="auto"/>
          </w:divBdr>
          <w:divsChild>
            <w:div w:id="382749583">
              <w:marLeft w:val="75"/>
              <w:marRight w:val="75"/>
              <w:marTop w:val="300"/>
              <w:marBottom w:val="75"/>
              <w:divBdr>
                <w:top w:val="none" w:sz="0" w:space="0" w:color="auto"/>
                <w:left w:val="none" w:sz="0" w:space="0" w:color="auto"/>
                <w:bottom w:val="none" w:sz="0" w:space="0" w:color="auto"/>
                <w:right w:val="none" w:sz="0" w:space="0" w:color="auto"/>
              </w:divBdr>
              <w:divsChild>
                <w:div w:id="208420068">
                  <w:marLeft w:val="0"/>
                  <w:marRight w:val="0"/>
                  <w:marTop w:val="0"/>
                  <w:marBottom w:val="0"/>
                  <w:divBdr>
                    <w:top w:val="none" w:sz="0" w:space="0" w:color="auto"/>
                    <w:left w:val="none" w:sz="0" w:space="0" w:color="auto"/>
                    <w:bottom w:val="none" w:sz="0" w:space="0" w:color="auto"/>
                    <w:right w:val="none" w:sz="0" w:space="0" w:color="auto"/>
                  </w:divBdr>
                  <w:divsChild>
                    <w:div w:id="40075434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186677647">
          <w:marLeft w:val="0"/>
          <w:marRight w:val="0"/>
          <w:marTop w:val="0"/>
          <w:marBottom w:val="0"/>
          <w:divBdr>
            <w:top w:val="none" w:sz="0" w:space="0" w:color="auto"/>
            <w:left w:val="none" w:sz="0" w:space="0" w:color="auto"/>
            <w:bottom w:val="none" w:sz="0" w:space="0" w:color="auto"/>
            <w:right w:val="none" w:sz="0" w:space="0" w:color="auto"/>
          </w:divBdr>
          <w:divsChild>
            <w:div w:id="1197961112">
              <w:marLeft w:val="75"/>
              <w:marRight w:val="75"/>
              <w:marTop w:val="300"/>
              <w:marBottom w:val="75"/>
              <w:divBdr>
                <w:top w:val="none" w:sz="0" w:space="0" w:color="auto"/>
                <w:left w:val="none" w:sz="0" w:space="0" w:color="auto"/>
                <w:bottom w:val="none" w:sz="0" w:space="0" w:color="auto"/>
                <w:right w:val="none" w:sz="0" w:space="0" w:color="auto"/>
              </w:divBdr>
              <w:divsChild>
                <w:div w:id="1436557556">
                  <w:marLeft w:val="0"/>
                  <w:marRight w:val="0"/>
                  <w:marTop w:val="0"/>
                  <w:marBottom w:val="0"/>
                  <w:divBdr>
                    <w:top w:val="none" w:sz="0" w:space="0" w:color="auto"/>
                    <w:left w:val="none" w:sz="0" w:space="0" w:color="auto"/>
                    <w:bottom w:val="none" w:sz="0" w:space="0" w:color="auto"/>
                    <w:right w:val="none" w:sz="0" w:space="0" w:color="auto"/>
                  </w:divBdr>
                  <w:divsChild>
                    <w:div w:id="707338144">
                      <w:marLeft w:val="0"/>
                      <w:marRight w:val="0"/>
                      <w:marTop w:val="0"/>
                      <w:marBottom w:val="0"/>
                      <w:divBdr>
                        <w:top w:val="none" w:sz="0" w:space="0" w:color="auto"/>
                        <w:left w:val="none" w:sz="0" w:space="0" w:color="auto"/>
                        <w:bottom w:val="none" w:sz="0" w:space="0" w:color="auto"/>
                        <w:right w:val="none" w:sz="0" w:space="0" w:color="auto"/>
                      </w:divBdr>
                      <w:divsChild>
                        <w:div w:id="722217881">
                          <w:marLeft w:val="0"/>
                          <w:marRight w:val="0"/>
                          <w:marTop w:val="0"/>
                          <w:marBottom w:val="0"/>
                          <w:divBdr>
                            <w:top w:val="none" w:sz="0" w:space="0" w:color="auto"/>
                            <w:left w:val="none" w:sz="0" w:space="0" w:color="auto"/>
                            <w:bottom w:val="none" w:sz="0" w:space="0" w:color="auto"/>
                            <w:right w:val="none" w:sz="0" w:space="0" w:color="auto"/>
                          </w:divBdr>
                        </w:div>
                      </w:divsChild>
                    </w:div>
                    <w:div w:id="1648509426">
                      <w:marLeft w:val="0"/>
                      <w:marRight w:val="0"/>
                      <w:marTop w:val="210"/>
                      <w:marBottom w:val="105"/>
                      <w:divBdr>
                        <w:top w:val="none" w:sz="0" w:space="0" w:color="auto"/>
                        <w:left w:val="none" w:sz="0" w:space="0" w:color="auto"/>
                        <w:bottom w:val="none" w:sz="0" w:space="0" w:color="auto"/>
                        <w:right w:val="none" w:sz="0" w:space="0" w:color="auto"/>
                      </w:divBdr>
                    </w:div>
                  </w:divsChild>
                </w:div>
              </w:divsChild>
            </w:div>
          </w:divsChild>
        </w:div>
        <w:div w:id="1193617256">
          <w:marLeft w:val="0"/>
          <w:marRight w:val="0"/>
          <w:marTop w:val="0"/>
          <w:marBottom w:val="0"/>
          <w:divBdr>
            <w:top w:val="none" w:sz="0" w:space="0" w:color="auto"/>
            <w:left w:val="none" w:sz="0" w:space="0" w:color="auto"/>
            <w:bottom w:val="none" w:sz="0" w:space="0" w:color="auto"/>
            <w:right w:val="none" w:sz="0" w:space="0" w:color="auto"/>
          </w:divBdr>
          <w:divsChild>
            <w:div w:id="1554585320">
              <w:marLeft w:val="75"/>
              <w:marRight w:val="75"/>
              <w:marTop w:val="300"/>
              <w:marBottom w:val="75"/>
              <w:divBdr>
                <w:top w:val="none" w:sz="0" w:space="0" w:color="auto"/>
                <w:left w:val="none" w:sz="0" w:space="0" w:color="auto"/>
                <w:bottom w:val="none" w:sz="0" w:space="0" w:color="auto"/>
                <w:right w:val="none" w:sz="0" w:space="0" w:color="auto"/>
              </w:divBdr>
              <w:divsChild>
                <w:div w:id="387458503">
                  <w:marLeft w:val="0"/>
                  <w:marRight w:val="0"/>
                  <w:marTop w:val="0"/>
                  <w:marBottom w:val="0"/>
                  <w:divBdr>
                    <w:top w:val="none" w:sz="0" w:space="0" w:color="auto"/>
                    <w:left w:val="none" w:sz="0" w:space="0" w:color="auto"/>
                    <w:bottom w:val="none" w:sz="0" w:space="0" w:color="auto"/>
                    <w:right w:val="none" w:sz="0" w:space="0" w:color="auto"/>
                  </w:divBdr>
                  <w:divsChild>
                    <w:div w:id="234095825">
                      <w:marLeft w:val="0"/>
                      <w:marRight w:val="0"/>
                      <w:marTop w:val="210"/>
                      <w:marBottom w:val="105"/>
                      <w:divBdr>
                        <w:top w:val="none" w:sz="0" w:space="0" w:color="auto"/>
                        <w:left w:val="none" w:sz="0" w:space="0" w:color="auto"/>
                        <w:bottom w:val="none" w:sz="0" w:space="0" w:color="auto"/>
                        <w:right w:val="none" w:sz="0" w:space="0" w:color="auto"/>
                      </w:divBdr>
                    </w:div>
                    <w:div w:id="938490394">
                      <w:marLeft w:val="0"/>
                      <w:marRight w:val="0"/>
                      <w:marTop w:val="0"/>
                      <w:marBottom w:val="0"/>
                      <w:divBdr>
                        <w:top w:val="none" w:sz="0" w:space="0" w:color="auto"/>
                        <w:left w:val="none" w:sz="0" w:space="0" w:color="auto"/>
                        <w:bottom w:val="none" w:sz="0" w:space="0" w:color="auto"/>
                        <w:right w:val="none" w:sz="0" w:space="0" w:color="auto"/>
                      </w:divBdr>
                      <w:divsChild>
                        <w:div w:id="12510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62487">
          <w:marLeft w:val="0"/>
          <w:marRight w:val="0"/>
          <w:marTop w:val="0"/>
          <w:marBottom w:val="0"/>
          <w:divBdr>
            <w:top w:val="none" w:sz="0" w:space="0" w:color="auto"/>
            <w:left w:val="none" w:sz="0" w:space="0" w:color="auto"/>
            <w:bottom w:val="none" w:sz="0" w:space="0" w:color="auto"/>
            <w:right w:val="none" w:sz="0" w:space="0" w:color="auto"/>
          </w:divBdr>
          <w:divsChild>
            <w:div w:id="376316131">
              <w:marLeft w:val="75"/>
              <w:marRight w:val="75"/>
              <w:marTop w:val="300"/>
              <w:marBottom w:val="75"/>
              <w:divBdr>
                <w:top w:val="none" w:sz="0" w:space="0" w:color="auto"/>
                <w:left w:val="none" w:sz="0" w:space="0" w:color="auto"/>
                <w:bottom w:val="none" w:sz="0" w:space="0" w:color="auto"/>
                <w:right w:val="none" w:sz="0" w:space="0" w:color="auto"/>
              </w:divBdr>
              <w:divsChild>
                <w:div w:id="1409158456">
                  <w:marLeft w:val="0"/>
                  <w:marRight w:val="0"/>
                  <w:marTop w:val="0"/>
                  <w:marBottom w:val="0"/>
                  <w:divBdr>
                    <w:top w:val="none" w:sz="0" w:space="0" w:color="auto"/>
                    <w:left w:val="none" w:sz="0" w:space="0" w:color="auto"/>
                    <w:bottom w:val="none" w:sz="0" w:space="0" w:color="auto"/>
                    <w:right w:val="none" w:sz="0" w:space="0" w:color="auto"/>
                  </w:divBdr>
                  <w:divsChild>
                    <w:div w:id="1648975170">
                      <w:marLeft w:val="0"/>
                      <w:marRight w:val="0"/>
                      <w:marTop w:val="225"/>
                      <w:marBottom w:val="75"/>
                      <w:divBdr>
                        <w:top w:val="none" w:sz="0" w:space="0" w:color="000000"/>
                        <w:left w:val="none" w:sz="0" w:space="0" w:color="000000"/>
                        <w:bottom w:val="none" w:sz="0" w:space="0" w:color="000000"/>
                        <w:right w:val="none" w:sz="0" w:space="0" w:color="000000"/>
                      </w:divBdr>
                      <w:divsChild>
                        <w:div w:id="3114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754673">
          <w:marLeft w:val="0"/>
          <w:marRight w:val="0"/>
          <w:marTop w:val="0"/>
          <w:marBottom w:val="0"/>
          <w:divBdr>
            <w:top w:val="none" w:sz="0" w:space="0" w:color="auto"/>
            <w:left w:val="none" w:sz="0" w:space="0" w:color="auto"/>
            <w:bottom w:val="none" w:sz="0" w:space="0" w:color="auto"/>
            <w:right w:val="none" w:sz="0" w:space="0" w:color="auto"/>
          </w:divBdr>
          <w:divsChild>
            <w:div w:id="1740133681">
              <w:marLeft w:val="75"/>
              <w:marRight w:val="75"/>
              <w:marTop w:val="300"/>
              <w:marBottom w:val="75"/>
              <w:divBdr>
                <w:top w:val="none" w:sz="0" w:space="0" w:color="auto"/>
                <w:left w:val="none" w:sz="0" w:space="0" w:color="auto"/>
                <w:bottom w:val="none" w:sz="0" w:space="0" w:color="auto"/>
                <w:right w:val="none" w:sz="0" w:space="0" w:color="auto"/>
              </w:divBdr>
              <w:divsChild>
                <w:div w:id="1861358976">
                  <w:marLeft w:val="0"/>
                  <w:marRight w:val="0"/>
                  <w:marTop w:val="0"/>
                  <w:marBottom w:val="0"/>
                  <w:divBdr>
                    <w:top w:val="none" w:sz="0" w:space="0" w:color="auto"/>
                    <w:left w:val="none" w:sz="0" w:space="0" w:color="auto"/>
                    <w:bottom w:val="none" w:sz="0" w:space="0" w:color="auto"/>
                    <w:right w:val="none" w:sz="0" w:space="0" w:color="auto"/>
                  </w:divBdr>
                  <w:divsChild>
                    <w:div w:id="1400790410">
                      <w:marLeft w:val="0"/>
                      <w:marRight w:val="0"/>
                      <w:marTop w:val="210"/>
                      <w:marBottom w:val="105"/>
                      <w:divBdr>
                        <w:top w:val="none" w:sz="0" w:space="0" w:color="auto"/>
                        <w:left w:val="none" w:sz="0" w:space="0" w:color="auto"/>
                        <w:bottom w:val="none" w:sz="0" w:space="0" w:color="auto"/>
                        <w:right w:val="none" w:sz="0" w:space="0" w:color="auto"/>
                      </w:divBdr>
                    </w:div>
                    <w:div w:id="1605186269">
                      <w:marLeft w:val="0"/>
                      <w:marRight w:val="0"/>
                      <w:marTop w:val="0"/>
                      <w:marBottom w:val="0"/>
                      <w:divBdr>
                        <w:top w:val="none" w:sz="0" w:space="0" w:color="auto"/>
                        <w:left w:val="none" w:sz="0" w:space="0" w:color="auto"/>
                        <w:bottom w:val="none" w:sz="0" w:space="0" w:color="auto"/>
                        <w:right w:val="none" w:sz="0" w:space="0" w:color="auto"/>
                      </w:divBdr>
                      <w:divsChild>
                        <w:div w:id="17634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2583">
          <w:marLeft w:val="0"/>
          <w:marRight w:val="0"/>
          <w:marTop w:val="0"/>
          <w:marBottom w:val="0"/>
          <w:divBdr>
            <w:top w:val="none" w:sz="0" w:space="0" w:color="auto"/>
            <w:left w:val="none" w:sz="0" w:space="0" w:color="auto"/>
            <w:bottom w:val="none" w:sz="0" w:space="0" w:color="auto"/>
            <w:right w:val="none" w:sz="0" w:space="0" w:color="auto"/>
          </w:divBdr>
          <w:divsChild>
            <w:div w:id="648442346">
              <w:marLeft w:val="75"/>
              <w:marRight w:val="75"/>
              <w:marTop w:val="300"/>
              <w:marBottom w:val="75"/>
              <w:divBdr>
                <w:top w:val="none" w:sz="0" w:space="0" w:color="auto"/>
                <w:left w:val="none" w:sz="0" w:space="0" w:color="auto"/>
                <w:bottom w:val="none" w:sz="0" w:space="0" w:color="auto"/>
                <w:right w:val="none" w:sz="0" w:space="0" w:color="auto"/>
              </w:divBdr>
              <w:divsChild>
                <w:div w:id="919605153">
                  <w:marLeft w:val="0"/>
                  <w:marRight w:val="0"/>
                  <w:marTop w:val="0"/>
                  <w:marBottom w:val="0"/>
                  <w:divBdr>
                    <w:top w:val="none" w:sz="0" w:space="0" w:color="auto"/>
                    <w:left w:val="none" w:sz="0" w:space="0" w:color="auto"/>
                    <w:bottom w:val="none" w:sz="0" w:space="0" w:color="auto"/>
                    <w:right w:val="none" w:sz="0" w:space="0" w:color="auto"/>
                  </w:divBdr>
                  <w:divsChild>
                    <w:div w:id="10112704">
                      <w:marLeft w:val="0"/>
                      <w:marRight w:val="0"/>
                      <w:marTop w:val="0"/>
                      <w:marBottom w:val="0"/>
                      <w:divBdr>
                        <w:top w:val="none" w:sz="0" w:space="0" w:color="auto"/>
                        <w:left w:val="none" w:sz="0" w:space="0" w:color="auto"/>
                        <w:bottom w:val="none" w:sz="0" w:space="0" w:color="auto"/>
                        <w:right w:val="none" w:sz="0" w:space="0" w:color="auto"/>
                      </w:divBdr>
                      <w:divsChild>
                        <w:div w:id="19818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0427">
          <w:marLeft w:val="0"/>
          <w:marRight w:val="0"/>
          <w:marTop w:val="0"/>
          <w:marBottom w:val="0"/>
          <w:divBdr>
            <w:top w:val="none" w:sz="0" w:space="0" w:color="auto"/>
            <w:left w:val="none" w:sz="0" w:space="0" w:color="auto"/>
            <w:bottom w:val="none" w:sz="0" w:space="0" w:color="auto"/>
            <w:right w:val="none" w:sz="0" w:space="0" w:color="auto"/>
          </w:divBdr>
          <w:divsChild>
            <w:div w:id="1206984041">
              <w:marLeft w:val="75"/>
              <w:marRight w:val="75"/>
              <w:marTop w:val="300"/>
              <w:marBottom w:val="75"/>
              <w:divBdr>
                <w:top w:val="none" w:sz="0" w:space="0" w:color="auto"/>
                <w:left w:val="none" w:sz="0" w:space="0" w:color="auto"/>
                <w:bottom w:val="none" w:sz="0" w:space="0" w:color="auto"/>
                <w:right w:val="none" w:sz="0" w:space="0" w:color="auto"/>
              </w:divBdr>
              <w:divsChild>
                <w:div w:id="2112311760">
                  <w:marLeft w:val="0"/>
                  <w:marRight w:val="0"/>
                  <w:marTop w:val="0"/>
                  <w:marBottom w:val="0"/>
                  <w:divBdr>
                    <w:top w:val="none" w:sz="0" w:space="0" w:color="auto"/>
                    <w:left w:val="none" w:sz="0" w:space="0" w:color="auto"/>
                    <w:bottom w:val="none" w:sz="0" w:space="0" w:color="auto"/>
                    <w:right w:val="none" w:sz="0" w:space="0" w:color="auto"/>
                  </w:divBdr>
                  <w:divsChild>
                    <w:div w:id="807207729">
                      <w:marLeft w:val="0"/>
                      <w:marRight w:val="0"/>
                      <w:marTop w:val="0"/>
                      <w:marBottom w:val="0"/>
                      <w:divBdr>
                        <w:top w:val="none" w:sz="0" w:space="0" w:color="auto"/>
                        <w:left w:val="none" w:sz="0" w:space="0" w:color="auto"/>
                        <w:bottom w:val="none" w:sz="0" w:space="0" w:color="auto"/>
                        <w:right w:val="none" w:sz="0" w:space="0" w:color="auto"/>
                      </w:divBdr>
                      <w:divsChild>
                        <w:div w:id="1485856512">
                          <w:marLeft w:val="0"/>
                          <w:marRight w:val="0"/>
                          <w:marTop w:val="0"/>
                          <w:marBottom w:val="0"/>
                          <w:divBdr>
                            <w:top w:val="none" w:sz="0" w:space="0" w:color="auto"/>
                            <w:left w:val="none" w:sz="0" w:space="0" w:color="auto"/>
                            <w:bottom w:val="none" w:sz="0" w:space="0" w:color="auto"/>
                            <w:right w:val="none" w:sz="0" w:space="0" w:color="auto"/>
                          </w:divBdr>
                        </w:div>
                      </w:divsChild>
                    </w:div>
                    <w:div w:id="820653361">
                      <w:marLeft w:val="-15"/>
                      <w:marRight w:val="-15"/>
                      <w:marTop w:val="0"/>
                      <w:marBottom w:val="0"/>
                      <w:divBdr>
                        <w:top w:val="none" w:sz="0" w:space="0" w:color="auto"/>
                        <w:left w:val="none" w:sz="0" w:space="0" w:color="auto"/>
                        <w:bottom w:val="none" w:sz="0" w:space="0" w:color="auto"/>
                        <w:right w:val="none" w:sz="0" w:space="0" w:color="auto"/>
                      </w:divBdr>
                      <w:divsChild>
                        <w:div w:id="52430837">
                          <w:marLeft w:val="0"/>
                          <w:marRight w:val="0"/>
                          <w:marTop w:val="0"/>
                          <w:marBottom w:val="0"/>
                          <w:divBdr>
                            <w:top w:val="none" w:sz="0" w:space="0" w:color="auto"/>
                            <w:left w:val="none" w:sz="0" w:space="0" w:color="auto"/>
                            <w:bottom w:val="none" w:sz="0" w:space="0" w:color="auto"/>
                            <w:right w:val="none" w:sz="0" w:space="0" w:color="auto"/>
                          </w:divBdr>
                        </w:div>
                        <w:div w:id="1288853146">
                          <w:marLeft w:val="0"/>
                          <w:marRight w:val="0"/>
                          <w:marTop w:val="0"/>
                          <w:marBottom w:val="0"/>
                          <w:divBdr>
                            <w:top w:val="none" w:sz="0" w:space="0" w:color="auto"/>
                            <w:left w:val="none" w:sz="0" w:space="0" w:color="auto"/>
                            <w:bottom w:val="none" w:sz="0" w:space="0" w:color="auto"/>
                            <w:right w:val="none" w:sz="0" w:space="0" w:color="auto"/>
                          </w:divBdr>
                        </w:div>
                        <w:div w:id="20202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87678">
          <w:marLeft w:val="0"/>
          <w:marRight w:val="0"/>
          <w:marTop w:val="0"/>
          <w:marBottom w:val="0"/>
          <w:divBdr>
            <w:top w:val="none" w:sz="0" w:space="0" w:color="auto"/>
            <w:left w:val="none" w:sz="0" w:space="0" w:color="auto"/>
            <w:bottom w:val="none" w:sz="0" w:space="0" w:color="auto"/>
            <w:right w:val="none" w:sz="0" w:space="0" w:color="auto"/>
          </w:divBdr>
          <w:divsChild>
            <w:div w:id="1996949387">
              <w:marLeft w:val="75"/>
              <w:marRight w:val="75"/>
              <w:marTop w:val="300"/>
              <w:marBottom w:val="75"/>
              <w:divBdr>
                <w:top w:val="none" w:sz="0" w:space="0" w:color="auto"/>
                <w:left w:val="none" w:sz="0" w:space="0" w:color="auto"/>
                <w:bottom w:val="none" w:sz="0" w:space="0" w:color="auto"/>
                <w:right w:val="none" w:sz="0" w:space="0" w:color="auto"/>
              </w:divBdr>
              <w:divsChild>
                <w:div w:id="1245337416">
                  <w:marLeft w:val="0"/>
                  <w:marRight w:val="0"/>
                  <w:marTop w:val="0"/>
                  <w:marBottom w:val="0"/>
                  <w:divBdr>
                    <w:top w:val="none" w:sz="0" w:space="0" w:color="auto"/>
                    <w:left w:val="none" w:sz="0" w:space="0" w:color="auto"/>
                    <w:bottom w:val="none" w:sz="0" w:space="0" w:color="auto"/>
                    <w:right w:val="none" w:sz="0" w:space="0" w:color="auto"/>
                  </w:divBdr>
                  <w:divsChild>
                    <w:div w:id="12979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6903">
          <w:marLeft w:val="0"/>
          <w:marRight w:val="0"/>
          <w:marTop w:val="0"/>
          <w:marBottom w:val="0"/>
          <w:divBdr>
            <w:top w:val="none" w:sz="0" w:space="0" w:color="auto"/>
            <w:left w:val="none" w:sz="0" w:space="0" w:color="auto"/>
            <w:bottom w:val="none" w:sz="0" w:space="0" w:color="auto"/>
            <w:right w:val="none" w:sz="0" w:space="0" w:color="auto"/>
          </w:divBdr>
          <w:divsChild>
            <w:div w:id="212741069">
              <w:marLeft w:val="75"/>
              <w:marRight w:val="75"/>
              <w:marTop w:val="300"/>
              <w:marBottom w:val="75"/>
              <w:divBdr>
                <w:top w:val="none" w:sz="0" w:space="0" w:color="auto"/>
                <w:left w:val="none" w:sz="0" w:space="0" w:color="auto"/>
                <w:bottom w:val="none" w:sz="0" w:space="0" w:color="auto"/>
                <w:right w:val="none" w:sz="0" w:space="0" w:color="auto"/>
              </w:divBdr>
              <w:divsChild>
                <w:div w:id="20164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1403">
          <w:marLeft w:val="0"/>
          <w:marRight w:val="0"/>
          <w:marTop w:val="0"/>
          <w:marBottom w:val="0"/>
          <w:divBdr>
            <w:top w:val="none" w:sz="0" w:space="0" w:color="auto"/>
            <w:left w:val="none" w:sz="0" w:space="0" w:color="auto"/>
            <w:bottom w:val="none" w:sz="0" w:space="0" w:color="auto"/>
            <w:right w:val="none" w:sz="0" w:space="0" w:color="auto"/>
          </w:divBdr>
          <w:divsChild>
            <w:div w:id="1658024847">
              <w:marLeft w:val="75"/>
              <w:marRight w:val="75"/>
              <w:marTop w:val="300"/>
              <w:marBottom w:val="75"/>
              <w:divBdr>
                <w:top w:val="none" w:sz="0" w:space="0" w:color="auto"/>
                <w:left w:val="none" w:sz="0" w:space="0" w:color="auto"/>
                <w:bottom w:val="none" w:sz="0" w:space="0" w:color="auto"/>
                <w:right w:val="none" w:sz="0" w:space="0" w:color="auto"/>
              </w:divBdr>
              <w:divsChild>
                <w:div w:id="16992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law/better-regulation/have-your-say/initiatives/14522-EUs-next-long-term-budget-MFF-EU-funding-for-external-action_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4522-EUs-next-long-term-budget-MFF-EU-funding-for-external-action_en" TargetMode="External"/><Relationship Id="rId5" Type="http://schemas.openxmlformats.org/officeDocument/2006/relationships/numbering" Target="numbering.xml"/><Relationship Id="rId10" Type="http://schemas.openxmlformats.org/officeDocument/2006/relationships/hyperlink" Target="https://ec.europa.eu/info/law/better-regulation/have-your-say/initiatives/14522-EUs-next-long-term-budget-MFF-EU-funding-for-external-action_en" TargetMode="External"/><Relationship Id="rId4" Type="http://schemas.openxmlformats.org/officeDocument/2006/relationships/customXml" Target="../customXml/item4.xml"/><Relationship Id="rId9" Type="http://schemas.openxmlformats.org/officeDocument/2006/relationships/hyperlink" Target="https://ec.europa.eu/info/law/better-regulation/have-your-say/initiatives/14522-EUs-next-long-term-budget-MFF-EU-funding-for-external-action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cf653-758f-4696-9784-a0d3e91a5b61">
      <Terms xmlns="http://schemas.microsoft.com/office/infopath/2007/PartnerControls"/>
    </lcf76f155ced4ddcb4097134ff3c332f>
    <TaxCatchAll xmlns="252f4827-23ce-43c5-a232-6be14f1d3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BDABE29AF884CAB37157CBE8CD344" ma:contentTypeVersion="12" ma:contentTypeDescription="Create a new document." ma:contentTypeScope="" ma:versionID="b7af6c267c20a348e8654495dacabeaa">
  <xsd:schema xmlns:xsd="http://www.w3.org/2001/XMLSchema" xmlns:xs="http://www.w3.org/2001/XMLSchema" xmlns:p="http://schemas.microsoft.com/office/2006/metadata/properties" xmlns:ns2="54ecf653-758f-4696-9784-a0d3e91a5b61" xmlns:ns3="252f4827-23ce-43c5-a232-6be14f1d3f55" targetNamespace="http://schemas.microsoft.com/office/2006/metadata/properties" ma:root="true" ma:fieldsID="bbba1cde6c859d678ddf7c7d50a113c6" ns2:_="" ns3:_="">
    <xsd:import namespace="54ecf653-758f-4696-9784-a0d3e91a5b6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f653-758f-4696-9784-a0d3e91a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0B75-F111-4396-9379-F2CF0D5DA644}">
  <ds:schemaRef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252f4827-23ce-43c5-a232-6be14f1d3f55"/>
    <ds:schemaRef ds:uri="http://schemas.microsoft.com/office/2006/documentManagement/types"/>
    <ds:schemaRef ds:uri="http://schemas.microsoft.com/office/infopath/2007/PartnerControls"/>
    <ds:schemaRef ds:uri="54ecf653-758f-4696-9784-a0d3e91a5b61"/>
    <ds:schemaRef ds:uri="http://www.w3.org/XML/1998/namespace"/>
  </ds:schemaRefs>
</ds:datastoreItem>
</file>

<file path=customXml/itemProps2.xml><?xml version="1.0" encoding="utf-8"?>
<ds:datastoreItem xmlns:ds="http://schemas.openxmlformats.org/officeDocument/2006/customXml" ds:itemID="{09C1E65D-623B-4642-8A92-819D247CD602}">
  <ds:schemaRefs>
    <ds:schemaRef ds:uri="http://schemas.microsoft.com/sharepoint/v3/contenttype/forms"/>
  </ds:schemaRefs>
</ds:datastoreItem>
</file>

<file path=customXml/itemProps3.xml><?xml version="1.0" encoding="utf-8"?>
<ds:datastoreItem xmlns:ds="http://schemas.openxmlformats.org/officeDocument/2006/customXml" ds:itemID="{A26D3F9D-C841-4D68-B684-D0F09AD27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f653-758f-4696-9784-a0d3e91a5b6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0281E-9F7E-44B3-A818-E24D6865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Links>
    <vt:vector size="24" baseType="variant">
      <vt:variant>
        <vt:i4>3407875</vt:i4>
      </vt:variant>
      <vt:variant>
        <vt:i4>9</vt:i4>
      </vt:variant>
      <vt:variant>
        <vt:i4>0</vt:i4>
      </vt:variant>
      <vt:variant>
        <vt:i4>5</vt:i4>
      </vt:variant>
      <vt:variant>
        <vt:lpwstr>https://ec.europa.eu/info/law/better-regulation/have-your-say/initiatives/14522-EUs-next-long-term-budget-MFF-EU-funding-for-external-action_en</vt:lpwstr>
      </vt:variant>
      <vt:variant>
        <vt:lpwstr/>
      </vt:variant>
      <vt:variant>
        <vt:i4>3407875</vt:i4>
      </vt:variant>
      <vt:variant>
        <vt:i4>6</vt:i4>
      </vt:variant>
      <vt:variant>
        <vt:i4>0</vt:i4>
      </vt:variant>
      <vt:variant>
        <vt:i4>5</vt:i4>
      </vt:variant>
      <vt:variant>
        <vt:lpwstr>https://ec.europa.eu/info/law/better-regulation/have-your-say/initiatives/14522-EUs-next-long-term-budget-MFF-EU-funding-for-external-action_en</vt:lpwstr>
      </vt:variant>
      <vt:variant>
        <vt:lpwstr/>
      </vt:variant>
      <vt:variant>
        <vt:i4>3407875</vt:i4>
      </vt:variant>
      <vt:variant>
        <vt:i4>3</vt:i4>
      </vt:variant>
      <vt:variant>
        <vt:i4>0</vt:i4>
      </vt:variant>
      <vt:variant>
        <vt:i4>5</vt:i4>
      </vt:variant>
      <vt:variant>
        <vt:lpwstr>https://ec.europa.eu/info/law/better-regulation/have-your-say/initiatives/14522-EUs-next-long-term-budget-MFF-EU-funding-for-external-action_en</vt:lpwstr>
      </vt:variant>
      <vt:variant>
        <vt:lpwstr/>
      </vt:variant>
      <vt:variant>
        <vt:i4>3407875</vt:i4>
      </vt:variant>
      <vt:variant>
        <vt:i4>0</vt:i4>
      </vt:variant>
      <vt:variant>
        <vt:i4>0</vt:i4>
      </vt:variant>
      <vt:variant>
        <vt:i4>5</vt:i4>
      </vt:variant>
      <vt:variant>
        <vt:lpwstr>https://ec.europa.eu/info/law/better-regulation/have-your-say/initiatives/14522-EUs-next-long-term-budget-MFF-EU-funding-for-external-action_en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Hudson</dc:creator>
  <cp:keywords/>
  <dc:description/>
  <cp:lastModifiedBy>Erika Hudson</cp:lastModifiedBy>
  <cp:revision>2</cp:revision>
  <dcterms:created xsi:type="dcterms:W3CDTF">2025-04-25T12:56:00Z</dcterms:created>
  <dcterms:modified xsi:type="dcterms:W3CDTF">2025-04-25T12:56:00Z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0x01010036EBDABE29AF884CAB37157CBE8CD344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