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922F" w14:textId="7279D551" w:rsidR="2EDECCF8" w:rsidRDefault="0002610B" w:rsidP="004F387C">
      <w:pPr>
        <w:jc w:val="center"/>
      </w:pPr>
      <w:r>
        <w:rPr>
          <w:noProof/>
        </w:rPr>
        <w:t>[</w:t>
      </w:r>
      <w:r w:rsidRPr="0002610B">
        <w:rPr>
          <w:noProof/>
          <w:highlight w:val="yellow"/>
        </w:rPr>
        <w:t>Add logo here</w:t>
      </w:r>
      <w:r>
        <w:rPr>
          <w:noProof/>
        </w:rPr>
        <w:t>]</w:t>
      </w:r>
    </w:p>
    <w:p w14:paraId="687B4345" w14:textId="5BD08D00" w:rsidR="0002610B" w:rsidRDefault="28BEA432" w:rsidP="5C016FCD">
      <w:pPr>
        <w:pStyle w:val="Heading1"/>
        <w:jc w:val="center"/>
        <w:rPr>
          <w:b/>
          <w:bCs/>
          <w:sz w:val="32"/>
          <w:szCs w:val="32"/>
        </w:rPr>
      </w:pPr>
      <w:r w:rsidRPr="5C016FCD">
        <w:rPr>
          <w:b/>
          <w:bCs/>
          <w:sz w:val="32"/>
          <w:szCs w:val="32"/>
        </w:rPr>
        <w:t>Public Consultation</w:t>
      </w:r>
    </w:p>
    <w:p w14:paraId="23421869" w14:textId="4FEA70EB" w:rsidR="00022D09" w:rsidRDefault="28BEA432" w:rsidP="5C016FCD">
      <w:pPr>
        <w:pStyle w:val="Heading1"/>
        <w:jc w:val="center"/>
        <w:rPr>
          <w:b/>
          <w:bCs/>
          <w:sz w:val="32"/>
          <w:szCs w:val="32"/>
        </w:rPr>
      </w:pPr>
      <w:r w:rsidRPr="5C016FCD">
        <w:rPr>
          <w:b/>
          <w:bCs/>
          <w:sz w:val="32"/>
          <w:szCs w:val="32"/>
        </w:rPr>
        <w:t>EU’s Next Long-Term Budget– Funding for Civil Protection, Preparedness, and Response to Crises</w:t>
      </w:r>
    </w:p>
    <w:p w14:paraId="76D19425" w14:textId="77777777" w:rsidR="0002610B" w:rsidRPr="0002610B" w:rsidRDefault="0002610B" w:rsidP="0002610B">
      <w:pPr>
        <w:keepNext/>
        <w:keepLines/>
        <w:spacing w:before="160" w:after="80"/>
        <w:outlineLvl w:val="2"/>
        <w:rPr>
          <w:rFonts w:eastAsiaTheme="majorEastAsia" w:cstheme="majorBidi"/>
          <w:b/>
          <w:bCs/>
          <w:color w:val="0F4761" w:themeColor="accent1" w:themeShade="BF"/>
        </w:rPr>
      </w:pPr>
      <w:r w:rsidRPr="0002610B">
        <w:rPr>
          <w:rFonts w:eastAsiaTheme="majorEastAsia" w:cstheme="majorBidi"/>
          <w:b/>
          <w:bCs/>
          <w:color w:val="0F4761" w:themeColor="accent1" w:themeShade="BF"/>
        </w:rPr>
        <w:t>[</w:t>
      </w:r>
      <w:r w:rsidRPr="0002610B">
        <w:rPr>
          <w:rFonts w:eastAsiaTheme="majorEastAsia" w:cstheme="majorBidi"/>
          <w:b/>
          <w:bCs/>
          <w:color w:val="0F4761" w:themeColor="accent1" w:themeShade="BF"/>
          <w:highlight w:val="yellow"/>
        </w:rPr>
        <w:t>Add Organisation Name here</w:t>
      </w:r>
      <w:r w:rsidRPr="0002610B">
        <w:rPr>
          <w:rFonts w:eastAsiaTheme="majorEastAsia" w:cstheme="majorBidi"/>
          <w:b/>
          <w:bCs/>
          <w:color w:val="0F4761" w:themeColor="accent1" w:themeShade="BF"/>
        </w:rPr>
        <w:t>]</w:t>
      </w:r>
    </w:p>
    <w:p w14:paraId="612D4F44" w14:textId="77777777" w:rsidR="0002610B" w:rsidRPr="0002610B" w:rsidRDefault="0002610B" w:rsidP="0002610B">
      <w:r w:rsidRPr="0002610B">
        <w:t>[</w:t>
      </w:r>
      <w:r w:rsidRPr="0002610B">
        <w:rPr>
          <w:highlight w:val="yellow"/>
        </w:rPr>
        <w:t>Add Organization information here</w:t>
      </w:r>
      <w:r w:rsidRPr="0002610B">
        <w:t>]</w:t>
      </w:r>
    </w:p>
    <w:p w14:paraId="2246DF69" w14:textId="77777777" w:rsidR="0002610B" w:rsidRPr="0002610B" w:rsidRDefault="0002610B" w:rsidP="0002610B">
      <w:r w:rsidRPr="0002610B">
        <w:rPr>
          <w:b/>
          <w:bCs/>
        </w:rPr>
        <w:t>Contact:</w:t>
      </w:r>
      <w:r w:rsidRPr="0002610B">
        <w:t xml:space="preserve"> [</w:t>
      </w:r>
      <w:r w:rsidRPr="0002610B">
        <w:rPr>
          <w:highlight w:val="yellow"/>
        </w:rPr>
        <w:t>Add Contact Information</w:t>
      </w:r>
      <w:r w:rsidRPr="0002610B">
        <w:t xml:space="preserve">]  </w:t>
      </w:r>
    </w:p>
    <w:p w14:paraId="28FD4724" w14:textId="6FF45522" w:rsidR="00022D09" w:rsidRDefault="28BEA432" w:rsidP="5C016FCD">
      <w:pPr>
        <w:pStyle w:val="Heading2"/>
      </w:pPr>
      <w:r w:rsidRPr="5C016FCD">
        <w:rPr>
          <w:b/>
          <w:bCs/>
          <w:sz w:val="24"/>
          <w:szCs w:val="24"/>
        </w:rPr>
        <w:t>Introduction</w:t>
      </w:r>
    </w:p>
    <w:p w14:paraId="6C5A7890" w14:textId="606E0DE1" w:rsidR="00022D09" w:rsidRDefault="28BEA432" w:rsidP="79039484">
      <w:pPr>
        <w:spacing w:before="240" w:after="240"/>
      </w:pPr>
      <w:r w:rsidRPr="5C016FCD">
        <w:rPr>
          <w:rFonts w:ascii="Aptos" w:eastAsia="Aptos" w:hAnsi="Aptos" w:cs="Aptos"/>
        </w:rPr>
        <w:t xml:space="preserve">EDF welcomes the European Commission’s initiative to review the </w:t>
      </w:r>
      <w:r w:rsidRPr="5C016FCD">
        <w:rPr>
          <w:rFonts w:ascii="Aptos" w:eastAsia="Aptos" w:hAnsi="Aptos" w:cs="Aptos"/>
          <w:b/>
          <w:bCs/>
        </w:rPr>
        <w:t>Multiannual Financial Framework (MFF) funding for civil protection, preparedness, and response to crises</w:t>
      </w:r>
      <w:r w:rsidRPr="5C016FCD">
        <w:rPr>
          <w:rFonts w:ascii="Aptos" w:eastAsia="Aptos" w:hAnsi="Aptos" w:cs="Aptos"/>
        </w:rPr>
        <w:t xml:space="preserve">. This public consultation presents a critical opportunity to </w:t>
      </w:r>
      <w:r w:rsidRPr="5C016FCD">
        <w:rPr>
          <w:rFonts w:ascii="Aptos" w:eastAsia="Aptos" w:hAnsi="Aptos" w:cs="Aptos"/>
          <w:b/>
          <w:bCs/>
        </w:rPr>
        <w:t>strengthen the inclusion of persons with disabilities</w:t>
      </w:r>
      <w:r w:rsidRPr="5C016FCD">
        <w:rPr>
          <w:rFonts w:ascii="Aptos" w:eastAsia="Aptos" w:hAnsi="Aptos" w:cs="Aptos"/>
        </w:rPr>
        <w:t xml:space="preserve"> in the EU’s approach to </w:t>
      </w:r>
      <w:r w:rsidRPr="5C016FCD">
        <w:rPr>
          <w:rFonts w:ascii="Aptos" w:eastAsia="Aptos" w:hAnsi="Aptos" w:cs="Aptos"/>
          <w:b/>
          <w:bCs/>
        </w:rPr>
        <w:t>disaster risk management, emergency response, and crisis preparedness</w:t>
      </w:r>
      <w:r w:rsidRPr="5C016FCD">
        <w:rPr>
          <w:rFonts w:ascii="Aptos" w:eastAsia="Aptos" w:hAnsi="Aptos" w:cs="Aptos"/>
        </w:rPr>
        <w:t xml:space="preserve">, ensuring full compliance with the </w:t>
      </w:r>
      <w:r w:rsidRPr="5C016FCD">
        <w:rPr>
          <w:rFonts w:ascii="Aptos" w:eastAsia="Aptos" w:hAnsi="Aptos" w:cs="Aptos"/>
          <w:b/>
          <w:bCs/>
        </w:rPr>
        <w:t>United Nations Convention on the Rights of Persons with Disabilities (CRPD) and the Sendai Framework for Disaster Risk Reduction (2015-2030).</w:t>
      </w:r>
    </w:p>
    <w:p w14:paraId="6346AD09" w14:textId="3E244D4D" w:rsidR="143DD9ED" w:rsidRDefault="143DD9ED" w:rsidP="5C016FCD">
      <w:pPr>
        <w:spacing w:before="240" w:after="240"/>
      </w:pPr>
      <w:r w:rsidRPr="5C016FCD">
        <w:rPr>
          <w:rFonts w:ascii="Aptos" w:eastAsia="Aptos" w:hAnsi="Aptos" w:cs="Aptos"/>
        </w:rPr>
        <w:t xml:space="preserve">EDF stands ready to support the European Commission in integrating these measures into the next MFF and ensuring a more </w:t>
      </w:r>
      <w:r w:rsidRPr="5C016FCD">
        <w:rPr>
          <w:rFonts w:ascii="Aptos" w:eastAsia="Aptos" w:hAnsi="Aptos" w:cs="Aptos"/>
          <w:b/>
          <w:bCs/>
        </w:rPr>
        <w:t>inclusive and effective</w:t>
      </w:r>
      <w:r w:rsidRPr="5C016FCD">
        <w:rPr>
          <w:rFonts w:ascii="Aptos" w:eastAsia="Aptos" w:hAnsi="Aptos" w:cs="Aptos"/>
        </w:rPr>
        <w:t xml:space="preserve"> crisis response strategy for all.</w:t>
      </w:r>
      <w:r w:rsidR="628D9C47" w:rsidRPr="5C016FCD">
        <w:rPr>
          <w:rFonts w:ascii="Aptos" w:eastAsia="Aptos" w:hAnsi="Aptos" w:cs="Aptos"/>
        </w:rPr>
        <w:t xml:space="preserve"> By implementing these recommendations, the EU can ensure that its funding </w:t>
      </w:r>
      <w:r w:rsidR="628D9C47" w:rsidRPr="5C016FCD">
        <w:rPr>
          <w:rFonts w:ascii="Aptos" w:eastAsia="Aptos" w:hAnsi="Aptos" w:cs="Aptos"/>
          <w:b/>
          <w:bCs/>
        </w:rPr>
        <w:t>complies with international human rights obligations</w:t>
      </w:r>
      <w:r w:rsidR="628D9C47" w:rsidRPr="5C016FCD">
        <w:rPr>
          <w:rFonts w:ascii="Aptos" w:eastAsia="Aptos" w:hAnsi="Aptos" w:cs="Aptos"/>
        </w:rPr>
        <w:t xml:space="preserve"> and truly </w:t>
      </w:r>
      <w:r w:rsidR="628D9C47" w:rsidRPr="5C016FCD">
        <w:rPr>
          <w:rFonts w:ascii="Aptos" w:eastAsia="Aptos" w:hAnsi="Aptos" w:cs="Aptos"/>
          <w:b/>
          <w:bCs/>
        </w:rPr>
        <w:t>leaves no one behind in times of crisis</w:t>
      </w:r>
      <w:r w:rsidR="628D9C47" w:rsidRPr="5C016FCD">
        <w:rPr>
          <w:rFonts w:ascii="Aptos" w:eastAsia="Aptos" w:hAnsi="Aptos" w:cs="Aptos"/>
        </w:rPr>
        <w:t>.</w:t>
      </w:r>
    </w:p>
    <w:p w14:paraId="2D13DCC7" w14:textId="6C3860EE" w:rsidR="00022D09" w:rsidRPr="001B6D11" w:rsidRDefault="28BEA432" w:rsidP="001B6D11">
      <w:pPr>
        <w:pStyle w:val="Heading2"/>
        <w:rPr>
          <w:b/>
          <w:bCs/>
          <w:sz w:val="24"/>
          <w:szCs w:val="24"/>
        </w:rPr>
      </w:pPr>
      <w:r w:rsidRPr="001B6D11">
        <w:rPr>
          <w:b/>
          <w:bCs/>
          <w:sz w:val="24"/>
          <w:szCs w:val="24"/>
        </w:rPr>
        <w:t>The Need for Disability-Inclusive Crisis Preparedness and Response</w:t>
      </w:r>
    </w:p>
    <w:p w14:paraId="56E31EE3" w14:textId="6F1A4D0A" w:rsidR="00022D09" w:rsidRDefault="28BEA432" w:rsidP="2802826F">
      <w:pPr>
        <w:spacing w:before="240" w:after="240"/>
        <w:rPr>
          <w:rFonts w:ascii="Aptos" w:eastAsia="Aptos" w:hAnsi="Aptos" w:cs="Aptos"/>
        </w:rPr>
      </w:pPr>
      <w:r w:rsidRPr="2802826F">
        <w:rPr>
          <w:rFonts w:ascii="Aptos" w:eastAsia="Aptos" w:hAnsi="Aptos" w:cs="Aptos"/>
        </w:rPr>
        <w:t xml:space="preserve">Persons with disabilities are among the most affected during crises, yet </w:t>
      </w:r>
      <w:r w:rsidRPr="2802826F">
        <w:rPr>
          <w:rFonts w:ascii="Aptos" w:eastAsia="Aptos" w:hAnsi="Aptos" w:cs="Aptos"/>
          <w:b/>
          <w:bCs/>
        </w:rPr>
        <w:t>disaster response and civil protection strategies often fail to address their specific needs</w:t>
      </w:r>
      <w:r w:rsidRPr="2802826F">
        <w:rPr>
          <w:rFonts w:ascii="Aptos" w:eastAsia="Aptos" w:hAnsi="Aptos" w:cs="Aptos"/>
        </w:rPr>
        <w:t>. The COVID-19 pandemic</w:t>
      </w:r>
      <w:r w:rsidR="002F5A03">
        <w:rPr>
          <w:rFonts w:ascii="Aptos" w:eastAsia="Aptos" w:hAnsi="Aptos" w:cs="Aptos"/>
        </w:rPr>
        <w:t xml:space="preserve">, </w:t>
      </w:r>
      <w:r w:rsidR="00B46387" w:rsidRPr="00B46387">
        <w:rPr>
          <w:rFonts w:ascii="Aptos" w:eastAsia="Aptos" w:hAnsi="Aptos" w:cs="Aptos"/>
        </w:rPr>
        <w:t>earthquake</w:t>
      </w:r>
      <w:r w:rsidR="00B46387">
        <w:rPr>
          <w:rFonts w:ascii="Aptos" w:eastAsia="Aptos" w:hAnsi="Aptos" w:cs="Aptos"/>
          <w:lang w:val="uk-UA"/>
        </w:rPr>
        <w:t xml:space="preserve"> </w:t>
      </w:r>
      <w:r w:rsidR="00B46387">
        <w:rPr>
          <w:rFonts w:ascii="Aptos" w:eastAsia="Aptos" w:hAnsi="Aptos" w:cs="Aptos"/>
        </w:rPr>
        <w:t xml:space="preserve">in Turkey, </w:t>
      </w:r>
      <w:r w:rsidR="002F5A03">
        <w:rPr>
          <w:rFonts w:ascii="Aptos" w:eastAsia="Aptos" w:hAnsi="Aptos" w:cs="Aptos"/>
        </w:rPr>
        <w:t xml:space="preserve">flood in Spain, </w:t>
      </w:r>
      <w:r w:rsidRPr="2802826F">
        <w:rPr>
          <w:rFonts w:ascii="Aptos" w:eastAsia="Aptos" w:hAnsi="Aptos" w:cs="Aptos"/>
        </w:rPr>
        <w:t>Russia’s war of aggression against Ukraine</w:t>
      </w:r>
      <w:r w:rsidR="00B46387">
        <w:rPr>
          <w:rFonts w:ascii="Aptos" w:eastAsia="Aptos" w:hAnsi="Aptos" w:cs="Aptos"/>
        </w:rPr>
        <w:t xml:space="preserve">, other military conflicts in the region and </w:t>
      </w:r>
      <w:r w:rsidR="00BF61AD">
        <w:rPr>
          <w:rFonts w:ascii="Aptos" w:eastAsia="Aptos" w:hAnsi="Aptos" w:cs="Aptos"/>
        </w:rPr>
        <w:t>natural disasters</w:t>
      </w:r>
      <w:r w:rsidRPr="2802826F">
        <w:rPr>
          <w:rFonts w:ascii="Aptos" w:eastAsia="Aptos" w:hAnsi="Aptos" w:cs="Aptos"/>
        </w:rPr>
        <w:t xml:space="preserve"> have exposed critical gaps in crisis preparedness and emergency response, particularly in </w:t>
      </w:r>
      <w:r w:rsidRPr="2802826F">
        <w:rPr>
          <w:rFonts w:ascii="Aptos" w:eastAsia="Aptos" w:hAnsi="Aptos" w:cs="Aptos"/>
          <w:b/>
          <w:bCs/>
        </w:rPr>
        <w:t>evacuation protocols, access to emergency services, and the availability of accessible communication channels</w:t>
      </w:r>
      <w:r w:rsidRPr="2802826F">
        <w:rPr>
          <w:rFonts w:ascii="Aptos" w:eastAsia="Aptos" w:hAnsi="Aptos" w:cs="Aptos"/>
        </w:rPr>
        <w:t>.</w:t>
      </w:r>
    </w:p>
    <w:p w14:paraId="7E05AB9E" w14:textId="23EBAFEF" w:rsidR="0021347E" w:rsidRDefault="00DB41D4" w:rsidP="79039484">
      <w:p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>Current</w:t>
      </w:r>
      <w:r w:rsidR="0021347E" w:rsidRPr="0021347E">
        <w:rPr>
          <w:rFonts w:ascii="Aptos" w:eastAsia="Aptos" w:hAnsi="Aptos" w:cs="Aptos"/>
        </w:rPr>
        <w:t xml:space="preserve"> EU funding for </w:t>
      </w:r>
      <w:r w:rsidR="0021347E" w:rsidRPr="0021347E">
        <w:rPr>
          <w:rFonts w:ascii="Aptos" w:eastAsia="Aptos" w:hAnsi="Aptos" w:cs="Aptos"/>
          <w:b/>
          <w:bCs/>
        </w:rPr>
        <w:t>civil protection, crisis preparedness, and response mechanisms</w:t>
      </w:r>
      <w:r w:rsidR="0021347E" w:rsidRPr="0021347E">
        <w:rPr>
          <w:rFonts w:ascii="Aptos" w:eastAsia="Aptos" w:hAnsi="Aptos" w:cs="Aptos"/>
        </w:rPr>
        <w:t xml:space="preserve"> lacks explicit safeguards to ensure </w:t>
      </w:r>
      <w:r w:rsidR="0021347E" w:rsidRPr="0021347E">
        <w:rPr>
          <w:rFonts w:ascii="Aptos" w:eastAsia="Aptos" w:hAnsi="Aptos" w:cs="Aptos"/>
          <w:b/>
          <w:bCs/>
        </w:rPr>
        <w:t>accessibility, participation, and inclusion of persons with disabilities</w:t>
      </w:r>
      <w:r w:rsidR="0021347E" w:rsidRPr="0021347E">
        <w:rPr>
          <w:rFonts w:ascii="Aptos" w:eastAsia="Aptos" w:hAnsi="Aptos" w:cs="Aptos"/>
        </w:rPr>
        <w:t xml:space="preserve">. This omission increases the risk of </w:t>
      </w:r>
      <w:r w:rsidR="0021347E" w:rsidRPr="0021347E">
        <w:rPr>
          <w:rFonts w:ascii="Aptos" w:eastAsia="Aptos" w:hAnsi="Aptos" w:cs="Aptos"/>
          <w:b/>
          <w:bCs/>
        </w:rPr>
        <w:t>exclusion, preventable harm, and loss of life</w:t>
      </w:r>
      <w:r w:rsidR="0021347E" w:rsidRPr="0021347E">
        <w:rPr>
          <w:rFonts w:ascii="Aptos" w:eastAsia="Aptos" w:hAnsi="Aptos" w:cs="Aptos"/>
        </w:rPr>
        <w:t xml:space="preserve"> for persons with disabilities in crisis situations. Moreover, </w:t>
      </w:r>
      <w:r w:rsidR="0021347E" w:rsidRPr="007A1D98">
        <w:rPr>
          <w:rFonts w:ascii="Aptos" w:eastAsia="Aptos" w:hAnsi="Aptos" w:cs="Aptos"/>
          <w:b/>
          <w:bCs/>
        </w:rPr>
        <w:t>budget allocations</w:t>
      </w:r>
      <w:r w:rsidR="0021347E" w:rsidRPr="0021347E">
        <w:rPr>
          <w:rFonts w:ascii="Aptos" w:eastAsia="Aptos" w:hAnsi="Aptos" w:cs="Aptos"/>
        </w:rPr>
        <w:t xml:space="preserve"> for these mechanisms rarely </w:t>
      </w:r>
      <w:r w:rsidR="0021347E" w:rsidRPr="007A1D98">
        <w:rPr>
          <w:rFonts w:ascii="Aptos" w:eastAsia="Aptos" w:hAnsi="Aptos" w:cs="Aptos"/>
          <w:b/>
          <w:bCs/>
        </w:rPr>
        <w:t>earmark resources for accessibility measures</w:t>
      </w:r>
      <w:r w:rsidR="0021347E" w:rsidRPr="0021347E">
        <w:rPr>
          <w:rFonts w:ascii="Aptos" w:eastAsia="Aptos" w:hAnsi="Aptos" w:cs="Aptos"/>
        </w:rPr>
        <w:t xml:space="preserve"> or for </w:t>
      </w:r>
      <w:r w:rsidR="0021347E" w:rsidRPr="007A1D98">
        <w:rPr>
          <w:rFonts w:ascii="Aptos" w:eastAsia="Aptos" w:hAnsi="Aptos" w:cs="Aptos"/>
          <w:b/>
          <w:bCs/>
        </w:rPr>
        <w:t>the direct involvement of organisations of persons with disabilities (OPDs)</w:t>
      </w:r>
      <w:r w:rsidR="0021347E" w:rsidRPr="0021347E">
        <w:rPr>
          <w:rFonts w:ascii="Aptos" w:eastAsia="Aptos" w:hAnsi="Aptos" w:cs="Aptos"/>
        </w:rPr>
        <w:t>, limiting the impact and reach of inclusive crisis response.</w:t>
      </w:r>
    </w:p>
    <w:p w14:paraId="35FA1AB9" w14:textId="75394F03" w:rsidR="005E2D72" w:rsidRDefault="00AB75EA" w:rsidP="001B6D11">
      <w:pPr>
        <w:pStyle w:val="Heading2"/>
        <w:rPr>
          <w:b/>
          <w:bCs/>
          <w:sz w:val="24"/>
          <w:szCs w:val="24"/>
        </w:rPr>
      </w:pPr>
      <w:r w:rsidRPr="001B6D11">
        <w:rPr>
          <w:b/>
          <w:bCs/>
          <w:sz w:val="24"/>
          <w:szCs w:val="24"/>
        </w:rPr>
        <w:t xml:space="preserve">International </w:t>
      </w:r>
      <w:r w:rsidR="00DB41D4">
        <w:rPr>
          <w:b/>
          <w:bCs/>
          <w:sz w:val="24"/>
          <w:szCs w:val="24"/>
        </w:rPr>
        <w:t>O</w:t>
      </w:r>
      <w:r w:rsidRPr="001B6D11">
        <w:rPr>
          <w:b/>
          <w:bCs/>
          <w:sz w:val="24"/>
          <w:szCs w:val="24"/>
        </w:rPr>
        <w:t>bligations</w:t>
      </w:r>
    </w:p>
    <w:p w14:paraId="6AB05840" w14:textId="68104DEB" w:rsidR="007D273F" w:rsidRDefault="007D273F" w:rsidP="007D273F">
      <w:pPr>
        <w:spacing w:before="240" w:after="240"/>
      </w:pPr>
      <w:hyperlink r:id="rId9" w:history="1">
        <w:r w:rsidRPr="008869B9">
          <w:rPr>
            <w:rStyle w:val="Hyperlink"/>
            <w:rFonts w:ascii="Aptos" w:eastAsia="Aptos" w:hAnsi="Aptos" w:cs="Aptos"/>
            <w:b/>
            <w:bCs/>
          </w:rPr>
          <w:t>Article</w:t>
        </w:r>
        <w:r w:rsidR="00F85BBB" w:rsidRPr="008869B9">
          <w:rPr>
            <w:rStyle w:val="Hyperlink"/>
            <w:rFonts w:ascii="Aptos" w:eastAsia="Aptos" w:hAnsi="Aptos" w:cs="Aptos"/>
            <w:b/>
            <w:bCs/>
          </w:rPr>
          <w:t xml:space="preserve"> 11 of the UN CRPD</w:t>
        </w:r>
      </w:hyperlink>
      <w:r w:rsidR="00F85BBB" w:rsidRPr="79039484">
        <w:rPr>
          <w:rFonts w:ascii="Aptos" w:eastAsia="Aptos" w:hAnsi="Aptos" w:cs="Aptos"/>
        </w:rPr>
        <w:t xml:space="preserve"> requires governments to </w:t>
      </w:r>
      <w:r w:rsidR="00F85BBB" w:rsidRPr="79039484">
        <w:rPr>
          <w:rFonts w:ascii="Aptos" w:eastAsia="Aptos" w:hAnsi="Aptos" w:cs="Aptos"/>
          <w:b/>
          <w:bCs/>
        </w:rPr>
        <w:t>ensure the protection and safety of persons with disabilities during armed conflicts, humanitarian emergencies, and natural disasters</w:t>
      </w:r>
      <w:r w:rsidR="00F85BBB" w:rsidRPr="79039484">
        <w:rPr>
          <w:rFonts w:ascii="Aptos" w:eastAsia="Aptos" w:hAnsi="Aptos" w:cs="Aptos"/>
        </w:rPr>
        <w:t>.</w:t>
      </w:r>
      <w:r>
        <w:t xml:space="preserve"> </w:t>
      </w:r>
      <w:r w:rsidRPr="79039484">
        <w:rPr>
          <w:rFonts w:ascii="Aptos" w:eastAsia="Aptos" w:hAnsi="Aptos" w:cs="Aptos"/>
        </w:rPr>
        <w:t xml:space="preserve">Similarly, </w:t>
      </w:r>
      <w:r>
        <w:rPr>
          <w:rFonts w:ascii="Aptos" w:eastAsia="Aptos" w:hAnsi="Aptos" w:cs="Aptos"/>
        </w:rPr>
        <w:t>t</w:t>
      </w:r>
      <w:r w:rsidRPr="79039484">
        <w:rPr>
          <w:rFonts w:ascii="Aptos" w:eastAsia="Aptos" w:hAnsi="Aptos" w:cs="Aptos"/>
        </w:rPr>
        <w:t xml:space="preserve">he </w:t>
      </w:r>
      <w:hyperlink r:id="rId10" w:history="1">
        <w:r w:rsidRPr="000C6514">
          <w:rPr>
            <w:rStyle w:val="Hyperlink"/>
            <w:rFonts w:ascii="Aptos" w:eastAsia="Aptos" w:hAnsi="Aptos" w:cs="Aptos"/>
            <w:b/>
            <w:bCs/>
          </w:rPr>
          <w:t>Sendai Framework</w:t>
        </w:r>
      </w:hyperlink>
      <w:r w:rsidRPr="79039484">
        <w:rPr>
          <w:rFonts w:ascii="Aptos" w:eastAsia="Aptos" w:hAnsi="Aptos" w:cs="Aptos"/>
        </w:rPr>
        <w:t xml:space="preserve"> stresses that persons with disabilities must be recogni</w:t>
      </w:r>
      <w:r>
        <w:rPr>
          <w:rFonts w:ascii="Aptos" w:eastAsia="Aptos" w:hAnsi="Aptos" w:cs="Aptos"/>
        </w:rPr>
        <w:t>s</w:t>
      </w:r>
      <w:r w:rsidRPr="79039484">
        <w:rPr>
          <w:rFonts w:ascii="Aptos" w:eastAsia="Aptos" w:hAnsi="Aptos" w:cs="Aptos"/>
        </w:rPr>
        <w:t xml:space="preserve">ed as </w:t>
      </w:r>
      <w:r w:rsidRPr="79039484">
        <w:rPr>
          <w:rFonts w:ascii="Aptos" w:eastAsia="Aptos" w:hAnsi="Aptos" w:cs="Aptos"/>
          <w:b/>
          <w:bCs/>
        </w:rPr>
        <w:t>key stakeholders</w:t>
      </w:r>
      <w:r w:rsidRPr="79039484">
        <w:rPr>
          <w:rFonts w:ascii="Aptos" w:eastAsia="Aptos" w:hAnsi="Aptos" w:cs="Aptos"/>
        </w:rPr>
        <w:t xml:space="preserve"> in disaster risk reduction and that crisis response mechanisms must be </w:t>
      </w:r>
      <w:r w:rsidRPr="79039484">
        <w:rPr>
          <w:rFonts w:ascii="Aptos" w:eastAsia="Aptos" w:hAnsi="Aptos" w:cs="Aptos"/>
          <w:b/>
          <w:bCs/>
        </w:rPr>
        <w:t>inclusive and accessible</w:t>
      </w:r>
      <w:r w:rsidRPr="79039484">
        <w:rPr>
          <w:rFonts w:ascii="Aptos" w:eastAsia="Aptos" w:hAnsi="Aptos" w:cs="Aptos"/>
        </w:rPr>
        <w:t>.</w:t>
      </w:r>
    </w:p>
    <w:p w14:paraId="0DDB0ED1" w14:textId="43557438" w:rsidR="001B6D11" w:rsidRDefault="00F85BBB" w:rsidP="001B6D11">
      <w:pPr>
        <w:spacing w:before="240" w:after="240"/>
      </w:pPr>
      <w:r w:rsidRPr="0097057E">
        <w:rPr>
          <w:rFonts w:ascii="Aptos" w:eastAsia="Aptos" w:hAnsi="Aptos" w:cs="Aptos"/>
        </w:rPr>
        <w:t>At the same time, the</w:t>
      </w:r>
      <w:r w:rsidR="007D273F" w:rsidRPr="0097057E">
        <w:rPr>
          <w:rFonts w:ascii="Aptos" w:eastAsia="Aptos" w:hAnsi="Aptos" w:cs="Aptos"/>
        </w:rPr>
        <w:t xml:space="preserve"> </w:t>
      </w:r>
      <w:hyperlink r:id="rId11" w:history="1">
        <w:r w:rsidR="007D273F" w:rsidRPr="00EC6101">
          <w:rPr>
            <w:rStyle w:val="Hyperlink"/>
            <w:rFonts w:ascii="Aptos" w:eastAsia="Aptos" w:hAnsi="Aptos" w:cs="Aptos"/>
            <w:b/>
            <w:bCs/>
          </w:rPr>
          <w:t>EU</w:t>
        </w:r>
        <w:r w:rsidRPr="00EC6101">
          <w:rPr>
            <w:rStyle w:val="Hyperlink"/>
            <w:rFonts w:ascii="Aptos" w:eastAsia="Aptos" w:hAnsi="Aptos" w:cs="Aptos"/>
          </w:rPr>
          <w:t xml:space="preserve"> </w:t>
        </w:r>
        <w:r w:rsidRPr="00EC6101">
          <w:rPr>
            <w:rStyle w:val="Hyperlink"/>
            <w:rFonts w:ascii="Aptos" w:eastAsia="Aptos" w:hAnsi="Aptos" w:cs="Aptos"/>
            <w:b/>
            <w:bCs/>
          </w:rPr>
          <w:t>Strategy for the Rights of Persons with Disabilities 2021–2030</w:t>
        </w:r>
      </w:hyperlink>
      <w:r w:rsidRPr="0097057E">
        <w:rPr>
          <w:rFonts w:ascii="Aptos" w:eastAsia="Aptos" w:hAnsi="Aptos" w:cs="Aptos"/>
        </w:rPr>
        <w:t xml:space="preserve"> commits to ensuring that EU </w:t>
      </w:r>
      <w:r w:rsidRPr="0097057E">
        <w:rPr>
          <w:rFonts w:ascii="Aptos" w:eastAsia="Aptos" w:hAnsi="Aptos" w:cs="Aptos"/>
          <w:b/>
          <w:bCs/>
        </w:rPr>
        <w:t>civil protection and crisis response funding explicitly integrates disability inclusion</w:t>
      </w:r>
      <w:r w:rsidRPr="0097057E">
        <w:rPr>
          <w:rFonts w:ascii="Aptos" w:eastAsia="Aptos" w:hAnsi="Aptos" w:cs="Aptos"/>
        </w:rPr>
        <w:t>, mandates accessibility in emergency services and infrastructure, and promotes the active participation of persons with disabilities in disaster preparedness and response efforts</w:t>
      </w:r>
      <w:r w:rsidR="00824490" w:rsidRPr="0097057E">
        <w:rPr>
          <w:rFonts w:ascii="Aptos" w:eastAsia="Aptos" w:hAnsi="Aptos" w:cs="Aptos"/>
        </w:rPr>
        <w:t>.</w:t>
      </w:r>
    </w:p>
    <w:p w14:paraId="0E4D5ED2" w14:textId="1FBCB430" w:rsidR="00502F2F" w:rsidRDefault="00E6290F" w:rsidP="00E6290F">
      <w:pPr>
        <w:rPr>
          <w:highlight w:val="yellow"/>
          <w:lang w:val="uk-UA"/>
        </w:rPr>
      </w:pPr>
      <w:r w:rsidRPr="00E6290F">
        <w:t xml:space="preserve">The European Union has made clear commitments to disability-inclusive development and humanitarian action, both through its endorsement of the </w:t>
      </w:r>
      <w:hyperlink r:id="rId12">
        <w:r w:rsidRPr="007E57DB">
          <w:rPr>
            <w:rStyle w:val="Hyperlink"/>
            <w:b/>
            <w:bCs/>
          </w:rPr>
          <w:t>Amman-Berlin Declaration at the 2025 Global Disability Summit</w:t>
        </w:r>
      </w:hyperlink>
      <w:r w:rsidRPr="00E6290F">
        <w:t xml:space="preserve"> and through the </w:t>
      </w:r>
      <w:r w:rsidR="00A0530A" w:rsidRPr="007E57DB">
        <w:rPr>
          <w:b/>
          <w:bCs/>
        </w:rPr>
        <w:t>Concluding Observations</w:t>
      </w:r>
      <w:r w:rsidRPr="00E6290F">
        <w:t xml:space="preserve"> of the </w:t>
      </w:r>
      <w:hyperlink r:id="rId13">
        <w:r w:rsidRPr="007E57DB">
          <w:rPr>
            <w:rStyle w:val="Hyperlink"/>
            <w:b/>
            <w:bCs/>
          </w:rPr>
          <w:t>UN Committee on the Rights of Persons with Disabilities</w:t>
        </w:r>
      </w:hyperlink>
      <w:r>
        <w:t>.</w:t>
      </w:r>
      <w:r w:rsidRPr="00E6290F">
        <w:t xml:space="preserve"> T</w:t>
      </w:r>
      <w:r>
        <w:t xml:space="preserve">he EU is expected to ensure that the next Multiannual Financial Framework (MFF) aligns with the </w:t>
      </w:r>
      <w:r w:rsidR="00DB41D4">
        <w:t xml:space="preserve">CRPD </w:t>
      </w:r>
      <w:r>
        <w:t xml:space="preserve"> and adopts an intersectional approach.</w:t>
      </w:r>
      <w:r w:rsidR="007E57DB">
        <w:t xml:space="preserve"> </w:t>
      </w:r>
      <w:r>
        <w:t xml:space="preserve">Additionally, the EU must continue scaling up Official Development Assistance for disability-related initiatives, applying the </w:t>
      </w:r>
      <w:r w:rsidRPr="10C38C40">
        <w:rPr>
          <w:b/>
        </w:rPr>
        <w:t>OECD DAC Disability Marker</w:t>
      </w:r>
      <w:r>
        <w:t xml:space="preserve"> and designing programmes that are inclusive by design - ensuring no harm and actively contributing to equality.</w:t>
      </w:r>
    </w:p>
    <w:p w14:paraId="75791F63" w14:textId="3F6437A1" w:rsidR="00022D09" w:rsidRDefault="28BEA432" w:rsidP="5C016FCD">
      <w:pPr>
        <w:pStyle w:val="Heading2"/>
        <w:rPr>
          <w:b/>
          <w:bCs/>
          <w:sz w:val="24"/>
          <w:szCs w:val="24"/>
        </w:rPr>
      </w:pPr>
      <w:r w:rsidRPr="5C016FCD">
        <w:rPr>
          <w:b/>
          <w:bCs/>
          <w:sz w:val="24"/>
          <w:szCs w:val="24"/>
        </w:rPr>
        <w:t xml:space="preserve">Recommendations </w:t>
      </w:r>
    </w:p>
    <w:p w14:paraId="02E62832" w14:textId="61C01935" w:rsidR="00512EEB" w:rsidRPr="00512EEB" w:rsidRDefault="00512EEB" w:rsidP="00512EEB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00512EEB">
        <w:rPr>
          <w:rFonts w:ascii="Aptos" w:eastAsia="Aptos" w:hAnsi="Aptos" w:cs="Aptos"/>
          <w:b/>
          <w:bCs/>
        </w:rPr>
        <w:t>Integrate Disability into Crisis Funding Instruments:</w:t>
      </w:r>
      <w:r w:rsidRPr="00512EEB">
        <w:rPr>
          <w:rFonts w:ascii="Aptos" w:eastAsia="Aptos" w:hAnsi="Aptos" w:cs="Aptos"/>
        </w:rPr>
        <w:t xml:space="preserve"> Mainstream disability inclusion as a cross-cutting requirement in all EU crisis preparedness and response instruments, including the Union Civil Protection Mechanism and relevant funding under the NDICI and Humanitarian Aid budget lines.</w:t>
      </w:r>
    </w:p>
    <w:p w14:paraId="7B8E53C8" w14:textId="261D847F" w:rsidR="00512EEB" w:rsidRPr="00512EEB" w:rsidRDefault="00512EEB" w:rsidP="00512EEB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00512EEB">
        <w:rPr>
          <w:rFonts w:ascii="Aptos" w:eastAsia="Aptos" w:hAnsi="Aptos" w:cs="Aptos"/>
          <w:b/>
          <w:bCs/>
        </w:rPr>
        <w:lastRenderedPageBreak/>
        <w:t>Dedicated Budget Envelope:</w:t>
      </w:r>
      <w:r w:rsidRPr="00512EEB">
        <w:rPr>
          <w:rFonts w:ascii="Aptos" w:eastAsia="Aptos" w:hAnsi="Aptos" w:cs="Aptos"/>
        </w:rPr>
        <w:t xml:space="preserve"> Establish a ring-fenced budget within the MFF for disability-inclusive disaster risk reduction and crisis preparedness, aligned with the CRPD and the OECD DAC Disability Marker.</w:t>
      </w:r>
    </w:p>
    <w:p w14:paraId="5EDF1E63" w14:textId="4479CDA9" w:rsidR="00512EEB" w:rsidRPr="00512EEB" w:rsidRDefault="00512EEB" w:rsidP="00512EEB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00512EEB">
        <w:rPr>
          <w:rFonts w:ascii="Aptos" w:eastAsia="Aptos" w:hAnsi="Aptos" w:cs="Aptos"/>
          <w:b/>
          <w:bCs/>
        </w:rPr>
        <w:t>Fund Accessibility in Emergency Systems:</w:t>
      </w:r>
      <w:r w:rsidRPr="00512EEB">
        <w:rPr>
          <w:rFonts w:ascii="Aptos" w:eastAsia="Aptos" w:hAnsi="Aptos" w:cs="Aptos"/>
        </w:rPr>
        <w:t xml:space="preserve"> Ensure dedicated budget lines or eligible cost categories explicitly cover accessibility features in emergency infrastructure, services, and communication channels (e.g., accessible apps, early warning systems, adapted transportation).</w:t>
      </w:r>
    </w:p>
    <w:p w14:paraId="2AFE5530" w14:textId="62E637D8" w:rsidR="00512EEB" w:rsidRPr="00512EEB" w:rsidRDefault="006F12CD" w:rsidP="00512EEB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Budget for</w:t>
      </w:r>
      <w:r w:rsidR="00512EEB" w:rsidRPr="00512EEB">
        <w:rPr>
          <w:rFonts w:ascii="Aptos" w:eastAsia="Aptos" w:hAnsi="Aptos" w:cs="Aptos"/>
          <w:b/>
          <w:bCs/>
        </w:rPr>
        <w:t xml:space="preserve"> Accessibility:</w:t>
      </w:r>
      <w:r w:rsidR="00512EEB" w:rsidRPr="00512EEB">
        <w:rPr>
          <w:rFonts w:ascii="Aptos" w:eastAsia="Aptos" w:hAnsi="Aptos" w:cs="Aptos"/>
        </w:rPr>
        <w:t xml:space="preserve"> Require all EU-funded emergency and recovery programmes to include specific budget lines for accessibility-related costs (e.g. personal assistance, interpretation, accessible shelters, transport).</w:t>
      </w:r>
    </w:p>
    <w:p w14:paraId="595CB507" w14:textId="4FFAC8DF" w:rsidR="00512EEB" w:rsidRPr="00512EEB" w:rsidRDefault="00512EEB" w:rsidP="00512EEB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00512EEB">
        <w:rPr>
          <w:rFonts w:ascii="Aptos" w:eastAsia="Aptos" w:hAnsi="Aptos" w:cs="Aptos"/>
          <w:b/>
          <w:bCs/>
        </w:rPr>
        <w:t>Deinstitutionalisation as a Funding Condition:</w:t>
      </w:r>
      <w:r w:rsidRPr="00512EEB">
        <w:rPr>
          <w:rFonts w:ascii="Aptos" w:eastAsia="Aptos" w:hAnsi="Aptos" w:cs="Aptos"/>
        </w:rPr>
        <w:t xml:space="preserve"> Ensure that all recovery and reconstruction programmes, including under the Ukraine Facility and other Facility Tools, explicitly reference CRPD Article 19 and prohibit funding for institutionalisation.</w:t>
      </w:r>
    </w:p>
    <w:p w14:paraId="28C50919" w14:textId="6330D19C" w:rsidR="00512EEB" w:rsidRPr="00512EEB" w:rsidRDefault="00512EEB" w:rsidP="00512EEB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00512EEB">
        <w:rPr>
          <w:rFonts w:ascii="Aptos" w:eastAsia="Aptos" w:hAnsi="Aptos" w:cs="Aptos"/>
          <w:b/>
          <w:bCs/>
        </w:rPr>
        <w:t>Direct Funding to OPDs:</w:t>
      </w:r>
      <w:r w:rsidRPr="00512EEB">
        <w:rPr>
          <w:rFonts w:ascii="Aptos" w:eastAsia="Aptos" w:hAnsi="Aptos" w:cs="Aptos"/>
        </w:rPr>
        <w:t xml:space="preserve"> Allocate earmarked grants or sub-grants within crisis response and DRR programmes to support the institutional capacity and leadership of OPDs, especially at national and local level.</w:t>
      </w:r>
    </w:p>
    <w:p w14:paraId="2B68DB2C" w14:textId="16CD47AB" w:rsidR="00CD29AD" w:rsidRPr="00512EEB" w:rsidRDefault="00512EEB" w:rsidP="00512EEB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00512EEB">
        <w:rPr>
          <w:rFonts w:ascii="Aptos" w:eastAsia="Aptos" w:hAnsi="Aptos" w:cs="Aptos"/>
          <w:b/>
          <w:bCs/>
        </w:rPr>
        <w:t>Audits and Monitoring:</w:t>
      </w:r>
      <w:r w:rsidRPr="00512EEB">
        <w:rPr>
          <w:rFonts w:ascii="Aptos" w:eastAsia="Aptos" w:hAnsi="Aptos" w:cs="Aptos"/>
        </w:rPr>
        <w:t xml:space="preserve"> Fund independent accessibility audits and monitoring mechanisms as part of grant implementation and evaluation processes. </w:t>
      </w:r>
      <w:r w:rsidR="00CD29AD" w:rsidRPr="00512EEB">
        <w:rPr>
          <w:rFonts w:ascii="Aptos" w:eastAsia="Aptos" w:hAnsi="Aptos" w:cs="Aptos"/>
        </w:rPr>
        <w:t>Apply the principle of 'inclusive by design' across all EU-funded international development and humanitarian programmes to promote equality and ensure no harm.</w:t>
      </w:r>
    </w:p>
    <w:p w14:paraId="24F35AB2" w14:textId="425814BD" w:rsidR="5C016FCD" w:rsidRDefault="5C016FCD"/>
    <w:sectPr w:rsidR="5C01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201C"/>
    <w:multiLevelType w:val="multilevel"/>
    <w:tmpl w:val="381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32B962"/>
    <w:multiLevelType w:val="hybridMultilevel"/>
    <w:tmpl w:val="1DC46C60"/>
    <w:lvl w:ilvl="0" w:tplc="07548F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184AD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D262A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AF6548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E54CE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20AA98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4484A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60646F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EC65A9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5EFD29"/>
    <w:multiLevelType w:val="hybridMultilevel"/>
    <w:tmpl w:val="5CA46008"/>
    <w:lvl w:ilvl="0" w:tplc="7230367C">
      <w:start w:val="1"/>
      <w:numFmt w:val="decimal"/>
      <w:lvlText w:val="%1."/>
      <w:lvlJc w:val="left"/>
      <w:pPr>
        <w:ind w:left="720" w:hanging="360"/>
      </w:pPr>
    </w:lvl>
    <w:lvl w:ilvl="1" w:tplc="8F2C1AFE">
      <w:start w:val="1"/>
      <w:numFmt w:val="lowerLetter"/>
      <w:lvlText w:val="%2."/>
      <w:lvlJc w:val="left"/>
      <w:pPr>
        <w:ind w:left="1440" w:hanging="360"/>
      </w:pPr>
    </w:lvl>
    <w:lvl w:ilvl="2" w:tplc="F572AB40">
      <w:start w:val="1"/>
      <w:numFmt w:val="lowerRoman"/>
      <w:lvlText w:val="%3."/>
      <w:lvlJc w:val="right"/>
      <w:pPr>
        <w:ind w:left="2160" w:hanging="180"/>
      </w:pPr>
    </w:lvl>
    <w:lvl w:ilvl="3" w:tplc="25FED5D8">
      <w:start w:val="1"/>
      <w:numFmt w:val="decimal"/>
      <w:lvlText w:val="%4."/>
      <w:lvlJc w:val="left"/>
      <w:pPr>
        <w:ind w:left="2880" w:hanging="360"/>
      </w:pPr>
    </w:lvl>
    <w:lvl w:ilvl="4" w:tplc="6B3EBC5E">
      <w:start w:val="1"/>
      <w:numFmt w:val="lowerLetter"/>
      <w:lvlText w:val="%5."/>
      <w:lvlJc w:val="left"/>
      <w:pPr>
        <w:ind w:left="3600" w:hanging="360"/>
      </w:pPr>
    </w:lvl>
    <w:lvl w:ilvl="5" w:tplc="FEB03D50">
      <w:start w:val="1"/>
      <w:numFmt w:val="lowerRoman"/>
      <w:lvlText w:val="%6."/>
      <w:lvlJc w:val="right"/>
      <w:pPr>
        <w:ind w:left="4320" w:hanging="180"/>
      </w:pPr>
    </w:lvl>
    <w:lvl w:ilvl="6" w:tplc="ACA2670E">
      <w:start w:val="1"/>
      <w:numFmt w:val="decimal"/>
      <w:lvlText w:val="%7."/>
      <w:lvlJc w:val="left"/>
      <w:pPr>
        <w:ind w:left="5040" w:hanging="360"/>
      </w:pPr>
    </w:lvl>
    <w:lvl w:ilvl="7" w:tplc="FE049C92">
      <w:start w:val="1"/>
      <w:numFmt w:val="lowerLetter"/>
      <w:lvlText w:val="%8."/>
      <w:lvlJc w:val="left"/>
      <w:pPr>
        <w:ind w:left="5760" w:hanging="360"/>
      </w:pPr>
    </w:lvl>
    <w:lvl w:ilvl="8" w:tplc="FB768C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2234E"/>
    <w:multiLevelType w:val="hybridMultilevel"/>
    <w:tmpl w:val="3296FD3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D6571B"/>
    <w:multiLevelType w:val="multilevel"/>
    <w:tmpl w:val="C852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88B6BB"/>
    <w:multiLevelType w:val="hybridMultilevel"/>
    <w:tmpl w:val="A71EC47A"/>
    <w:lvl w:ilvl="0" w:tplc="240A05AA">
      <w:start w:val="1"/>
      <w:numFmt w:val="decimal"/>
      <w:lvlText w:val="%1."/>
      <w:lvlJc w:val="left"/>
      <w:pPr>
        <w:ind w:left="720" w:hanging="360"/>
      </w:pPr>
    </w:lvl>
    <w:lvl w:ilvl="1" w:tplc="A66E58DE">
      <w:start w:val="1"/>
      <w:numFmt w:val="lowerLetter"/>
      <w:lvlText w:val="%2."/>
      <w:lvlJc w:val="left"/>
      <w:pPr>
        <w:ind w:left="1440" w:hanging="360"/>
      </w:pPr>
    </w:lvl>
    <w:lvl w:ilvl="2" w:tplc="93A2232E">
      <w:start w:val="1"/>
      <w:numFmt w:val="lowerRoman"/>
      <w:lvlText w:val="%3."/>
      <w:lvlJc w:val="right"/>
      <w:pPr>
        <w:ind w:left="2160" w:hanging="180"/>
      </w:pPr>
    </w:lvl>
    <w:lvl w:ilvl="3" w:tplc="1CB48772">
      <w:start w:val="1"/>
      <w:numFmt w:val="decimal"/>
      <w:lvlText w:val="%4."/>
      <w:lvlJc w:val="left"/>
      <w:pPr>
        <w:ind w:left="2880" w:hanging="360"/>
      </w:pPr>
    </w:lvl>
    <w:lvl w:ilvl="4" w:tplc="C846CD00">
      <w:start w:val="1"/>
      <w:numFmt w:val="lowerLetter"/>
      <w:lvlText w:val="%5."/>
      <w:lvlJc w:val="left"/>
      <w:pPr>
        <w:ind w:left="3600" w:hanging="360"/>
      </w:pPr>
    </w:lvl>
    <w:lvl w:ilvl="5" w:tplc="EFBA563A">
      <w:start w:val="1"/>
      <w:numFmt w:val="lowerRoman"/>
      <w:lvlText w:val="%6."/>
      <w:lvlJc w:val="right"/>
      <w:pPr>
        <w:ind w:left="4320" w:hanging="180"/>
      </w:pPr>
    </w:lvl>
    <w:lvl w:ilvl="6" w:tplc="48DA33B6">
      <w:start w:val="1"/>
      <w:numFmt w:val="decimal"/>
      <w:lvlText w:val="%7."/>
      <w:lvlJc w:val="left"/>
      <w:pPr>
        <w:ind w:left="5040" w:hanging="360"/>
      </w:pPr>
    </w:lvl>
    <w:lvl w:ilvl="7" w:tplc="2C807DCC">
      <w:start w:val="1"/>
      <w:numFmt w:val="lowerLetter"/>
      <w:lvlText w:val="%8."/>
      <w:lvlJc w:val="left"/>
      <w:pPr>
        <w:ind w:left="5760" w:hanging="360"/>
      </w:pPr>
    </w:lvl>
    <w:lvl w:ilvl="8" w:tplc="81840BE8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063175">
    <w:abstractNumId w:val="5"/>
  </w:num>
  <w:num w:numId="2" w16cid:durableId="1959603079">
    <w:abstractNumId w:val="1"/>
  </w:num>
  <w:num w:numId="3" w16cid:durableId="253176545">
    <w:abstractNumId w:val="2"/>
  </w:num>
  <w:num w:numId="4" w16cid:durableId="836768584">
    <w:abstractNumId w:val="4"/>
  </w:num>
  <w:num w:numId="5" w16cid:durableId="1974747473">
    <w:abstractNumId w:val="0"/>
  </w:num>
  <w:num w:numId="6" w16cid:durableId="1057627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637660"/>
    <w:rsid w:val="00022D09"/>
    <w:rsid w:val="0002610B"/>
    <w:rsid w:val="000458D9"/>
    <w:rsid w:val="000802E4"/>
    <w:rsid w:val="000C0EF1"/>
    <w:rsid w:val="000C6514"/>
    <w:rsid w:val="001006D6"/>
    <w:rsid w:val="00112A5E"/>
    <w:rsid w:val="00143E5F"/>
    <w:rsid w:val="0019433C"/>
    <w:rsid w:val="001B6D11"/>
    <w:rsid w:val="001C29AA"/>
    <w:rsid w:val="001D7767"/>
    <w:rsid w:val="00207FD6"/>
    <w:rsid w:val="0021347E"/>
    <w:rsid w:val="00220F53"/>
    <w:rsid w:val="00283165"/>
    <w:rsid w:val="002B2D1D"/>
    <w:rsid w:val="002B5E67"/>
    <w:rsid w:val="002F0E36"/>
    <w:rsid w:val="002F5A03"/>
    <w:rsid w:val="00311DFD"/>
    <w:rsid w:val="00374D9B"/>
    <w:rsid w:val="00387615"/>
    <w:rsid w:val="004E4504"/>
    <w:rsid w:val="004F387C"/>
    <w:rsid w:val="00502F2F"/>
    <w:rsid w:val="00512EEB"/>
    <w:rsid w:val="00586621"/>
    <w:rsid w:val="005869B3"/>
    <w:rsid w:val="005D00EC"/>
    <w:rsid w:val="005E2D72"/>
    <w:rsid w:val="0061643F"/>
    <w:rsid w:val="006B4446"/>
    <w:rsid w:val="006D2B33"/>
    <w:rsid w:val="006F12CD"/>
    <w:rsid w:val="00726BE7"/>
    <w:rsid w:val="007A1D98"/>
    <w:rsid w:val="007A6DBF"/>
    <w:rsid w:val="007B6469"/>
    <w:rsid w:val="007D273F"/>
    <w:rsid w:val="007E57DB"/>
    <w:rsid w:val="00824490"/>
    <w:rsid w:val="008639E7"/>
    <w:rsid w:val="0088164E"/>
    <w:rsid w:val="008869B9"/>
    <w:rsid w:val="0089318A"/>
    <w:rsid w:val="008E1BB3"/>
    <w:rsid w:val="008E4B63"/>
    <w:rsid w:val="00966E75"/>
    <w:rsid w:val="0097057E"/>
    <w:rsid w:val="009D0F22"/>
    <w:rsid w:val="00A0530A"/>
    <w:rsid w:val="00A200E5"/>
    <w:rsid w:val="00A71A89"/>
    <w:rsid w:val="00AB75EA"/>
    <w:rsid w:val="00B444AB"/>
    <w:rsid w:val="00B46387"/>
    <w:rsid w:val="00B7330F"/>
    <w:rsid w:val="00B86DB2"/>
    <w:rsid w:val="00BC56E0"/>
    <w:rsid w:val="00BD47F7"/>
    <w:rsid w:val="00BF61AD"/>
    <w:rsid w:val="00C34D09"/>
    <w:rsid w:val="00C5458D"/>
    <w:rsid w:val="00CD29AD"/>
    <w:rsid w:val="00D004B9"/>
    <w:rsid w:val="00D70442"/>
    <w:rsid w:val="00DB41D4"/>
    <w:rsid w:val="00DB7FEC"/>
    <w:rsid w:val="00E10B34"/>
    <w:rsid w:val="00E10E6E"/>
    <w:rsid w:val="00E22940"/>
    <w:rsid w:val="00E3491C"/>
    <w:rsid w:val="00E4160E"/>
    <w:rsid w:val="00E6290F"/>
    <w:rsid w:val="00E6620D"/>
    <w:rsid w:val="00E67296"/>
    <w:rsid w:val="00E8689A"/>
    <w:rsid w:val="00EC3EC8"/>
    <w:rsid w:val="00EC46EC"/>
    <w:rsid w:val="00EC6101"/>
    <w:rsid w:val="00ED3A7A"/>
    <w:rsid w:val="00EF14F8"/>
    <w:rsid w:val="00F251E4"/>
    <w:rsid w:val="00F37ED3"/>
    <w:rsid w:val="00F80E0A"/>
    <w:rsid w:val="00F85BBB"/>
    <w:rsid w:val="00FB3D53"/>
    <w:rsid w:val="00FB4AA1"/>
    <w:rsid w:val="00FF42E6"/>
    <w:rsid w:val="02167B94"/>
    <w:rsid w:val="06D3DEC9"/>
    <w:rsid w:val="0928B3FD"/>
    <w:rsid w:val="10C38C40"/>
    <w:rsid w:val="143DD9ED"/>
    <w:rsid w:val="174E02D4"/>
    <w:rsid w:val="1C7AE08D"/>
    <w:rsid w:val="1E464D28"/>
    <w:rsid w:val="239AA7E7"/>
    <w:rsid w:val="2756E78C"/>
    <w:rsid w:val="2802826F"/>
    <w:rsid w:val="28BEA432"/>
    <w:rsid w:val="2A55D98F"/>
    <w:rsid w:val="2EDECCF8"/>
    <w:rsid w:val="31964AD7"/>
    <w:rsid w:val="35AFEDA2"/>
    <w:rsid w:val="377681D0"/>
    <w:rsid w:val="3AFF5D24"/>
    <w:rsid w:val="40EEBC6E"/>
    <w:rsid w:val="4FF00D83"/>
    <w:rsid w:val="52687552"/>
    <w:rsid w:val="52881B2D"/>
    <w:rsid w:val="533EE3B2"/>
    <w:rsid w:val="53637660"/>
    <w:rsid w:val="598FEA80"/>
    <w:rsid w:val="5AA59B7A"/>
    <w:rsid w:val="5C016FCD"/>
    <w:rsid w:val="60C97311"/>
    <w:rsid w:val="6172DF0F"/>
    <w:rsid w:val="628D9C47"/>
    <w:rsid w:val="6CE4E0D8"/>
    <w:rsid w:val="6D3CF40B"/>
    <w:rsid w:val="6E8705BF"/>
    <w:rsid w:val="76818116"/>
    <w:rsid w:val="79039484"/>
    <w:rsid w:val="7F6CE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637660"/>
  <w15:chartTrackingRefBased/>
  <w15:docId w15:val="{37E608ED-D823-42D3-A5C2-35014D69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9039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C016FCD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E2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binternet.ohchr.org/_layouts/15/treatybodyexternal/Download.aspx?symbolno=CRPD%2FC%2FEUR%2FCO%2F2-3&amp;Lang=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lobaldisabilitysummit.org/resource/amman-berlin-declar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PDF/?uri=CELEX:52021DC010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undrr.org/publication/sendai-framework-disaster-risk-reduction-2015-203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un.org/development/desa/disabilities/convention-on-the-rights-of-persons-with-disabilities/article-11-situations-of-risk-and-humanitarian-emergencie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6814f3-9e0b-4bdb-a7bc-0e2933f44ebf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6461CE947FD4E81642BBB2B6CE819" ma:contentTypeVersion="11" ma:contentTypeDescription="Create a new document." ma:contentTypeScope="" ma:versionID="440950cb60dc043799bbbfbdc2504205">
  <xsd:schema xmlns:xsd="http://www.w3.org/2001/XMLSchema" xmlns:xs="http://www.w3.org/2001/XMLSchema" xmlns:p="http://schemas.microsoft.com/office/2006/metadata/properties" xmlns:ns2="376814f3-9e0b-4bdb-a7bc-0e2933f44ebf" xmlns:ns3="252f4827-23ce-43c5-a232-6be14f1d3f55" targetNamespace="http://schemas.microsoft.com/office/2006/metadata/properties" ma:root="true" ma:fieldsID="decc027ee170f59baf82f13e459b2893" ns2:_="" ns3:_="">
    <xsd:import namespace="376814f3-9e0b-4bdb-a7bc-0e2933f44ebf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814f3-9e0b-4bdb-a7bc-0e2933f44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459324-2e4a-4847-a6ac-edcf2b3bdcf9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354DF3-CD39-453A-85CE-718AD00CBF3A}">
  <ds:schemaRefs>
    <ds:schemaRef ds:uri="http://purl.org/dc/elements/1.1/"/>
    <ds:schemaRef ds:uri="376814f3-9e0b-4bdb-a7bc-0e2933f44ebf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DF4BD089-B5FE-4C8C-9F1D-EDDA81C72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94256-5C96-4E66-8A11-FEA60E55BB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2BD77-38C2-40FC-BCB7-8F4327B61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814f3-9e0b-4bdb-a7bc-0e2933f44ebf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Links>
    <vt:vector size="42" baseType="variant">
      <vt:variant>
        <vt:i4>7405580</vt:i4>
      </vt:variant>
      <vt:variant>
        <vt:i4>18</vt:i4>
      </vt:variant>
      <vt:variant>
        <vt:i4>0</vt:i4>
      </vt:variant>
      <vt:variant>
        <vt:i4>5</vt:i4>
      </vt:variant>
      <vt:variant>
        <vt:lpwstr>https://tbinternet.ohchr.org/_layouts/15/treatybodyexternal/Download.aspx?symbolno=CRPD%2FC%2FEUR%2FCO%2F2-3&amp;Lang=en</vt:lpwstr>
      </vt:variant>
      <vt:variant>
        <vt:lpwstr/>
      </vt:variant>
      <vt:variant>
        <vt:i4>4259851</vt:i4>
      </vt:variant>
      <vt:variant>
        <vt:i4>15</vt:i4>
      </vt:variant>
      <vt:variant>
        <vt:i4>0</vt:i4>
      </vt:variant>
      <vt:variant>
        <vt:i4>5</vt:i4>
      </vt:variant>
      <vt:variant>
        <vt:lpwstr>https://www.globaldisabilitysummit.org/resource/amman-berlin-declaration/</vt:lpwstr>
      </vt:variant>
      <vt:variant>
        <vt:lpwstr/>
      </vt:variant>
      <vt:variant>
        <vt:i4>1441887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https://eur-lex.europa.eu/legal-content/EN/TXT/PDF/?uri=CELEX:52021DC0101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https://www.undrr.org/publication/sendai-framework-disaster-risk-reduction-2015-2030</vt:lpwstr>
      </vt:variant>
      <vt:variant>
        <vt:lpwstr/>
      </vt:variant>
      <vt:variant>
        <vt:i4>6750257</vt:i4>
      </vt:variant>
      <vt:variant>
        <vt:i4>6</vt:i4>
      </vt:variant>
      <vt:variant>
        <vt:i4>0</vt:i4>
      </vt:variant>
      <vt:variant>
        <vt:i4>5</vt:i4>
      </vt:variant>
      <vt:variant>
        <vt:lpwstr>https://www.un.org/development/desa/disabilities/convention-on-the-rights-of-persons-with-disabilities/article-11-situations-of-risk-and-humanitarian-emergencies.html</vt:lpwstr>
      </vt:variant>
      <vt:variant>
        <vt:lpwstr/>
      </vt:variant>
      <vt:variant>
        <vt:i4>1703985</vt:i4>
      </vt:variant>
      <vt:variant>
        <vt:i4>3</vt:i4>
      </vt:variant>
      <vt:variant>
        <vt:i4>0</vt:i4>
      </vt:variant>
      <vt:variant>
        <vt:i4>5</vt:i4>
      </vt:variant>
      <vt:variant>
        <vt:lpwstr>mailto:Mariya.Yasenovska@edf-feph.org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https://www.edf-feph.org/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Yasenovska</dc:creator>
  <cp:keywords/>
  <dc:description/>
  <cp:lastModifiedBy>Erika Hudson</cp:lastModifiedBy>
  <cp:revision>3</cp:revision>
  <dcterms:created xsi:type="dcterms:W3CDTF">2025-04-25T12:51:00Z</dcterms:created>
  <dcterms:modified xsi:type="dcterms:W3CDTF">2025-04-25T12:52:00Z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0x010100B196461CE947FD4E81642BBB2B6CE819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