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76D95" w14:textId="57E2BA45" w:rsidR="002F4BA8" w:rsidRPr="00D74156" w:rsidRDefault="002F4BA8" w:rsidP="002F4BA8">
      <w:pPr>
        <w:spacing w:before="240" w:after="240"/>
        <w:jc w:val="right"/>
        <w:rPr>
          <w:rFonts w:cs="Arial"/>
          <w:b/>
          <w:bCs/>
          <w:smallCaps/>
          <w:spacing w:val="5"/>
          <w:szCs w:val="24"/>
          <w:lang w:val="en-GB"/>
        </w:rPr>
      </w:pPr>
      <w:r w:rsidRPr="002F4BA8">
        <w:rPr>
          <w:lang w:val="en-GB"/>
        </w:rPr>
        <w:t xml:space="preserve">                         </w:t>
      </w:r>
      <w:r>
        <w:rPr>
          <w:rStyle w:val="BookTitle"/>
          <w:rFonts w:cs="Arial"/>
          <w:szCs w:val="24"/>
          <w:lang w:val="en-US"/>
        </w:rPr>
        <w:t xml:space="preserve">   </w:t>
      </w:r>
      <w:bookmarkStart w:id="0" w:name="_Toc82169937"/>
      <w:bookmarkStart w:id="1" w:name="_Hlk81835844"/>
      <w:r>
        <w:rPr>
          <w:rStyle w:val="BookTitle"/>
          <w:rFonts w:cs="Arial"/>
          <w:szCs w:val="24"/>
          <w:lang w:val="en-US"/>
        </w:rPr>
        <w:tab/>
      </w:r>
      <w:r w:rsidRPr="00D74156">
        <w:rPr>
          <w:rFonts w:cs="Arial"/>
          <w:b/>
          <w:szCs w:val="28"/>
          <w:lang w:val="en-GB"/>
        </w:rPr>
        <w:t>DOC-BOARD-</w:t>
      </w:r>
      <w:r w:rsidR="00704BCC">
        <w:rPr>
          <w:rFonts w:cs="Arial"/>
          <w:b/>
          <w:szCs w:val="28"/>
          <w:lang w:val="en-GB"/>
        </w:rPr>
        <w:t>25-11-03</w:t>
      </w:r>
    </w:p>
    <w:bookmarkEnd w:id="0"/>
    <w:p w14:paraId="4423C731" w14:textId="528B620C" w:rsidR="002F4BA8" w:rsidRPr="00783137" w:rsidRDefault="008F35BE" w:rsidP="008F35BE">
      <w:pPr>
        <w:pStyle w:val="Heading1"/>
        <w:jc w:val="center"/>
        <w:rPr>
          <w:lang w:val="en-GB"/>
        </w:rPr>
      </w:pPr>
      <w:r w:rsidRPr="008F35BE">
        <w:rPr>
          <w:rFonts w:eastAsia="Aptos"/>
          <w:lang w:val="en-GB" w:bidi="ar-SA"/>
        </w:rPr>
        <w:t>Peer exchange on the Directive on combating violence against women</w:t>
      </w:r>
    </w:p>
    <w:bookmarkEnd w:id="1"/>
    <w:p w14:paraId="2B9D8961" w14:textId="483D3D33" w:rsidR="002F4BA8" w:rsidRPr="00704BCC" w:rsidRDefault="002F4BA8" w:rsidP="002F4BA8">
      <w:pPr>
        <w:pStyle w:val="IntenseQuote"/>
        <w:pBdr>
          <w:bottom w:val="single" w:sz="4" w:space="9" w:color="auto"/>
        </w:pBdr>
        <w:tabs>
          <w:tab w:val="left" w:pos="7230"/>
          <w:tab w:val="left" w:pos="7371"/>
        </w:tabs>
        <w:ind w:left="0" w:right="0"/>
        <w:jc w:val="center"/>
        <w:rPr>
          <w:rFonts w:cs="Arial"/>
          <w:b/>
          <w:bCs/>
          <w:i w:val="0"/>
          <w:iCs w:val="0"/>
          <w:szCs w:val="24"/>
          <w:lang w:val="en-GB"/>
        </w:rPr>
      </w:pPr>
      <w:r w:rsidRPr="00704BCC">
        <w:rPr>
          <w:rStyle w:val="Strong"/>
          <w:rFonts w:cs="Arial"/>
          <w:i w:val="0"/>
          <w:iCs w:val="0"/>
          <w:szCs w:val="24"/>
          <w:lang w:val="en-GB"/>
        </w:rPr>
        <w:t>Document for information</w:t>
      </w:r>
      <w:bookmarkStart w:id="2" w:name="_Toc315186273"/>
    </w:p>
    <w:p w14:paraId="55AC1B43" w14:textId="77777777" w:rsidR="002F4BA8" w:rsidRDefault="002F4BA8" w:rsidP="002F4BA8">
      <w:pPr>
        <w:pStyle w:val="Heading2"/>
        <w:rPr>
          <w:lang w:val="en-GB"/>
        </w:rPr>
      </w:pPr>
      <w:bookmarkStart w:id="3" w:name="_Toc176178227"/>
      <w:r w:rsidRPr="00783137">
        <w:rPr>
          <w:lang w:val="en-GB"/>
        </w:rPr>
        <w:t>Introduction</w:t>
      </w:r>
      <w:bookmarkEnd w:id="2"/>
      <w:r w:rsidRPr="00783137">
        <w:rPr>
          <w:lang w:val="en-GB"/>
        </w:rPr>
        <w:t xml:space="preserve"> and purpose</w:t>
      </w:r>
      <w:bookmarkEnd w:id="3"/>
    </w:p>
    <w:p w14:paraId="09FC3EBC" w14:textId="2EA7548F" w:rsidR="008F35BE" w:rsidRPr="008F35BE" w:rsidRDefault="008F35BE" w:rsidP="008F35BE">
      <w:pPr>
        <w:rPr>
          <w:lang w:val="en-GB"/>
        </w:rPr>
      </w:pPr>
      <w:r>
        <w:rPr>
          <w:lang w:val="en-GB"/>
        </w:rPr>
        <w:t xml:space="preserve">This document serves as background information for the peer exchange on the transposition on the Directive on combating violence against women. </w:t>
      </w:r>
    </w:p>
    <w:p w14:paraId="469ECF0D" w14:textId="77777777" w:rsidR="002F4BA8" w:rsidRPr="00783137" w:rsidRDefault="002F4BA8" w:rsidP="002F4BA8">
      <w:pPr>
        <w:spacing w:after="0" w:line="240" w:lineRule="auto"/>
        <w:jc w:val="both"/>
        <w:rPr>
          <w:rFonts w:eastAsia="Calibri" w:cs="Arial"/>
          <w:szCs w:val="24"/>
          <w:lang w:val="en-GB" w:bidi="ar-SA"/>
        </w:rPr>
      </w:pPr>
    </w:p>
    <w:p w14:paraId="465C1151" w14:textId="0FB1B50B" w:rsidR="002F4BA8" w:rsidRPr="00783137" w:rsidRDefault="002F4BA8" w:rsidP="002F4BA8">
      <w:pPr>
        <w:pStyle w:val="Heading2"/>
        <w:spacing w:after="240"/>
        <w:rPr>
          <w:rFonts w:eastAsia="Calibri"/>
          <w:lang w:val="en-GB" w:bidi="ar-SA"/>
        </w:rPr>
      </w:pPr>
      <w:bookmarkStart w:id="4" w:name="_Toc176178228"/>
      <w:r w:rsidRPr="00783137">
        <w:rPr>
          <w:rFonts w:eastAsia="Calibri"/>
          <w:lang w:val="en-GB" w:bidi="ar-SA"/>
        </w:rPr>
        <w:t xml:space="preserve">Questions for the </w:t>
      </w:r>
      <w:bookmarkStart w:id="5" w:name="_Hlk124247568"/>
      <w:bookmarkEnd w:id="4"/>
      <w:r w:rsidR="008F35BE">
        <w:rPr>
          <w:rFonts w:eastAsia="Calibri"/>
          <w:lang w:val="en-GB" w:bidi="ar-SA"/>
        </w:rPr>
        <w:t>Board</w:t>
      </w:r>
    </w:p>
    <w:bookmarkEnd w:id="5"/>
    <w:p w14:paraId="0641060F" w14:textId="77A66EF9" w:rsidR="00783137" w:rsidRDefault="008F35BE" w:rsidP="002F4BA8">
      <w:pPr>
        <w:numPr>
          <w:ilvl w:val="0"/>
          <w:numId w:val="31"/>
        </w:numPr>
        <w:rPr>
          <w:rFonts w:eastAsia="Calibri"/>
          <w:lang w:val="en-GB" w:bidi="ar-SA"/>
        </w:rPr>
      </w:pPr>
      <w:r>
        <w:rPr>
          <w:rFonts w:eastAsia="Calibri"/>
          <w:lang w:val="en-GB" w:bidi="ar-SA"/>
        </w:rPr>
        <w:t xml:space="preserve">What steps is your country taking to transpose the EU Directive on combating violence against women? Are you involved in the process? </w:t>
      </w:r>
    </w:p>
    <w:p w14:paraId="56357E51" w14:textId="7D47EA6F" w:rsidR="008F35BE" w:rsidRDefault="00A43FCC" w:rsidP="002F4BA8">
      <w:pPr>
        <w:numPr>
          <w:ilvl w:val="0"/>
          <w:numId w:val="31"/>
        </w:numPr>
        <w:rPr>
          <w:rFonts w:eastAsia="Calibri"/>
          <w:lang w:val="en-GB" w:bidi="ar-SA"/>
        </w:rPr>
      </w:pPr>
      <w:r>
        <w:rPr>
          <w:rFonts w:eastAsia="Calibri"/>
          <w:lang w:val="en-GB" w:bidi="ar-SA"/>
        </w:rPr>
        <w:t>How can EDF better</w:t>
      </w:r>
      <w:r w:rsidR="008F35BE">
        <w:rPr>
          <w:rFonts w:eastAsia="Calibri"/>
          <w:lang w:val="en-GB" w:bidi="ar-SA"/>
        </w:rPr>
        <w:t xml:space="preserve"> support your national advocacy? </w:t>
      </w:r>
    </w:p>
    <w:p w14:paraId="30790C45" w14:textId="5D891CF7" w:rsidR="0049164B" w:rsidRDefault="00581FB0" w:rsidP="00581FB0">
      <w:pPr>
        <w:pStyle w:val="Heading2"/>
        <w:rPr>
          <w:rFonts w:eastAsia="Calibri"/>
          <w:lang w:val="en-GB" w:bidi="ar-SA"/>
        </w:rPr>
      </w:pPr>
      <w:r>
        <w:rPr>
          <w:rFonts w:eastAsia="Calibri"/>
          <w:lang w:val="en-GB" w:bidi="ar-SA"/>
        </w:rPr>
        <w:t>EU Directive on combating violence against women</w:t>
      </w:r>
    </w:p>
    <w:p w14:paraId="144E6419" w14:textId="4DD33532" w:rsidR="00D6136B" w:rsidRPr="00D6136B" w:rsidRDefault="00D6136B" w:rsidP="00D6136B">
      <w:pPr>
        <w:rPr>
          <w:rFonts w:eastAsia="Calibri"/>
          <w:lang w:val="en-BE" w:bidi="ar-SA"/>
        </w:rPr>
      </w:pPr>
      <w:r w:rsidRPr="00D6136B">
        <w:rPr>
          <w:rFonts w:eastAsia="Calibri"/>
          <w:lang w:val="en-BE" w:bidi="ar-SA"/>
        </w:rPr>
        <w:t xml:space="preserve">The Directive is the EU’s first comprehensive law to combat violence against women and domestic violence. It requires all </w:t>
      </w:r>
      <w:r w:rsidR="00965306">
        <w:rPr>
          <w:rFonts w:eastAsia="Calibri"/>
          <w:lang w:val="en-BE" w:bidi="ar-SA"/>
        </w:rPr>
        <w:t>EU countries</w:t>
      </w:r>
      <w:r w:rsidRPr="00D6136B">
        <w:rPr>
          <w:rFonts w:eastAsia="Calibri"/>
          <w:lang w:val="en-BE" w:bidi="ar-SA"/>
        </w:rPr>
        <w:t xml:space="preserve"> to</w:t>
      </w:r>
      <w:r>
        <w:rPr>
          <w:rFonts w:eastAsia="Calibri"/>
          <w:lang w:val="en-BE" w:bidi="ar-SA"/>
        </w:rPr>
        <w:t xml:space="preserve"> </w:t>
      </w:r>
      <w:r w:rsidRPr="00D6136B">
        <w:rPr>
          <w:rFonts w:eastAsia="Calibri"/>
          <w:lang w:val="en-BE" w:bidi="ar-SA"/>
        </w:rPr>
        <w:t>criminalise female genital mutilation, forced marriage, and certain forms of cyber violence and harassment and to adopt laws and policies to protect victims, including those with disabilities.</w:t>
      </w:r>
    </w:p>
    <w:p w14:paraId="525EDFF8" w14:textId="2D7FB5BF" w:rsidR="00D6136B" w:rsidRPr="00D6136B" w:rsidRDefault="00D6136B" w:rsidP="00D6136B">
      <w:pPr>
        <w:rPr>
          <w:rFonts w:eastAsia="Calibri"/>
          <w:lang w:val="en-BE" w:bidi="ar-SA"/>
        </w:rPr>
      </w:pPr>
      <w:r>
        <w:rPr>
          <w:rFonts w:eastAsia="Calibri"/>
          <w:lang w:val="en-BE" w:bidi="ar-SA"/>
        </w:rPr>
        <w:t xml:space="preserve">The Directive included some key disability-related provisions, including requiring EU countries to: </w:t>
      </w:r>
    </w:p>
    <w:p w14:paraId="1CC3098F" w14:textId="176C282C" w:rsidR="00D6136B" w:rsidRPr="00D6136B" w:rsidRDefault="00D6136B" w:rsidP="00D6136B">
      <w:pPr>
        <w:numPr>
          <w:ilvl w:val="0"/>
          <w:numId w:val="41"/>
        </w:numPr>
        <w:rPr>
          <w:rFonts w:eastAsia="Calibri"/>
          <w:lang w:val="en-BE" w:bidi="ar-SA"/>
        </w:rPr>
      </w:pPr>
      <w:r w:rsidRPr="00D6136B">
        <w:rPr>
          <w:rFonts w:eastAsia="Calibri"/>
          <w:lang w:val="en-BE" w:bidi="ar-SA"/>
        </w:rPr>
        <w:t xml:space="preserve">Recognise offences against a person with disabilities as an </w:t>
      </w:r>
      <w:r w:rsidRPr="00D6136B">
        <w:rPr>
          <w:rFonts w:eastAsia="Calibri"/>
          <w:b/>
          <w:bCs/>
          <w:lang w:val="en-BE" w:bidi="ar-SA"/>
        </w:rPr>
        <w:t>aggravating circumstance</w:t>
      </w:r>
      <w:r w:rsidRPr="00D6136B">
        <w:rPr>
          <w:rFonts w:eastAsia="Calibri"/>
          <w:lang w:val="en-BE" w:bidi="ar-SA"/>
        </w:rPr>
        <w:t xml:space="preserve"> (Article 11)</w:t>
      </w:r>
    </w:p>
    <w:p w14:paraId="01526BF9" w14:textId="2B4DD3E9" w:rsidR="00D6136B" w:rsidRPr="00D6136B" w:rsidRDefault="00D6136B" w:rsidP="00D6136B">
      <w:pPr>
        <w:numPr>
          <w:ilvl w:val="0"/>
          <w:numId w:val="41"/>
        </w:numPr>
        <w:rPr>
          <w:rFonts w:eastAsia="Calibri"/>
          <w:lang w:val="en-BE" w:bidi="ar-SA"/>
        </w:rPr>
      </w:pPr>
      <w:r w:rsidRPr="00D6136B">
        <w:rPr>
          <w:rFonts w:eastAsia="Calibri"/>
          <w:lang w:val="en-BE" w:bidi="ar-SA"/>
        </w:rPr>
        <w:t xml:space="preserve">Provide </w:t>
      </w:r>
      <w:r w:rsidRPr="00D6136B">
        <w:rPr>
          <w:rFonts w:eastAsia="Calibri"/>
          <w:b/>
          <w:bCs/>
          <w:lang w:val="en-BE" w:bidi="ar-SA"/>
        </w:rPr>
        <w:t>trauma-, gender-, and disability-sensitive guidelines</w:t>
      </w:r>
      <w:r w:rsidRPr="00D6136B">
        <w:rPr>
          <w:rFonts w:eastAsia="Calibri"/>
          <w:lang w:val="en-BE" w:bidi="ar-SA"/>
        </w:rPr>
        <w:t xml:space="preserve"> for law enforcement (Article 21)</w:t>
      </w:r>
    </w:p>
    <w:p w14:paraId="5204EBB3" w14:textId="19D31852" w:rsidR="00D6136B" w:rsidRPr="00D6136B" w:rsidRDefault="00D6136B" w:rsidP="00D6136B">
      <w:pPr>
        <w:numPr>
          <w:ilvl w:val="0"/>
          <w:numId w:val="41"/>
        </w:numPr>
        <w:rPr>
          <w:rFonts w:eastAsia="Calibri"/>
          <w:lang w:val="en-BE" w:bidi="ar-SA"/>
        </w:rPr>
      </w:pPr>
      <w:r w:rsidRPr="00D6136B">
        <w:rPr>
          <w:rFonts w:eastAsia="Calibri"/>
          <w:lang w:val="en-BE" w:bidi="ar-SA"/>
        </w:rPr>
        <w:t xml:space="preserve">Ensure </w:t>
      </w:r>
      <w:r w:rsidRPr="00D6136B">
        <w:rPr>
          <w:rFonts w:eastAsia="Calibri"/>
          <w:b/>
          <w:bCs/>
          <w:lang w:val="en-BE" w:bidi="ar-SA"/>
        </w:rPr>
        <w:t>accessible helplines</w:t>
      </w:r>
      <w:r w:rsidRPr="00D6136B">
        <w:rPr>
          <w:rFonts w:eastAsia="Calibri"/>
          <w:lang w:val="en-BE" w:bidi="ar-SA"/>
        </w:rPr>
        <w:t xml:space="preserve"> and </w:t>
      </w:r>
      <w:r w:rsidRPr="00D6136B">
        <w:rPr>
          <w:rFonts w:eastAsia="Calibri"/>
          <w:b/>
          <w:bCs/>
          <w:lang w:val="en-BE" w:bidi="ar-SA"/>
        </w:rPr>
        <w:t>support services</w:t>
      </w:r>
      <w:r w:rsidRPr="00D6136B">
        <w:rPr>
          <w:rFonts w:eastAsia="Calibri"/>
          <w:lang w:val="en-BE" w:bidi="ar-SA"/>
        </w:rPr>
        <w:t xml:space="preserve"> for victims with disabilities (Articles 29</w:t>
      </w:r>
      <w:r w:rsidR="00774C01">
        <w:rPr>
          <w:rFonts w:eastAsia="Calibri"/>
          <w:lang w:val="en-BE" w:bidi="ar-SA"/>
        </w:rPr>
        <w:t xml:space="preserve"> and </w:t>
      </w:r>
      <w:r w:rsidRPr="00D6136B">
        <w:rPr>
          <w:rFonts w:eastAsia="Calibri"/>
          <w:lang w:val="en-BE" w:bidi="ar-SA"/>
        </w:rPr>
        <w:t>33)</w:t>
      </w:r>
    </w:p>
    <w:p w14:paraId="21D30D5E" w14:textId="0DFFFA1C" w:rsidR="00D6136B" w:rsidRPr="00D6136B" w:rsidRDefault="00D6136B" w:rsidP="00D6136B">
      <w:pPr>
        <w:numPr>
          <w:ilvl w:val="0"/>
          <w:numId w:val="41"/>
        </w:numPr>
        <w:rPr>
          <w:rFonts w:eastAsia="Calibri"/>
          <w:lang w:val="en-BE" w:bidi="ar-SA"/>
        </w:rPr>
      </w:pPr>
      <w:r w:rsidRPr="00D6136B">
        <w:rPr>
          <w:rFonts w:eastAsia="Calibri"/>
          <w:lang w:val="en-BE" w:bidi="ar-SA"/>
        </w:rPr>
        <w:t xml:space="preserve">Deliver </w:t>
      </w:r>
      <w:r w:rsidRPr="00D6136B">
        <w:rPr>
          <w:rFonts w:eastAsia="Calibri"/>
          <w:b/>
          <w:bCs/>
          <w:lang w:val="en-BE" w:bidi="ar-SA"/>
        </w:rPr>
        <w:t>accessible prevention materials</w:t>
      </w:r>
      <w:r w:rsidRPr="00D6136B">
        <w:rPr>
          <w:rFonts w:eastAsia="Calibri"/>
          <w:lang w:val="en-BE" w:bidi="ar-SA"/>
        </w:rPr>
        <w:t xml:space="preserve"> and </w:t>
      </w:r>
      <w:r w:rsidRPr="00D6136B">
        <w:rPr>
          <w:rFonts w:eastAsia="Calibri"/>
          <w:b/>
          <w:bCs/>
          <w:lang w:val="en-BE" w:bidi="ar-SA"/>
        </w:rPr>
        <w:t>training</w:t>
      </w:r>
      <w:r w:rsidRPr="00D6136B">
        <w:rPr>
          <w:rFonts w:eastAsia="Calibri"/>
          <w:lang w:val="en-BE" w:bidi="ar-SA"/>
        </w:rPr>
        <w:t xml:space="preserve"> for justice professionals (Articles 34</w:t>
      </w:r>
      <w:r w:rsidR="00774C01">
        <w:rPr>
          <w:rFonts w:eastAsia="Calibri"/>
          <w:lang w:val="en-BE" w:bidi="ar-SA"/>
        </w:rPr>
        <w:t xml:space="preserve"> and </w:t>
      </w:r>
      <w:r w:rsidRPr="00D6136B">
        <w:rPr>
          <w:rFonts w:eastAsia="Calibri"/>
          <w:lang w:val="en-BE" w:bidi="ar-SA"/>
        </w:rPr>
        <w:t>36)</w:t>
      </w:r>
    </w:p>
    <w:p w14:paraId="44C8B772" w14:textId="5329305D" w:rsidR="002C2913" w:rsidRPr="00400D25" w:rsidRDefault="00774C01" w:rsidP="00400D25">
      <w:pPr>
        <w:rPr>
          <w:rFonts w:eastAsia="Calibri"/>
          <w:lang w:val="en-BE" w:bidi="ar-SA"/>
        </w:rPr>
      </w:pPr>
      <w:r w:rsidRPr="00400D25">
        <w:rPr>
          <w:rFonts w:eastAsia="Calibri"/>
          <w:lang w:val="en-BE" w:bidi="ar-SA"/>
        </w:rPr>
        <w:t xml:space="preserve">However, the Directive is not fully comprehensive. Some important gaps </w:t>
      </w:r>
      <w:r w:rsidR="00400D25" w:rsidRPr="00400D25">
        <w:rPr>
          <w:rFonts w:eastAsia="Calibri"/>
          <w:lang w:val="en-BE" w:bidi="ar-SA"/>
        </w:rPr>
        <w:t>remain</w:t>
      </w:r>
      <w:r w:rsidRPr="00400D25">
        <w:rPr>
          <w:rFonts w:eastAsia="Calibri"/>
          <w:lang w:val="en-BE" w:bidi="ar-SA"/>
        </w:rPr>
        <w:t xml:space="preserve">. </w:t>
      </w:r>
      <w:r w:rsidR="00400D25" w:rsidRPr="00400D25">
        <w:rPr>
          <w:rFonts w:eastAsia="Calibri"/>
          <w:lang w:val="en-BE" w:bidi="ar-SA"/>
        </w:rPr>
        <w:t>F</w:t>
      </w:r>
      <w:r w:rsidRPr="00400D25">
        <w:rPr>
          <w:rFonts w:eastAsia="Calibri"/>
          <w:lang w:val="en-BE" w:bidi="ar-SA"/>
        </w:rPr>
        <w:t>orced</w:t>
      </w:r>
      <w:r w:rsidR="00400D25" w:rsidRPr="00400D25">
        <w:rPr>
          <w:rFonts w:eastAsia="Calibri"/>
          <w:lang w:val="en-BE" w:bidi="ar-SA"/>
        </w:rPr>
        <w:t xml:space="preserve"> sterilisation is not explicitly banned and the definition of rape was not harmonised following the </w:t>
      </w:r>
      <w:r w:rsidR="00400D25" w:rsidRPr="00400D25">
        <w:rPr>
          <w:rFonts w:eastAsia="Calibri"/>
          <w:lang w:val="en-BE" w:bidi="ar-SA"/>
        </w:rPr>
        <w:lastRenderedPageBreak/>
        <w:t>“only yes means yes” approach. In addition, s</w:t>
      </w:r>
      <w:r w:rsidR="00D6136B" w:rsidRPr="00D6136B">
        <w:rPr>
          <w:rFonts w:eastAsia="Calibri"/>
          <w:lang w:val="en-BE" w:bidi="ar-SA"/>
        </w:rPr>
        <w:t>exual harassment and data collection disaggregated by disability are insufficiently addressed.</w:t>
      </w:r>
      <w:r w:rsidR="00400D25" w:rsidRPr="00400D25">
        <w:rPr>
          <w:rFonts w:eastAsia="Calibri"/>
          <w:lang w:val="en-BE" w:bidi="ar-SA"/>
        </w:rPr>
        <w:t xml:space="preserve"> </w:t>
      </w:r>
      <w:r w:rsidR="00D6136B" w:rsidRPr="00D6136B">
        <w:rPr>
          <w:rFonts w:eastAsia="Calibri"/>
          <w:lang w:val="en-BE" w:bidi="ar-SA"/>
        </w:rPr>
        <w:t>These omissions particularly affect women and girls with disabilities</w:t>
      </w:r>
      <w:r w:rsidR="00400D25" w:rsidRPr="00400D25">
        <w:rPr>
          <w:rFonts w:eastAsia="Calibri"/>
          <w:lang w:val="en-BE" w:bidi="ar-SA"/>
        </w:rPr>
        <w:t xml:space="preserve">. </w:t>
      </w:r>
    </w:p>
    <w:p w14:paraId="44488921" w14:textId="007E9E49" w:rsidR="00581FB0" w:rsidRDefault="00581FB0" w:rsidP="00581FB0">
      <w:pPr>
        <w:pStyle w:val="Heading2"/>
        <w:rPr>
          <w:rFonts w:eastAsia="Calibri"/>
          <w:lang w:val="en-GB" w:bidi="ar-SA"/>
        </w:rPr>
      </w:pPr>
      <w:r>
        <w:rPr>
          <w:rFonts w:eastAsia="Calibri"/>
          <w:lang w:val="en-GB" w:bidi="ar-SA"/>
        </w:rPr>
        <w:t xml:space="preserve">Transposition timeline </w:t>
      </w:r>
    </w:p>
    <w:p w14:paraId="23035FB5" w14:textId="64A377D5" w:rsidR="0012703C" w:rsidRPr="0012703C" w:rsidRDefault="00965306" w:rsidP="0012703C">
      <w:pPr>
        <w:rPr>
          <w:rFonts w:eastAsia="Arial" w:cs="Arial"/>
          <w:lang w:val="en-BE"/>
        </w:rPr>
      </w:pPr>
      <w:r>
        <w:rPr>
          <w:rFonts w:eastAsia="Arial" w:cs="Arial"/>
          <w:lang w:val="en-BE"/>
        </w:rPr>
        <w:t>EU countries</w:t>
      </w:r>
      <w:r w:rsidR="0012703C" w:rsidRPr="0012703C">
        <w:rPr>
          <w:rFonts w:eastAsia="Arial" w:cs="Arial"/>
          <w:lang w:val="en-BE"/>
        </w:rPr>
        <w:t xml:space="preserve"> must transpose the Directive by </w:t>
      </w:r>
      <w:r w:rsidR="0012703C" w:rsidRPr="0012703C">
        <w:rPr>
          <w:rFonts w:eastAsia="Arial" w:cs="Arial"/>
          <w:b/>
          <w:bCs/>
          <w:lang w:val="en-BE"/>
        </w:rPr>
        <w:t>14 June 2027</w:t>
      </w:r>
      <w:r w:rsidR="0012703C" w:rsidRPr="0012703C">
        <w:rPr>
          <w:rFonts w:eastAsia="Arial" w:cs="Arial"/>
          <w:lang w:val="en-BE"/>
        </w:rPr>
        <w:t>.</w:t>
      </w:r>
    </w:p>
    <w:p w14:paraId="537B5A0D" w14:textId="2014226E" w:rsidR="0012703C" w:rsidRPr="0012703C" w:rsidRDefault="0012703C" w:rsidP="0012703C">
      <w:pPr>
        <w:numPr>
          <w:ilvl w:val="0"/>
          <w:numId w:val="38"/>
        </w:numPr>
        <w:rPr>
          <w:rFonts w:eastAsia="Arial" w:cs="Arial"/>
          <w:lang w:val="en-BE"/>
        </w:rPr>
      </w:pPr>
      <w:r w:rsidRPr="0012703C">
        <w:rPr>
          <w:rFonts w:eastAsia="Arial" w:cs="Arial"/>
          <w:b/>
          <w:bCs/>
          <w:lang w:val="en-BE"/>
        </w:rPr>
        <w:t xml:space="preserve">National ministries </w:t>
      </w:r>
      <w:r w:rsidRPr="0012703C">
        <w:rPr>
          <w:rFonts w:eastAsia="Arial" w:cs="Arial"/>
          <w:lang w:val="en-BE"/>
        </w:rPr>
        <w:t xml:space="preserve">(typically </w:t>
      </w:r>
      <w:r>
        <w:rPr>
          <w:rFonts w:eastAsia="Arial" w:cs="Arial"/>
          <w:lang w:val="en-BE"/>
        </w:rPr>
        <w:t xml:space="preserve">the </w:t>
      </w:r>
      <w:r w:rsidRPr="0012703C">
        <w:rPr>
          <w:rFonts w:eastAsia="Arial" w:cs="Arial"/>
          <w:lang w:val="en-BE"/>
        </w:rPr>
        <w:t>Justice</w:t>
      </w:r>
      <w:r>
        <w:rPr>
          <w:rFonts w:eastAsia="Arial" w:cs="Arial"/>
          <w:lang w:val="en-BE"/>
        </w:rPr>
        <w:t xml:space="preserve"> Ministry</w:t>
      </w:r>
      <w:r w:rsidRPr="0012703C">
        <w:rPr>
          <w:rFonts w:eastAsia="Arial" w:cs="Arial"/>
          <w:lang w:val="en-BE"/>
        </w:rPr>
        <w:t xml:space="preserve">) </w:t>
      </w:r>
      <w:r w:rsidRPr="0012703C">
        <w:rPr>
          <w:rFonts w:eastAsia="Arial" w:cs="Arial"/>
          <w:b/>
          <w:bCs/>
          <w:lang w:val="en-BE"/>
        </w:rPr>
        <w:t>and parliaments</w:t>
      </w:r>
      <w:r w:rsidRPr="0012703C">
        <w:rPr>
          <w:rFonts w:eastAsia="Arial" w:cs="Arial"/>
          <w:lang w:val="en-BE"/>
        </w:rPr>
        <w:t xml:space="preserve"> are responsible for adopting or amending laws to comply.</w:t>
      </w:r>
    </w:p>
    <w:p w14:paraId="3E3A8083" w14:textId="77777777" w:rsidR="0012703C" w:rsidRPr="0012703C" w:rsidRDefault="0012703C" w:rsidP="0012703C">
      <w:pPr>
        <w:numPr>
          <w:ilvl w:val="0"/>
          <w:numId w:val="38"/>
        </w:numPr>
        <w:rPr>
          <w:rFonts w:eastAsia="Arial" w:cs="Arial"/>
          <w:lang w:val="en-BE"/>
        </w:rPr>
      </w:pPr>
      <w:r w:rsidRPr="0012703C">
        <w:rPr>
          <w:rFonts w:eastAsia="Arial" w:cs="Arial"/>
          <w:lang w:val="en-BE"/>
        </w:rPr>
        <w:t xml:space="preserve">The </w:t>
      </w:r>
      <w:r w:rsidRPr="0012703C">
        <w:rPr>
          <w:rFonts w:eastAsia="Arial" w:cs="Arial"/>
          <w:b/>
          <w:bCs/>
          <w:lang w:val="en-BE"/>
        </w:rPr>
        <w:t>European Commission</w:t>
      </w:r>
      <w:r w:rsidRPr="0012703C">
        <w:rPr>
          <w:rFonts w:eastAsia="Arial" w:cs="Arial"/>
          <w:lang w:val="en-BE"/>
        </w:rPr>
        <w:t xml:space="preserve"> monitors transposition, offers guidance, and may launch infringement procedures if countries fail to act or comply.</w:t>
      </w:r>
    </w:p>
    <w:p w14:paraId="32E64603" w14:textId="391A0AC4" w:rsidR="00581FB0" w:rsidRPr="0012703C" w:rsidRDefault="0012703C" w:rsidP="0012703C">
      <w:pPr>
        <w:rPr>
          <w:rFonts w:eastAsia="Arial" w:cs="Arial"/>
          <w:lang w:val="en-BE"/>
        </w:rPr>
      </w:pPr>
      <w:r>
        <w:rPr>
          <w:rFonts w:eastAsia="Arial" w:cs="Arial"/>
          <w:lang w:val="en-BE"/>
        </w:rPr>
        <w:t>T</w:t>
      </w:r>
      <w:r w:rsidRPr="0012703C">
        <w:rPr>
          <w:rFonts w:eastAsia="Arial" w:cs="Arial"/>
          <w:lang w:val="en-BE"/>
        </w:rPr>
        <w:t xml:space="preserve">his is a key advocacy moment to ensure the Directive leads to </w:t>
      </w:r>
      <w:r>
        <w:rPr>
          <w:rFonts w:eastAsia="Arial" w:cs="Arial"/>
          <w:lang w:val="en-BE"/>
        </w:rPr>
        <w:t>efficient</w:t>
      </w:r>
      <w:r w:rsidRPr="0012703C">
        <w:rPr>
          <w:rFonts w:eastAsia="Arial" w:cs="Arial"/>
          <w:lang w:val="en-BE"/>
        </w:rPr>
        <w:t xml:space="preserve"> protections for women and girls with disabilities and to address existing gaps.</w:t>
      </w:r>
    </w:p>
    <w:p w14:paraId="19AA0B01" w14:textId="393C63F7" w:rsidR="00581FB0" w:rsidRDefault="00581FB0" w:rsidP="00581FB0">
      <w:pPr>
        <w:pStyle w:val="Heading2"/>
        <w:rPr>
          <w:rFonts w:eastAsia="Calibri"/>
          <w:lang w:val="en-GB" w:bidi="ar-SA"/>
        </w:rPr>
      </w:pPr>
      <w:r>
        <w:rPr>
          <w:rFonts w:eastAsia="Calibri"/>
          <w:lang w:val="en-GB" w:bidi="ar-SA"/>
        </w:rPr>
        <w:t xml:space="preserve">EDF’s support </w:t>
      </w:r>
    </w:p>
    <w:p w14:paraId="4AB45F15" w14:textId="3AD07C2E" w:rsidR="0065242F" w:rsidRPr="0065242F" w:rsidRDefault="0065242F" w:rsidP="0065242F">
      <w:pPr>
        <w:rPr>
          <w:rFonts w:eastAsia="Calibri"/>
          <w:lang w:val="en-BE" w:bidi="ar-SA"/>
        </w:rPr>
      </w:pPr>
      <w:r w:rsidRPr="0065242F">
        <w:rPr>
          <w:rFonts w:eastAsia="Calibri"/>
          <w:lang w:val="en-BE" w:bidi="ar-SA"/>
        </w:rPr>
        <w:t xml:space="preserve">EDF provides </w:t>
      </w:r>
      <w:r w:rsidR="00787E6E">
        <w:rPr>
          <w:rFonts w:eastAsia="Calibri"/>
          <w:lang w:val="en-BE" w:bidi="ar-SA"/>
        </w:rPr>
        <w:t>tools to support members and partners in advocacy</w:t>
      </w:r>
      <w:r w:rsidRPr="0065242F">
        <w:rPr>
          <w:rFonts w:eastAsia="Calibri"/>
          <w:lang w:val="en-BE" w:bidi="ar-SA"/>
        </w:rPr>
        <w:t>, including:</w:t>
      </w:r>
    </w:p>
    <w:p w14:paraId="04B08638" w14:textId="6A6A71AD" w:rsidR="0065242F" w:rsidRPr="0065242F" w:rsidRDefault="0065242F" w:rsidP="0065242F">
      <w:pPr>
        <w:numPr>
          <w:ilvl w:val="0"/>
          <w:numId w:val="39"/>
        </w:numPr>
        <w:rPr>
          <w:rFonts w:eastAsia="Calibri"/>
          <w:lang w:val="en-BE" w:bidi="ar-SA"/>
        </w:rPr>
      </w:pPr>
      <w:r w:rsidRPr="0065242F">
        <w:rPr>
          <w:rFonts w:eastAsia="Calibri"/>
          <w:lang w:val="en-BE" w:bidi="ar-SA"/>
        </w:rPr>
        <w:t xml:space="preserve">A </w:t>
      </w:r>
      <w:hyperlink r:id="rId11" w:history="1">
        <w:r w:rsidRPr="0065242F">
          <w:rPr>
            <w:rStyle w:val="Hyperlink"/>
            <w:rFonts w:eastAsia="Calibri"/>
            <w:b/>
            <w:bCs/>
            <w:lang w:val="en-BE" w:bidi="ar-SA"/>
          </w:rPr>
          <w:t>guidance document</w:t>
        </w:r>
        <w:r w:rsidRPr="0065242F">
          <w:rPr>
            <w:rStyle w:val="Hyperlink"/>
            <w:rFonts w:eastAsia="Calibri"/>
            <w:lang w:val="en-BE" w:bidi="ar-SA"/>
          </w:rPr>
          <w:t xml:space="preserve"> on the Directive</w:t>
        </w:r>
      </w:hyperlink>
      <w:r w:rsidRPr="0065242F">
        <w:rPr>
          <w:rFonts w:eastAsia="Calibri"/>
          <w:lang w:val="en-BE" w:bidi="ar-SA"/>
        </w:rPr>
        <w:t xml:space="preserve"> with advocacy tips a</w:t>
      </w:r>
      <w:r>
        <w:rPr>
          <w:rFonts w:eastAsia="Calibri"/>
          <w:lang w:val="en-BE" w:bidi="ar-SA"/>
        </w:rPr>
        <w:t>nd</w:t>
      </w:r>
      <w:r w:rsidRPr="0065242F">
        <w:rPr>
          <w:rFonts w:eastAsia="Calibri"/>
          <w:lang w:val="en-BE" w:bidi="ar-SA"/>
        </w:rPr>
        <w:t xml:space="preserve"> resources, for example </w:t>
      </w:r>
      <w:r>
        <w:rPr>
          <w:rFonts w:eastAsia="Calibri"/>
          <w:lang w:val="en-BE" w:bidi="ar-SA"/>
        </w:rPr>
        <w:t>a</w:t>
      </w:r>
      <w:r w:rsidR="00740B75">
        <w:rPr>
          <w:rFonts w:eastAsia="Calibri"/>
          <w:lang w:val="en-BE" w:bidi="ar-SA"/>
        </w:rPr>
        <w:t xml:space="preserve"> </w:t>
      </w:r>
      <w:r w:rsidRPr="0065242F">
        <w:rPr>
          <w:rFonts w:eastAsia="Calibri"/>
          <w:lang w:val="en-BE" w:bidi="ar-SA"/>
        </w:rPr>
        <w:t>template letter organisations of persons with disabilities can use for</w:t>
      </w:r>
      <w:r w:rsidR="003C14B9">
        <w:rPr>
          <w:rFonts w:eastAsia="Calibri"/>
          <w:lang w:val="en-BE" w:bidi="ar-SA"/>
        </w:rPr>
        <w:t xml:space="preserve"> national</w:t>
      </w:r>
      <w:r w:rsidRPr="0065242F">
        <w:rPr>
          <w:rFonts w:eastAsia="Calibri"/>
          <w:lang w:val="en-BE" w:bidi="ar-SA"/>
        </w:rPr>
        <w:t xml:space="preserve"> advocacy</w:t>
      </w:r>
      <w:r w:rsidR="00776569">
        <w:rPr>
          <w:rFonts w:eastAsia="Calibri"/>
          <w:lang w:val="en-BE" w:bidi="ar-SA"/>
        </w:rPr>
        <w:t xml:space="preserve"> </w:t>
      </w:r>
      <w:r w:rsidR="00776569" w:rsidRPr="00776569">
        <w:rPr>
          <w:rFonts w:eastAsia="Calibri"/>
          <w:b/>
          <w:bCs/>
          <w:lang w:val="en-BE" w:bidi="ar-SA"/>
        </w:rPr>
        <w:t>(Annex)</w:t>
      </w:r>
      <w:r w:rsidR="00776569">
        <w:rPr>
          <w:rFonts w:eastAsia="Calibri"/>
          <w:lang w:val="en-BE" w:bidi="ar-SA"/>
        </w:rPr>
        <w:t xml:space="preserve"> </w:t>
      </w:r>
    </w:p>
    <w:p w14:paraId="0319C0CE" w14:textId="03BD94D8" w:rsidR="0065242F" w:rsidRPr="0065242F" w:rsidRDefault="0065242F" w:rsidP="0086680E">
      <w:pPr>
        <w:numPr>
          <w:ilvl w:val="0"/>
          <w:numId w:val="39"/>
        </w:numPr>
        <w:rPr>
          <w:rFonts w:eastAsia="Calibri"/>
          <w:lang w:val="en-BE" w:bidi="ar-SA"/>
        </w:rPr>
      </w:pPr>
      <w:r w:rsidRPr="0065242F">
        <w:rPr>
          <w:rFonts w:eastAsia="Calibri"/>
          <w:lang w:val="en-BE" w:bidi="ar-SA"/>
        </w:rPr>
        <w:t xml:space="preserve">An </w:t>
      </w:r>
      <w:hyperlink r:id="rId12" w:history="1">
        <w:r w:rsidRPr="0065242F">
          <w:rPr>
            <w:rStyle w:val="Hyperlink"/>
            <w:rFonts w:eastAsia="Calibri"/>
            <w:b/>
            <w:bCs/>
            <w:lang w:val="en-BE" w:bidi="ar-SA"/>
          </w:rPr>
          <w:t>online training</w:t>
        </w:r>
      </w:hyperlink>
      <w:r w:rsidRPr="0065242F">
        <w:rPr>
          <w:rFonts w:eastAsia="Calibri"/>
          <w:lang w:val="en-BE" w:bidi="ar-SA"/>
        </w:rPr>
        <w:t xml:space="preserve"> </w:t>
      </w:r>
      <w:r w:rsidR="009622F9" w:rsidRPr="009622F9">
        <w:rPr>
          <w:rFonts w:eastAsia="Calibri"/>
          <w:lang w:val="en-BE" w:bidi="ar-SA"/>
        </w:rPr>
        <w:t>on transposition of the EU Directive on combating Violence Against Women and Domestic Violence</w:t>
      </w:r>
      <w:r w:rsidR="009622F9">
        <w:rPr>
          <w:rFonts w:eastAsia="Calibri"/>
          <w:lang w:val="en-BE" w:bidi="ar-SA"/>
        </w:rPr>
        <w:t xml:space="preserve"> was organised in May 2025 </w:t>
      </w:r>
    </w:p>
    <w:p w14:paraId="655018F0" w14:textId="2D1EF431" w:rsidR="000D7B22" w:rsidRPr="002C2913" w:rsidRDefault="0065242F" w:rsidP="002C2913">
      <w:pPr>
        <w:numPr>
          <w:ilvl w:val="0"/>
          <w:numId w:val="39"/>
        </w:numPr>
        <w:rPr>
          <w:rFonts w:eastAsia="Calibri"/>
          <w:lang w:val="en-BE" w:bidi="ar-SA"/>
        </w:rPr>
      </w:pPr>
      <w:r w:rsidRPr="0065242F">
        <w:rPr>
          <w:rFonts w:eastAsia="Calibri"/>
          <w:lang w:val="en-BE" w:bidi="ar-SA"/>
        </w:rPr>
        <w:t>A</w:t>
      </w:r>
      <w:r w:rsidR="0086680E">
        <w:rPr>
          <w:rFonts w:eastAsia="Calibri"/>
          <w:lang w:val="en-BE" w:bidi="ar-SA"/>
        </w:rPr>
        <w:t>n on-going</w:t>
      </w:r>
      <w:r w:rsidRPr="0065242F">
        <w:rPr>
          <w:rFonts w:eastAsia="Calibri"/>
          <w:lang w:val="en-BE" w:bidi="ar-SA"/>
        </w:rPr>
        <w:t xml:space="preserve"> </w:t>
      </w:r>
      <w:r w:rsidRPr="0065242F">
        <w:rPr>
          <w:rFonts w:eastAsia="Calibri"/>
          <w:b/>
          <w:bCs/>
          <w:lang w:val="en-BE" w:bidi="ar-SA"/>
        </w:rPr>
        <w:t>collection of good practices</w:t>
      </w:r>
      <w:r w:rsidRPr="0065242F">
        <w:rPr>
          <w:rFonts w:eastAsia="Calibri"/>
          <w:lang w:val="en-BE" w:bidi="ar-SA"/>
        </w:rPr>
        <w:t xml:space="preserve"> on</w:t>
      </w:r>
      <w:r w:rsidR="0086680E">
        <w:rPr>
          <w:rFonts w:eastAsia="Calibri"/>
          <w:lang w:val="en-BE" w:bidi="ar-SA"/>
        </w:rPr>
        <w:t xml:space="preserve"> accessible</w:t>
      </w:r>
      <w:r w:rsidRPr="0065242F">
        <w:rPr>
          <w:rFonts w:eastAsia="Calibri"/>
          <w:lang w:val="en-BE" w:bidi="ar-SA"/>
        </w:rPr>
        <w:t xml:space="preserve"> support services for victims. The database will be available on EDF’s website.</w:t>
      </w:r>
      <w:r w:rsidR="0086680E" w:rsidRPr="0086680E">
        <w:rPr>
          <w:rFonts w:eastAsia="Calibri"/>
          <w:lang w:val="en-BE" w:bidi="ar-SA"/>
        </w:rPr>
        <w:t xml:space="preserve"> </w:t>
      </w:r>
      <w:r w:rsidR="0086680E">
        <w:rPr>
          <w:rFonts w:eastAsia="Calibri"/>
          <w:lang w:val="en-BE" w:bidi="ar-SA"/>
        </w:rPr>
        <w:t>C</w:t>
      </w:r>
      <w:r w:rsidR="0086680E" w:rsidRPr="0065242F">
        <w:rPr>
          <w:rFonts w:eastAsia="Calibri"/>
          <w:lang w:val="en-BE" w:bidi="ar-SA"/>
        </w:rPr>
        <w:t>ontributions can be sent to Giulia Traversi</w:t>
      </w:r>
      <w:r w:rsidR="0086680E">
        <w:rPr>
          <w:rFonts w:eastAsia="Calibri"/>
          <w:lang w:val="en-BE" w:bidi="ar-SA"/>
        </w:rPr>
        <w:t xml:space="preserve"> (</w:t>
      </w:r>
      <w:hyperlink r:id="rId13" w:history="1">
        <w:r w:rsidR="0086680E" w:rsidRPr="00B65283">
          <w:rPr>
            <w:rStyle w:val="Hyperlink"/>
            <w:rFonts w:eastAsia="Calibri"/>
            <w:lang w:val="en-BE" w:bidi="ar-SA"/>
          </w:rPr>
          <w:t>giulia.traversi@edf-feph.org</w:t>
        </w:r>
      </w:hyperlink>
      <w:r w:rsidR="0086680E">
        <w:rPr>
          <w:rFonts w:eastAsia="Calibri"/>
          <w:lang w:val="en-BE" w:bidi="ar-SA"/>
        </w:rPr>
        <w:t xml:space="preserve">). </w:t>
      </w:r>
    </w:p>
    <w:sectPr w:rsidR="000D7B22" w:rsidRPr="002C2913" w:rsidSect="004624AA">
      <w:headerReference w:type="default" r:id="rId14"/>
      <w:footerReference w:type="default" r:id="rId15"/>
      <w:pgSz w:w="11906" w:h="16838"/>
      <w:pgMar w:top="2799" w:right="849" w:bottom="1440" w:left="993" w:header="141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1E294" w14:textId="77777777" w:rsidR="00514DC0" w:rsidRDefault="00514DC0" w:rsidP="00B82E36">
      <w:pPr>
        <w:spacing w:after="0" w:line="240" w:lineRule="auto"/>
      </w:pPr>
      <w:r>
        <w:separator/>
      </w:r>
    </w:p>
  </w:endnote>
  <w:endnote w:type="continuationSeparator" w:id="0">
    <w:p w14:paraId="0966197B" w14:textId="77777777" w:rsidR="00514DC0" w:rsidRDefault="00514DC0" w:rsidP="00B82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33D8" w14:textId="748B56C3" w:rsidR="00CF42FC" w:rsidRDefault="00CF42FC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5F031E" wp14:editId="1ECF11B4">
          <wp:simplePos x="0" y="0"/>
          <wp:positionH relativeFrom="margin">
            <wp:align>center</wp:align>
          </wp:positionH>
          <wp:positionV relativeFrom="paragraph">
            <wp:posOffset>98425</wp:posOffset>
          </wp:positionV>
          <wp:extent cx="4418965" cy="485775"/>
          <wp:effectExtent l="0" t="0" r="635" b="9525"/>
          <wp:wrapSquare wrapText="bothSides"/>
          <wp:docPr id="90572938" name="Picture 905729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896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26211" w14:textId="77777777" w:rsidR="00514DC0" w:rsidRDefault="00514DC0" w:rsidP="00B82E36">
      <w:pPr>
        <w:spacing w:after="0" w:line="240" w:lineRule="auto"/>
      </w:pPr>
      <w:r>
        <w:separator/>
      </w:r>
    </w:p>
  </w:footnote>
  <w:footnote w:type="continuationSeparator" w:id="0">
    <w:p w14:paraId="3789E078" w14:textId="77777777" w:rsidR="00514DC0" w:rsidRDefault="00514DC0" w:rsidP="00B82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1AC1F" w14:textId="753EC145" w:rsidR="00B82E36" w:rsidRDefault="00DA6463" w:rsidP="00DA6463">
    <w:pPr>
      <w:pStyle w:val="Header"/>
      <w:jc w:val="center"/>
    </w:pPr>
    <w:r w:rsidRPr="00DA6463">
      <w:rPr>
        <w:noProof/>
      </w:rPr>
      <w:drawing>
        <wp:anchor distT="0" distB="0" distL="114300" distR="114300" simplePos="0" relativeHeight="251658244" behindDoc="0" locked="0" layoutInCell="1" allowOverlap="1" wp14:anchorId="038966DC" wp14:editId="3FAA7915">
          <wp:simplePos x="0" y="0"/>
          <wp:positionH relativeFrom="margin">
            <wp:posOffset>2827181</wp:posOffset>
          </wp:positionH>
          <wp:positionV relativeFrom="paragraph">
            <wp:posOffset>-319781</wp:posOffset>
          </wp:positionV>
          <wp:extent cx="812800" cy="579549"/>
          <wp:effectExtent l="0" t="0" r="0" b="5080"/>
          <wp:wrapSquare wrapText="bothSides"/>
          <wp:docPr id="14671933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19333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800" cy="579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3A48">
      <w:rPr>
        <w:noProof/>
      </w:rPr>
      <w:drawing>
        <wp:anchor distT="0" distB="0" distL="114300" distR="114300" simplePos="0" relativeHeight="251658243" behindDoc="0" locked="0" layoutInCell="1" allowOverlap="1" wp14:anchorId="2061A007" wp14:editId="16F69BB5">
          <wp:simplePos x="0" y="0"/>
          <wp:positionH relativeFrom="margin">
            <wp:align>left</wp:align>
          </wp:positionH>
          <wp:positionV relativeFrom="paragraph">
            <wp:posOffset>-394335</wp:posOffset>
          </wp:positionV>
          <wp:extent cx="715010" cy="793115"/>
          <wp:effectExtent l="0" t="0" r="8890" b="6985"/>
          <wp:wrapSquare wrapText="bothSides"/>
          <wp:docPr id="852911410" name="Picture 3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3A48">
      <w:rPr>
        <w:noProof/>
      </w:rPr>
      <w:drawing>
        <wp:anchor distT="0" distB="0" distL="114300" distR="114300" simplePos="0" relativeHeight="251658242" behindDoc="0" locked="0" layoutInCell="1" allowOverlap="1" wp14:anchorId="5C44EFC1" wp14:editId="767F8DFD">
          <wp:simplePos x="0" y="0"/>
          <wp:positionH relativeFrom="margin">
            <wp:align>right</wp:align>
          </wp:positionH>
          <wp:positionV relativeFrom="paragraph">
            <wp:posOffset>-381000</wp:posOffset>
          </wp:positionV>
          <wp:extent cx="810895" cy="714375"/>
          <wp:effectExtent l="0" t="0" r="8255" b="9525"/>
          <wp:wrapSquare wrapText="bothSides"/>
          <wp:docPr id="802518564" name="Picture 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3A48">
      <w:rPr>
        <w:noProof/>
      </w:rPr>
      <w:drawing>
        <wp:anchor distT="0" distB="0" distL="114300" distR="114300" simplePos="0" relativeHeight="251658241" behindDoc="1" locked="0" layoutInCell="1" allowOverlap="1" wp14:anchorId="06CA77C6" wp14:editId="1DBED247">
          <wp:simplePos x="0" y="0"/>
          <wp:positionH relativeFrom="page">
            <wp:align>right</wp:align>
          </wp:positionH>
          <wp:positionV relativeFrom="page">
            <wp:posOffset>1905</wp:posOffset>
          </wp:positionV>
          <wp:extent cx="7553325" cy="1559560"/>
          <wp:effectExtent l="0" t="0" r="3175" b="2540"/>
          <wp:wrapNone/>
          <wp:docPr id="1089657189" name="Picture 1" descr="A picture containing indoor, sofa, sea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 picture containing indoor, sofa, sea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20" b="15398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55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2E4"/>
    <w:multiLevelType w:val="hybridMultilevel"/>
    <w:tmpl w:val="AFC006C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40A4D"/>
    <w:multiLevelType w:val="hybridMultilevel"/>
    <w:tmpl w:val="7CFEA732"/>
    <w:lvl w:ilvl="0" w:tplc="D926FF40">
      <w:numFmt w:val="bullet"/>
      <w:lvlText w:val=""/>
      <w:lvlJc w:val="left"/>
      <w:pPr>
        <w:ind w:left="2520" w:hanging="360"/>
      </w:pPr>
      <w:rPr>
        <w:rFonts w:ascii="Symbol" w:eastAsia="Lucida Sans Unicode" w:hAnsi="Symbol" w:cs="Arial" w:hint="default"/>
        <w:lang w:val="fr-FR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538547B"/>
    <w:multiLevelType w:val="hybridMultilevel"/>
    <w:tmpl w:val="1FFAFE16"/>
    <w:lvl w:ilvl="0" w:tplc="4392A2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A18592D"/>
    <w:multiLevelType w:val="hybridMultilevel"/>
    <w:tmpl w:val="70060F16"/>
    <w:lvl w:ilvl="0" w:tplc="E12CE4E8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BF868F5"/>
    <w:multiLevelType w:val="hybridMultilevel"/>
    <w:tmpl w:val="49E2EE80"/>
    <w:lvl w:ilvl="0" w:tplc="69E8454E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4472C4" w:themeColor="accent1"/>
        <w:lang w:val="fr-FR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0D163710"/>
    <w:multiLevelType w:val="hybridMultilevel"/>
    <w:tmpl w:val="2ADA56E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A72A0"/>
    <w:multiLevelType w:val="multilevel"/>
    <w:tmpl w:val="84645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0B1ADB"/>
    <w:multiLevelType w:val="hybridMultilevel"/>
    <w:tmpl w:val="E05CB3C2"/>
    <w:lvl w:ilvl="0" w:tplc="080C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8" w15:restartNumberingAfterBreak="0">
    <w:nsid w:val="11256FF0"/>
    <w:multiLevelType w:val="hybridMultilevel"/>
    <w:tmpl w:val="228CB5D2"/>
    <w:lvl w:ilvl="0" w:tplc="4392A29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8ED7C50"/>
    <w:multiLevelType w:val="hybridMultilevel"/>
    <w:tmpl w:val="8C82E2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943E3"/>
    <w:multiLevelType w:val="hybridMultilevel"/>
    <w:tmpl w:val="55C6127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1A457CE0"/>
    <w:multiLevelType w:val="hybridMultilevel"/>
    <w:tmpl w:val="4B3243F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1E612A06"/>
    <w:multiLevelType w:val="hybridMultilevel"/>
    <w:tmpl w:val="C860859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985C21"/>
    <w:multiLevelType w:val="hybridMultilevel"/>
    <w:tmpl w:val="FFFFFFFF"/>
    <w:lvl w:ilvl="0" w:tplc="F8161C68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rFonts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4" w15:restartNumberingAfterBreak="0">
    <w:nsid w:val="210F7C7E"/>
    <w:multiLevelType w:val="multilevel"/>
    <w:tmpl w:val="615A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9730DF"/>
    <w:multiLevelType w:val="hybridMultilevel"/>
    <w:tmpl w:val="145E9E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F41E38"/>
    <w:multiLevelType w:val="multilevel"/>
    <w:tmpl w:val="E25EC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962152"/>
    <w:multiLevelType w:val="hybridMultilevel"/>
    <w:tmpl w:val="083A0B14"/>
    <w:lvl w:ilvl="0" w:tplc="80CEFB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DD077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8E6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04A9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CED4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FAC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EE6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9E11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D2A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137C7"/>
    <w:multiLevelType w:val="hybridMultilevel"/>
    <w:tmpl w:val="C55A9124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7C04388"/>
    <w:multiLevelType w:val="hybridMultilevel"/>
    <w:tmpl w:val="9678046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4D42111F"/>
    <w:multiLevelType w:val="hybridMultilevel"/>
    <w:tmpl w:val="FC4CB41A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521F2CC1"/>
    <w:multiLevelType w:val="hybridMultilevel"/>
    <w:tmpl w:val="E43EB11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69E8454E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4472C4" w:themeColor="accent1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52ED17C8"/>
    <w:multiLevelType w:val="hybridMultilevel"/>
    <w:tmpl w:val="757467B0"/>
    <w:lvl w:ilvl="0" w:tplc="69E8454E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4472C4" w:themeColor="accent1"/>
        <w:lang w:val="fr-FR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57492919"/>
    <w:multiLevelType w:val="hybridMultilevel"/>
    <w:tmpl w:val="1B78397C"/>
    <w:lvl w:ilvl="0" w:tplc="ABCAFA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1CB7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9CD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66B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5E0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C269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D4E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AAB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FE3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7D7207"/>
    <w:multiLevelType w:val="multilevel"/>
    <w:tmpl w:val="8E04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EF2098"/>
    <w:multiLevelType w:val="hybridMultilevel"/>
    <w:tmpl w:val="7756911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C11465A"/>
    <w:multiLevelType w:val="hybridMultilevel"/>
    <w:tmpl w:val="583453E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9C1FF4"/>
    <w:multiLevelType w:val="hybridMultilevel"/>
    <w:tmpl w:val="A5BEE8D4"/>
    <w:lvl w:ilvl="0" w:tplc="69E8454E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4472C4" w:themeColor="accent1"/>
        <w:lang w:val="fr-FR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6D744F15"/>
    <w:multiLevelType w:val="hybridMultilevel"/>
    <w:tmpl w:val="C90EA73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ED53D7B"/>
    <w:multiLevelType w:val="hybridMultilevel"/>
    <w:tmpl w:val="9D64A4EC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6F042E41"/>
    <w:multiLevelType w:val="hybridMultilevel"/>
    <w:tmpl w:val="CF0ED218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75F62615"/>
    <w:multiLevelType w:val="hybridMultilevel"/>
    <w:tmpl w:val="A1E6701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decimal"/>
      <w:lvlText w:val="%3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76394BCB"/>
    <w:multiLevelType w:val="hybridMultilevel"/>
    <w:tmpl w:val="4CE8EA7E"/>
    <w:lvl w:ilvl="0" w:tplc="AB320EF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766B33DE"/>
    <w:multiLevelType w:val="hybridMultilevel"/>
    <w:tmpl w:val="D6E8366E"/>
    <w:lvl w:ilvl="0" w:tplc="6956A9B6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158AD760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786B0133"/>
    <w:multiLevelType w:val="multilevel"/>
    <w:tmpl w:val="5B18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982E9B"/>
    <w:multiLevelType w:val="hybridMultilevel"/>
    <w:tmpl w:val="5276DA16"/>
    <w:lvl w:ilvl="0" w:tplc="349820E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79E354C8"/>
    <w:multiLevelType w:val="hybridMultilevel"/>
    <w:tmpl w:val="C0C8370C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7E09758B"/>
    <w:multiLevelType w:val="hybridMultilevel"/>
    <w:tmpl w:val="356488A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182002"/>
    <w:multiLevelType w:val="hybridMultilevel"/>
    <w:tmpl w:val="4BC09078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9" w15:restartNumberingAfterBreak="0">
    <w:nsid w:val="7E710051"/>
    <w:multiLevelType w:val="hybridMultilevel"/>
    <w:tmpl w:val="EE18CDDE"/>
    <w:lvl w:ilvl="0" w:tplc="69E8454E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4472C4" w:themeColor="accent1"/>
        <w:lang w:val="fr-FR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7FDF6711"/>
    <w:multiLevelType w:val="hybridMultilevel"/>
    <w:tmpl w:val="A4641406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14081014">
    <w:abstractNumId w:val="33"/>
  </w:num>
  <w:num w:numId="2" w16cid:durableId="1196237412">
    <w:abstractNumId w:val="29"/>
  </w:num>
  <w:num w:numId="3" w16cid:durableId="462237362">
    <w:abstractNumId w:val="28"/>
  </w:num>
  <w:num w:numId="4" w16cid:durableId="1006130924">
    <w:abstractNumId w:val="36"/>
  </w:num>
  <w:num w:numId="5" w16cid:durableId="1875843457">
    <w:abstractNumId w:val="15"/>
  </w:num>
  <w:num w:numId="6" w16cid:durableId="1609893170">
    <w:abstractNumId w:val="2"/>
  </w:num>
  <w:num w:numId="7" w16cid:durableId="883059598">
    <w:abstractNumId w:val="32"/>
  </w:num>
  <w:num w:numId="8" w16cid:durableId="230311066">
    <w:abstractNumId w:val="35"/>
  </w:num>
  <w:num w:numId="9" w16cid:durableId="1889755723">
    <w:abstractNumId w:val="8"/>
  </w:num>
  <w:num w:numId="10" w16cid:durableId="1790125226">
    <w:abstractNumId w:val="18"/>
  </w:num>
  <w:num w:numId="11" w16cid:durableId="1788817425">
    <w:abstractNumId w:val="19"/>
  </w:num>
  <w:num w:numId="12" w16cid:durableId="126506746">
    <w:abstractNumId w:val="40"/>
  </w:num>
  <w:num w:numId="13" w16cid:durableId="806093134">
    <w:abstractNumId w:val="20"/>
  </w:num>
  <w:num w:numId="14" w16cid:durableId="1391492351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21743850">
    <w:abstractNumId w:val="30"/>
  </w:num>
  <w:num w:numId="16" w16cid:durableId="653992708">
    <w:abstractNumId w:val="25"/>
  </w:num>
  <w:num w:numId="17" w16cid:durableId="70201626">
    <w:abstractNumId w:val="38"/>
  </w:num>
  <w:num w:numId="18" w16cid:durableId="1040738844">
    <w:abstractNumId w:val="31"/>
  </w:num>
  <w:num w:numId="19" w16cid:durableId="635526885">
    <w:abstractNumId w:val="10"/>
  </w:num>
  <w:num w:numId="20" w16cid:durableId="679281460">
    <w:abstractNumId w:val="21"/>
  </w:num>
  <w:num w:numId="21" w16cid:durableId="2008090567">
    <w:abstractNumId w:val="13"/>
  </w:num>
  <w:num w:numId="22" w16cid:durableId="1806198502">
    <w:abstractNumId w:val="3"/>
  </w:num>
  <w:num w:numId="23" w16cid:durableId="1738086125">
    <w:abstractNumId w:val="1"/>
  </w:num>
  <w:num w:numId="24" w16cid:durableId="1157039047">
    <w:abstractNumId w:val="4"/>
  </w:num>
  <w:num w:numId="25" w16cid:durableId="159276456">
    <w:abstractNumId w:val="22"/>
  </w:num>
  <w:num w:numId="26" w16cid:durableId="222298200">
    <w:abstractNumId w:val="27"/>
  </w:num>
  <w:num w:numId="27" w16cid:durableId="1053698610">
    <w:abstractNumId w:val="39"/>
  </w:num>
  <w:num w:numId="28" w16cid:durableId="1593204956">
    <w:abstractNumId w:val="17"/>
  </w:num>
  <w:num w:numId="29" w16cid:durableId="371924122">
    <w:abstractNumId w:val="23"/>
  </w:num>
  <w:num w:numId="30" w16cid:durableId="1963226349">
    <w:abstractNumId w:val="11"/>
  </w:num>
  <w:num w:numId="31" w16cid:durableId="1625185497">
    <w:abstractNumId w:val="9"/>
  </w:num>
  <w:num w:numId="32" w16cid:durableId="116871690">
    <w:abstractNumId w:val="12"/>
  </w:num>
  <w:num w:numId="33" w16cid:durableId="771977667">
    <w:abstractNumId w:val="5"/>
  </w:num>
  <w:num w:numId="34" w16cid:durableId="1423183749">
    <w:abstractNumId w:val="7"/>
  </w:num>
  <w:num w:numId="35" w16cid:durableId="52897689">
    <w:abstractNumId w:val="26"/>
  </w:num>
  <w:num w:numId="36" w16cid:durableId="443161234">
    <w:abstractNumId w:val="0"/>
  </w:num>
  <w:num w:numId="37" w16cid:durableId="1596088672">
    <w:abstractNumId w:val="37"/>
  </w:num>
  <w:num w:numId="38" w16cid:durableId="903955423">
    <w:abstractNumId w:val="16"/>
  </w:num>
  <w:num w:numId="39" w16cid:durableId="1457411594">
    <w:abstractNumId w:val="24"/>
  </w:num>
  <w:num w:numId="40" w16cid:durableId="1516531371">
    <w:abstractNumId w:val="6"/>
  </w:num>
  <w:num w:numId="41" w16cid:durableId="1051002717">
    <w:abstractNumId w:val="34"/>
  </w:num>
  <w:num w:numId="42" w16cid:durableId="16065772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CA"/>
    <w:rsid w:val="000041AB"/>
    <w:rsid w:val="00004DBB"/>
    <w:rsid w:val="00016016"/>
    <w:rsid w:val="00017398"/>
    <w:rsid w:val="00027D32"/>
    <w:rsid w:val="00046220"/>
    <w:rsid w:val="000833F9"/>
    <w:rsid w:val="00083BD4"/>
    <w:rsid w:val="00093B3C"/>
    <w:rsid w:val="00095E70"/>
    <w:rsid w:val="000D7B22"/>
    <w:rsid w:val="000E16A1"/>
    <w:rsid w:val="000E78CC"/>
    <w:rsid w:val="000F4277"/>
    <w:rsid w:val="001075FB"/>
    <w:rsid w:val="001150E5"/>
    <w:rsid w:val="001251C7"/>
    <w:rsid w:val="0012703C"/>
    <w:rsid w:val="00130692"/>
    <w:rsid w:val="0013564E"/>
    <w:rsid w:val="00140F88"/>
    <w:rsid w:val="0014545C"/>
    <w:rsid w:val="00157475"/>
    <w:rsid w:val="0016269A"/>
    <w:rsid w:val="00171BAE"/>
    <w:rsid w:val="00187C94"/>
    <w:rsid w:val="001A23A9"/>
    <w:rsid w:val="001A58E5"/>
    <w:rsid w:val="001C4281"/>
    <w:rsid w:val="001C5A13"/>
    <w:rsid w:val="001D5A33"/>
    <w:rsid w:val="001E66CE"/>
    <w:rsid w:val="0020525C"/>
    <w:rsid w:val="0020686F"/>
    <w:rsid w:val="002103DE"/>
    <w:rsid w:val="00226DEC"/>
    <w:rsid w:val="00230A4A"/>
    <w:rsid w:val="00232D3A"/>
    <w:rsid w:val="0024358D"/>
    <w:rsid w:val="002606FC"/>
    <w:rsid w:val="0028203B"/>
    <w:rsid w:val="002878BD"/>
    <w:rsid w:val="00291EB9"/>
    <w:rsid w:val="00294C5A"/>
    <w:rsid w:val="002A48B5"/>
    <w:rsid w:val="002A54D4"/>
    <w:rsid w:val="002A5AEF"/>
    <w:rsid w:val="002B6540"/>
    <w:rsid w:val="002B701F"/>
    <w:rsid w:val="002C2913"/>
    <w:rsid w:val="002E093D"/>
    <w:rsid w:val="002E0F1F"/>
    <w:rsid w:val="002E5E9A"/>
    <w:rsid w:val="002F4BA8"/>
    <w:rsid w:val="003059A4"/>
    <w:rsid w:val="00320061"/>
    <w:rsid w:val="00325E60"/>
    <w:rsid w:val="00334899"/>
    <w:rsid w:val="003356B8"/>
    <w:rsid w:val="003378E9"/>
    <w:rsid w:val="00341C03"/>
    <w:rsid w:val="00362681"/>
    <w:rsid w:val="00363876"/>
    <w:rsid w:val="003641E7"/>
    <w:rsid w:val="0037106F"/>
    <w:rsid w:val="003A1B93"/>
    <w:rsid w:val="003A30FE"/>
    <w:rsid w:val="003A7492"/>
    <w:rsid w:val="003B7FCA"/>
    <w:rsid w:val="003C06DA"/>
    <w:rsid w:val="003C14B9"/>
    <w:rsid w:val="003C71E4"/>
    <w:rsid w:val="003C7BAF"/>
    <w:rsid w:val="003E04FB"/>
    <w:rsid w:val="003E24DD"/>
    <w:rsid w:val="003E49A0"/>
    <w:rsid w:val="00400D25"/>
    <w:rsid w:val="00401363"/>
    <w:rsid w:val="004310CB"/>
    <w:rsid w:val="0043355F"/>
    <w:rsid w:val="0044701D"/>
    <w:rsid w:val="00451FC2"/>
    <w:rsid w:val="004605C8"/>
    <w:rsid w:val="00461F11"/>
    <w:rsid w:val="0046246D"/>
    <w:rsid w:val="004624AA"/>
    <w:rsid w:val="00473D7B"/>
    <w:rsid w:val="0049164B"/>
    <w:rsid w:val="004934C9"/>
    <w:rsid w:val="004A00A0"/>
    <w:rsid w:val="004A0A37"/>
    <w:rsid w:val="004A2590"/>
    <w:rsid w:val="004C221B"/>
    <w:rsid w:val="004C31C5"/>
    <w:rsid w:val="004D7B59"/>
    <w:rsid w:val="004E563C"/>
    <w:rsid w:val="004F2529"/>
    <w:rsid w:val="004F6589"/>
    <w:rsid w:val="00503E7E"/>
    <w:rsid w:val="00507462"/>
    <w:rsid w:val="00514DC0"/>
    <w:rsid w:val="0051737C"/>
    <w:rsid w:val="00531A19"/>
    <w:rsid w:val="00555132"/>
    <w:rsid w:val="00571BD6"/>
    <w:rsid w:val="00573EFA"/>
    <w:rsid w:val="0057672B"/>
    <w:rsid w:val="0058001A"/>
    <w:rsid w:val="00581FB0"/>
    <w:rsid w:val="00592E3B"/>
    <w:rsid w:val="005B0018"/>
    <w:rsid w:val="005B446D"/>
    <w:rsid w:val="005B4D66"/>
    <w:rsid w:val="005B5210"/>
    <w:rsid w:val="005B7DE5"/>
    <w:rsid w:val="005C2603"/>
    <w:rsid w:val="005D12FD"/>
    <w:rsid w:val="005D1A2D"/>
    <w:rsid w:val="005D6475"/>
    <w:rsid w:val="005D6ACA"/>
    <w:rsid w:val="005E7347"/>
    <w:rsid w:val="005F1913"/>
    <w:rsid w:val="005F330F"/>
    <w:rsid w:val="006236B8"/>
    <w:rsid w:val="00630C9A"/>
    <w:rsid w:val="0063357F"/>
    <w:rsid w:val="00633649"/>
    <w:rsid w:val="006376BF"/>
    <w:rsid w:val="006457C4"/>
    <w:rsid w:val="00647F04"/>
    <w:rsid w:val="0065242F"/>
    <w:rsid w:val="00663B0B"/>
    <w:rsid w:val="0067574B"/>
    <w:rsid w:val="00675C53"/>
    <w:rsid w:val="006841B7"/>
    <w:rsid w:val="006A2326"/>
    <w:rsid w:val="006B6002"/>
    <w:rsid w:val="006C260A"/>
    <w:rsid w:val="006C4E5C"/>
    <w:rsid w:val="006D7A6E"/>
    <w:rsid w:val="006F5BFD"/>
    <w:rsid w:val="006F771A"/>
    <w:rsid w:val="00700377"/>
    <w:rsid w:val="00704BCC"/>
    <w:rsid w:val="007144AB"/>
    <w:rsid w:val="007158C2"/>
    <w:rsid w:val="00721E65"/>
    <w:rsid w:val="0072456D"/>
    <w:rsid w:val="00740B75"/>
    <w:rsid w:val="00746DDB"/>
    <w:rsid w:val="00753AAE"/>
    <w:rsid w:val="00770AD4"/>
    <w:rsid w:val="00772F97"/>
    <w:rsid w:val="00774C01"/>
    <w:rsid w:val="00776569"/>
    <w:rsid w:val="00783137"/>
    <w:rsid w:val="00785E26"/>
    <w:rsid w:val="00787E6E"/>
    <w:rsid w:val="007D3962"/>
    <w:rsid w:val="007E7CE4"/>
    <w:rsid w:val="007F0DF5"/>
    <w:rsid w:val="007F5801"/>
    <w:rsid w:val="00804D38"/>
    <w:rsid w:val="00807833"/>
    <w:rsid w:val="00811ECE"/>
    <w:rsid w:val="00821856"/>
    <w:rsid w:val="00831071"/>
    <w:rsid w:val="008349A4"/>
    <w:rsid w:val="00834FA1"/>
    <w:rsid w:val="00864A89"/>
    <w:rsid w:val="0086680E"/>
    <w:rsid w:val="0087045C"/>
    <w:rsid w:val="0087621F"/>
    <w:rsid w:val="00894C83"/>
    <w:rsid w:val="008A0C44"/>
    <w:rsid w:val="008B52FB"/>
    <w:rsid w:val="008B66AF"/>
    <w:rsid w:val="008C7BD0"/>
    <w:rsid w:val="008F0981"/>
    <w:rsid w:val="008F3307"/>
    <w:rsid w:val="008F35BE"/>
    <w:rsid w:val="008F66E0"/>
    <w:rsid w:val="008F7748"/>
    <w:rsid w:val="00912514"/>
    <w:rsid w:val="0092495F"/>
    <w:rsid w:val="0094600E"/>
    <w:rsid w:val="00957879"/>
    <w:rsid w:val="00960FB6"/>
    <w:rsid w:val="009622F9"/>
    <w:rsid w:val="009650C1"/>
    <w:rsid w:val="00965306"/>
    <w:rsid w:val="00975326"/>
    <w:rsid w:val="009815AF"/>
    <w:rsid w:val="00990B5F"/>
    <w:rsid w:val="009A02BA"/>
    <w:rsid w:val="009B10FE"/>
    <w:rsid w:val="009B3157"/>
    <w:rsid w:val="009C4EB1"/>
    <w:rsid w:val="009C7A30"/>
    <w:rsid w:val="009D41DB"/>
    <w:rsid w:val="009F199B"/>
    <w:rsid w:val="00A36F81"/>
    <w:rsid w:val="00A4277D"/>
    <w:rsid w:val="00A43FCC"/>
    <w:rsid w:val="00A770D6"/>
    <w:rsid w:val="00A83BB6"/>
    <w:rsid w:val="00A84D72"/>
    <w:rsid w:val="00AA591A"/>
    <w:rsid w:val="00AB2D32"/>
    <w:rsid w:val="00AC7D63"/>
    <w:rsid w:val="00AD0AB2"/>
    <w:rsid w:val="00AE5618"/>
    <w:rsid w:val="00B368FD"/>
    <w:rsid w:val="00B44939"/>
    <w:rsid w:val="00B50E81"/>
    <w:rsid w:val="00B526BA"/>
    <w:rsid w:val="00B56633"/>
    <w:rsid w:val="00B57E69"/>
    <w:rsid w:val="00B755C9"/>
    <w:rsid w:val="00B76480"/>
    <w:rsid w:val="00B82E36"/>
    <w:rsid w:val="00B903A0"/>
    <w:rsid w:val="00BA66E5"/>
    <w:rsid w:val="00BA7A1B"/>
    <w:rsid w:val="00BB3A48"/>
    <w:rsid w:val="00BB5E82"/>
    <w:rsid w:val="00BC27B4"/>
    <w:rsid w:val="00BC54D8"/>
    <w:rsid w:val="00BD39B4"/>
    <w:rsid w:val="00BD5EE3"/>
    <w:rsid w:val="00BE5633"/>
    <w:rsid w:val="00BF3E32"/>
    <w:rsid w:val="00C018B7"/>
    <w:rsid w:val="00C033BB"/>
    <w:rsid w:val="00C038A7"/>
    <w:rsid w:val="00C2409E"/>
    <w:rsid w:val="00C32895"/>
    <w:rsid w:val="00C36909"/>
    <w:rsid w:val="00C369BB"/>
    <w:rsid w:val="00C54088"/>
    <w:rsid w:val="00CA4C77"/>
    <w:rsid w:val="00CB18F0"/>
    <w:rsid w:val="00CB1C0F"/>
    <w:rsid w:val="00CB44A3"/>
    <w:rsid w:val="00CC7011"/>
    <w:rsid w:val="00CD077C"/>
    <w:rsid w:val="00CD21C2"/>
    <w:rsid w:val="00CF42FC"/>
    <w:rsid w:val="00D02747"/>
    <w:rsid w:val="00D069F8"/>
    <w:rsid w:val="00D152F8"/>
    <w:rsid w:val="00D26819"/>
    <w:rsid w:val="00D3022B"/>
    <w:rsid w:val="00D30591"/>
    <w:rsid w:val="00D31681"/>
    <w:rsid w:val="00D31E5B"/>
    <w:rsid w:val="00D467EB"/>
    <w:rsid w:val="00D54E24"/>
    <w:rsid w:val="00D57B36"/>
    <w:rsid w:val="00D6136B"/>
    <w:rsid w:val="00D63ED0"/>
    <w:rsid w:val="00D71A7F"/>
    <w:rsid w:val="00D74156"/>
    <w:rsid w:val="00D963FD"/>
    <w:rsid w:val="00D979F2"/>
    <w:rsid w:val="00DA6463"/>
    <w:rsid w:val="00DB5660"/>
    <w:rsid w:val="00DC1DAB"/>
    <w:rsid w:val="00DC2DDF"/>
    <w:rsid w:val="00DC7AEE"/>
    <w:rsid w:val="00DD235B"/>
    <w:rsid w:val="00DD604F"/>
    <w:rsid w:val="00DD6BBF"/>
    <w:rsid w:val="00DF32BE"/>
    <w:rsid w:val="00E02049"/>
    <w:rsid w:val="00E15467"/>
    <w:rsid w:val="00E20A8C"/>
    <w:rsid w:val="00E24FE9"/>
    <w:rsid w:val="00E30C31"/>
    <w:rsid w:val="00E3463C"/>
    <w:rsid w:val="00E35DBB"/>
    <w:rsid w:val="00E43E19"/>
    <w:rsid w:val="00E47DB0"/>
    <w:rsid w:val="00E63950"/>
    <w:rsid w:val="00E642D2"/>
    <w:rsid w:val="00E90899"/>
    <w:rsid w:val="00EA6B3F"/>
    <w:rsid w:val="00EC3609"/>
    <w:rsid w:val="00ED0C41"/>
    <w:rsid w:val="00ED565B"/>
    <w:rsid w:val="00ED7872"/>
    <w:rsid w:val="00EE6971"/>
    <w:rsid w:val="00EF3DA7"/>
    <w:rsid w:val="00F111FF"/>
    <w:rsid w:val="00F14D53"/>
    <w:rsid w:val="00F2129F"/>
    <w:rsid w:val="00F2675B"/>
    <w:rsid w:val="00F32D92"/>
    <w:rsid w:val="00F33451"/>
    <w:rsid w:val="00F402B3"/>
    <w:rsid w:val="00F54C3F"/>
    <w:rsid w:val="00F61923"/>
    <w:rsid w:val="00F673CE"/>
    <w:rsid w:val="00F739BF"/>
    <w:rsid w:val="00F743CE"/>
    <w:rsid w:val="00F82BA1"/>
    <w:rsid w:val="00F90C13"/>
    <w:rsid w:val="00FA1068"/>
    <w:rsid w:val="00FA1A1C"/>
    <w:rsid w:val="00FD2C6D"/>
    <w:rsid w:val="100A994A"/>
    <w:rsid w:val="26373A68"/>
    <w:rsid w:val="34416F21"/>
    <w:rsid w:val="3C417ABD"/>
    <w:rsid w:val="409205E5"/>
    <w:rsid w:val="5168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98EDB77"/>
  <w15:chartTrackingRefBased/>
  <w15:docId w15:val="{DCD33171-4D51-4061-A1E2-E7047F78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BA8"/>
    <w:pPr>
      <w:spacing w:after="200" w:line="276" w:lineRule="auto"/>
    </w:pPr>
    <w:rPr>
      <w:rFonts w:ascii="Arial" w:eastAsia="Times New Roman" w:hAnsi="Arial" w:cs="Times New Roman"/>
      <w:kern w:val="0"/>
      <w:sz w:val="24"/>
      <w:lang w:val="fr-BE"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6ACA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A77B3"/>
      <w:sz w:val="28"/>
      <w:szCs w:val="28"/>
      <w:lang w:val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3137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B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3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ACA"/>
    <w:rPr>
      <w:rFonts w:ascii="Arial" w:eastAsiaTheme="majorEastAsia" w:hAnsi="Arial" w:cstheme="majorBidi"/>
      <w:b/>
      <w:bCs/>
      <w:color w:val="0A77B3"/>
      <w:kern w:val="0"/>
      <w:sz w:val="28"/>
      <w:szCs w:val="28"/>
      <w:lang w:val="en-I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82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E36"/>
  </w:style>
  <w:style w:type="paragraph" w:styleId="Footer">
    <w:name w:val="footer"/>
    <w:basedOn w:val="Normal"/>
    <w:link w:val="FooterChar"/>
    <w:uiPriority w:val="99"/>
    <w:unhideWhenUsed/>
    <w:rsid w:val="00B82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E36"/>
  </w:style>
  <w:style w:type="paragraph" w:styleId="ListParagraph">
    <w:name w:val="List Paragraph"/>
    <w:basedOn w:val="Normal"/>
    <w:uiPriority w:val="34"/>
    <w:qFormat/>
    <w:rsid w:val="00325E60"/>
    <w:pPr>
      <w:ind w:left="720"/>
      <w:contextualSpacing/>
    </w:pPr>
    <w:rPr>
      <w:lang w:val="en-IE"/>
    </w:rPr>
  </w:style>
  <w:style w:type="paragraph" w:styleId="Revision">
    <w:name w:val="Revision"/>
    <w:hidden/>
    <w:uiPriority w:val="99"/>
    <w:semiHidden/>
    <w:rsid w:val="00C038A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70A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0A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0A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AD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F58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80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83137"/>
    <w:rPr>
      <w:rFonts w:ascii="Arial" w:eastAsiaTheme="majorEastAsia" w:hAnsi="Arial" w:cstheme="majorBidi"/>
      <w:b/>
      <w:color w:val="2F5496" w:themeColor="accent1" w:themeShade="BF"/>
      <w:kern w:val="0"/>
      <w:sz w:val="24"/>
      <w:szCs w:val="26"/>
      <w:lang w:val="fr-BE" w:bidi="en-US"/>
      <w14:ligatures w14:val="none"/>
    </w:rPr>
  </w:style>
  <w:style w:type="paragraph" w:customStyle="1" w:styleId="Default">
    <w:name w:val="Default"/>
    <w:rsid w:val="00C018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Mention">
    <w:name w:val="Mention"/>
    <w:basedOn w:val="DefaultParagraphFont"/>
    <w:uiPriority w:val="99"/>
    <w:unhideWhenUsed/>
    <w:rsid w:val="00291EB9"/>
    <w:rPr>
      <w:color w:val="2B579A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B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uiPriority w:val="22"/>
    <w:qFormat/>
    <w:rsid w:val="002F4BA8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BA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BA8"/>
    <w:rPr>
      <w:rFonts w:ascii="Arial" w:eastAsia="Times New Roman" w:hAnsi="Arial" w:cs="Times New Roman"/>
      <w:i/>
      <w:iCs/>
      <w:kern w:val="0"/>
      <w:sz w:val="24"/>
      <w:lang w:val="en-US" w:bidi="en-US"/>
      <w14:ligatures w14:val="none"/>
    </w:rPr>
  </w:style>
  <w:style w:type="character" w:styleId="BookTitle">
    <w:name w:val="Book Title"/>
    <w:uiPriority w:val="33"/>
    <w:qFormat/>
    <w:rsid w:val="002F4BA8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7C4"/>
    <w:pPr>
      <w:spacing w:after="0" w:line="240" w:lineRule="auto"/>
    </w:pPr>
    <w:rPr>
      <w:rFonts w:ascii="Verdana" w:eastAsiaTheme="minorHAnsi" w:hAnsi="Verdana" w:cstheme="minorBidi"/>
      <w:sz w:val="20"/>
      <w:szCs w:val="20"/>
      <w:lang w:val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7C4"/>
    <w:rPr>
      <w:rFonts w:ascii="Verdana" w:hAnsi="Verdana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457C4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36B"/>
    <w:rPr>
      <w:rFonts w:asciiTheme="majorHAnsi" w:eastAsiaTheme="majorEastAsia" w:hAnsiTheme="majorHAnsi" w:cstheme="majorBidi"/>
      <w:color w:val="2F5496" w:themeColor="accent1" w:themeShade="BF"/>
      <w:kern w:val="0"/>
      <w:sz w:val="24"/>
      <w:lang w:val="fr-B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iulia.traversi@edf-feph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df-feph.org/events-slug/training-on-transposition-of-the-eu-directive-on-combating-violence-against-women-and-domestic-violence-21-may-2025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df-feph.org/publications/transposing-the-eu-directive-on-combating-against-women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5ff6876b7ab586cbfe48bde8cbfb1be9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56305f06d357d2e6ff310f1ad0ca8bdc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Props1.xml><?xml version="1.0" encoding="utf-8"?>
<ds:datastoreItem xmlns:ds="http://schemas.openxmlformats.org/officeDocument/2006/customXml" ds:itemID="{361C1183-D18F-984E-963B-C425337E0A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B76762-360A-4DB0-B7AD-E9D2FAF24F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F41451-91EB-4F94-8AE8-BB524DE2B8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5F7EA6-805B-4E01-99AA-5B9E8E0DB70E}">
  <ds:schemaRefs>
    <ds:schemaRef ds:uri="252f4827-23ce-43c5-a232-6be14f1d3f55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3da24565-8b77-45e0-9465-ff23cf6f6a0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2796</Characters>
  <Application>Microsoft Office Word</Application>
  <DocSecurity>0</DocSecurity>
  <Lines>99</Lines>
  <Paragraphs>98</Paragraphs>
  <ScaleCrop>false</ScaleCrop>
  <Company/>
  <LinksUpToDate>false</LinksUpToDate>
  <CharactersWithSpaces>3153</CharactersWithSpaces>
  <SharedDoc>false</SharedDoc>
  <HLinks>
    <vt:vector size="30" baseType="variant">
      <vt:variant>
        <vt:i4>6619218</vt:i4>
      </vt:variant>
      <vt:variant>
        <vt:i4>12</vt:i4>
      </vt:variant>
      <vt:variant>
        <vt:i4>0</vt:i4>
      </vt:variant>
      <vt:variant>
        <vt:i4>5</vt:i4>
      </vt:variant>
      <vt:variant>
        <vt:lpwstr>mailto:alejandro.moledo@edf-feph.org</vt:lpwstr>
      </vt:variant>
      <vt:variant>
        <vt:lpwstr/>
      </vt:variant>
      <vt:variant>
        <vt:i4>786468</vt:i4>
      </vt:variant>
      <vt:variant>
        <vt:i4>9</vt:i4>
      </vt:variant>
      <vt:variant>
        <vt:i4>0</vt:i4>
      </vt:variant>
      <vt:variant>
        <vt:i4>5</vt:i4>
      </vt:variant>
      <vt:variant>
        <vt:lpwstr>mailto:catherine.naughton@edf-feph.org</vt:lpwstr>
      </vt:variant>
      <vt:variant>
        <vt:lpwstr/>
      </vt:variant>
      <vt:variant>
        <vt:i4>3080198</vt:i4>
      </vt:variant>
      <vt:variant>
        <vt:i4>6</vt:i4>
      </vt:variant>
      <vt:variant>
        <vt:i4>0</vt:i4>
      </vt:variant>
      <vt:variant>
        <vt:i4>5</vt:i4>
      </vt:variant>
      <vt:variant>
        <vt:lpwstr>mailto:marine.uldry@edf-feph.org</vt:lpwstr>
      </vt:variant>
      <vt:variant>
        <vt:lpwstr/>
      </vt:variant>
      <vt:variant>
        <vt:i4>786468</vt:i4>
      </vt:variant>
      <vt:variant>
        <vt:i4>3</vt:i4>
      </vt:variant>
      <vt:variant>
        <vt:i4>0</vt:i4>
      </vt:variant>
      <vt:variant>
        <vt:i4>5</vt:i4>
      </vt:variant>
      <vt:variant>
        <vt:lpwstr>mailto:catherine.naughton@edf-feph.org</vt:lpwstr>
      </vt:variant>
      <vt:variant>
        <vt:lpwstr/>
      </vt:variant>
      <vt:variant>
        <vt:i4>6029412</vt:i4>
      </vt:variant>
      <vt:variant>
        <vt:i4>0</vt:i4>
      </vt:variant>
      <vt:variant>
        <vt:i4>0</vt:i4>
      </vt:variant>
      <vt:variant>
        <vt:i4>5</vt:i4>
      </vt:variant>
      <vt:variant>
        <vt:lpwstr>mailto:una.brown@edf-feph.org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Riaza</dc:creator>
  <cp:keywords/>
  <dc:description/>
  <cp:lastModifiedBy>Catherine Naughton</cp:lastModifiedBy>
  <cp:revision>2</cp:revision>
  <dcterms:created xsi:type="dcterms:W3CDTF">2025-10-23T07:05:00Z</dcterms:created>
  <dcterms:modified xsi:type="dcterms:W3CDTF">2025-10-23T07:05:00Z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  <property fmtid="{D5CDD505-2E9C-101B-9397-08002B2CF9AE}" pid="4" name="GrammarlyDocumentId">
    <vt:lpwstr>d86c5803-4d2c-4341-a01b-1244d008545d</vt:lpwstr>
  </property>
  <property fmtid="{D5CDD505-2E9C-101B-9397-08002B2CF9AE}" pid="5" name="docLang">
    <vt:lpwstr>en</vt:lpwstr>
  </property>
</Properties>
</file>