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F07FF" w14:textId="0C882B4C" w:rsidR="00845B5C" w:rsidRDefault="00845B5C" w:rsidP="00845B5C">
      <w:pPr>
        <w:pStyle w:val="Heading3"/>
        <w:rPr>
          <w:lang w:val="en-US"/>
        </w:rPr>
      </w:pPr>
      <w:r>
        <w:rPr>
          <w:noProof/>
          <w:lang w:val="en-US"/>
        </w:rPr>
        <w:drawing>
          <wp:inline distT="0" distB="0" distL="0" distR="0" wp14:anchorId="570678E9" wp14:editId="774AC423">
            <wp:extent cx="6069846" cy="2674961"/>
            <wp:effectExtent l="0" t="0" r="7620" b="0"/>
            <wp:docPr id="1133118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118514" name="Picture 11331185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85414" cy="2681822"/>
                    </a:xfrm>
                    <a:prstGeom prst="rect">
                      <a:avLst/>
                    </a:prstGeom>
                  </pic:spPr>
                </pic:pic>
              </a:graphicData>
            </a:graphic>
          </wp:inline>
        </w:drawing>
      </w:r>
    </w:p>
    <w:p w14:paraId="479EFEDB" w14:textId="17D67654" w:rsidR="004C4B5C" w:rsidRDefault="00845B5C" w:rsidP="004C4B5C">
      <w:pPr>
        <w:pStyle w:val="Heading1"/>
        <w:rPr>
          <w:lang w:val="en-US"/>
        </w:rPr>
      </w:pPr>
      <w:r>
        <w:rPr>
          <w:lang w:val="en-US"/>
        </w:rPr>
        <w:t>Day 3: Friday 17 April READY Baltics Implementing Partners Planning Workshop</w:t>
      </w:r>
    </w:p>
    <w:p w14:paraId="19D38E1F" w14:textId="77777777" w:rsidR="004C4B5C" w:rsidRPr="004C4B5C" w:rsidRDefault="004C4B5C" w:rsidP="004C4B5C">
      <w:r w:rsidRPr="004C4B5C">
        <w:t>The kick-off meeting will also include dedicated partners’ planning sessions, allowing partners to jointly refine the operational calendar, identify key national stakeholders, and coordinate preparations for upcoming activities such as national trainings, advocacy actions, and city-level workshops. The session will strengthen collaboration between organisations of persons with disabilities (OPDs), civil protection and disaster risk management (CP/DRM) authorities, and technical partners.</w:t>
      </w:r>
    </w:p>
    <w:p w14:paraId="640001D8" w14:textId="77777777" w:rsidR="004C4B5C" w:rsidRPr="004C4B5C" w:rsidRDefault="004C4B5C" w:rsidP="004C4B5C">
      <w:r w:rsidRPr="004C4B5C">
        <w:t>Overall, the meeting will establish the foundations for effective cooperation, ensure technical readiness for the project’s capacity-building activities, and support a coordinated regional approach to advancing disability-inclusive disaster risk management, especially on the use of the UNDRR Scorecard and on alignment with DG ECHO regulations and guidelines within EDF and our beneficiary partners, the OPDS in the Baltic states.</w:t>
      </w:r>
    </w:p>
    <w:p w14:paraId="6F53995A" w14:textId="77777777" w:rsidR="004C4B5C" w:rsidRPr="004C4B5C" w:rsidRDefault="004C4B5C" w:rsidP="004C4B5C">
      <w:pPr>
        <w:numPr>
          <w:ilvl w:val="0"/>
          <w:numId w:val="7"/>
        </w:numPr>
      </w:pPr>
      <w:r w:rsidRPr="004C4B5C">
        <w:t>09h00-17h00</w:t>
      </w:r>
    </w:p>
    <w:p w14:paraId="752F0262" w14:textId="77777777" w:rsidR="004C4B5C" w:rsidRPr="004C4B5C" w:rsidRDefault="004C4B5C" w:rsidP="004C4B5C">
      <w:pPr>
        <w:numPr>
          <w:ilvl w:val="0"/>
          <w:numId w:val="7"/>
        </w:numPr>
      </w:pPr>
      <w:r w:rsidRPr="004C4B5C">
        <w:t>Mundo Madou, Oxalis Room</w:t>
      </w:r>
    </w:p>
    <w:p w14:paraId="277B7100" w14:textId="77777777" w:rsidR="004C4B5C" w:rsidRPr="004C4B5C" w:rsidRDefault="004C4B5C" w:rsidP="004C4B5C">
      <w:pPr>
        <w:numPr>
          <w:ilvl w:val="0"/>
          <w:numId w:val="7"/>
        </w:numPr>
      </w:pPr>
      <w:r w:rsidRPr="004C4B5C">
        <w:t xml:space="preserve">Finalise planning documents and ensure </w:t>
      </w:r>
      <w:proofErr w:type="spellStart"/>
      <w:r w:rsidRPr="004C4B5C">
        <w:t>techncial</w:t>
      </w:r>
      <w:proofErr w:type="spellEnd"/>
      <w:r w:rsidRPr="004C4B5C">
        <w:t xml:space="preserve"> readiness for project start</w:t>
      </w:r>
    </w:p>
    <w:p w14:paraId="60319614" w14:textId="77777777" w:rsidR="004C4B5C" w:rsidRPr="004C4B5C" w:rsidRDefault="004C4B5C" w:rsidP="004C4B5C"/>
    <w:p w14:paraId="594F8A49" w14:textId="0A5360A3" w:rsidR="00A87DFE" w:rsidRDefault="00A87DFE">
      <w:pPr>
        <w:rPr>
          <w:lang w:val="en-US"/>
        </w:rPr>
      </w:pPr>
      <w:r>
        <w:rPr>
          <w:lang w:val="en-US"/>
        </w:rPr>
        <w:br w:type="page"/>
      </w:r>
    </w:p>
    <w:p w14:paraId="3BAF12AD" w14:textId="77777777" w:rsidR="00845B5C" w:rsidRPr="00845B5C" w:rsidRDefault="00845B5C" w:rsidP="00845B5C">
      <w:pPr>
        <w:rPr>
          <w:lang w:val="en-US"/>
        </w:rPr>
      </w:pPr>
    </w:p>
    <w:tbl>
      <w:tblPr>
        <w:tblW w:w="9745" w:type="dxa"/>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6031"/>
        <w:gridCol w:w="2187"/>
      </w:tblGrid>
      <w:tr w:rsidR="00845B5C" w14:paraId="4597A016" w14:textId="77777777" w:rsidTr="00A87DFE">
        <w:trPr>
          <w:trHeight w:val="499"/>
        </w:trPr>
        <w:tc>
          <w:tcPr>
            <w:tcW w:w="1527" w:type="dxa"/>
            <w:tcBorders>
              <w:top w:val="nil"/>
              <w:bottom w:val="nil"/>
            </w:tcBorders>
            <w:shd w:val="clear" w:color="auto" w:fill="000000"/>
          </w:tcPr>
          <w:p w14:paraId="6906BA1A" w14:textId="77777777" w:rsidR="00845B5C" w:rsidRPr="0080513E" w:rsidRDefault="00845B5C" w:rsidP="000D7E7A">
            <w:r w:rsidRPr="0080513E">
              <w:t>Time</w:t>
            </w:r>
          </w:p>
        </w:tc>
        <w:tc>
          <w:tcPr>
            <w:tcW w:w="6031" w:type="dxa"/>
            <w:tcBorders>
              <w:top w:val="nil"/>
              <w:bottom w:val="nil"/>
            </w:tcBorders>
            <w:shd w:val="clear" w:color="auto" w:fill="000000"/>
          </w:tcPr>
          <w:p w14:paraId="421E5AF3" w14:textId="77777777" w:rsidR="00845B5C" w:rsidRPr="0080513E" w:rsidRDefault="00845B5C" w:rsidP="000D7E7A">
            <w:r w:rsidRPr="0080513E">
              <w:t>Programme</w:t>
            </w:r>
          </w:p>
        </w:tc>
        <w:tc>
          <w:tcPr>
            <w:tcW w:w="2187" w:type="dxa"/>
            <w:tcBorders>
              <w:top w:val="nil"/>
              <w:bottom w:val="nil"/>
            </w:tcBorders>
            <w:shd w:val="clear" w:color="auto" w:fill="000000"/>
          </w:tcPr>
          <w:p w14:paraId="2193FE83" w14:textId="77777777" w:rsidR="00845B5C" w:rsidRDefault="00845B5C" w:rsidP="000D7E7A">
            <w:r>
              <w:rPr>
                <w:spacing w:val="-2"/>
                <w:sz w:val="22"/>
              </w:rPr>
              <w:t>Speaker/Facilitator</w:t>
            </w:r>
          </w:p>
        </w:tc>
      </w:tr>
      <w:tr w:rsidR="00845B5C" w14:paraId="2F361C4D" w14:textId="77777777" w:rsidTr="00A87DFE">
        <w:trPr>
          <w:trHeight w:val="428"/>
        </w:trPr>
        <w:tc>
          <w:tcPr>
            <w:tcW w:w="1527" w:type="dxa"/>
          </w:tcPr>
          <w:p w14:paraId="64E5442E" w14:textId="77777777" w:rsidR="00845B5C" w:rsidRPr="0080513E" w:rsidRDefault="00845B5C" w:rsidP="000D7E7A">
            <w:r w:rsidRPr="0080513E">
              <w:t>08h30 -09h00</w:t>
            </w:r>
          </w:p>
        </w:tc>
        <w:tc>
          <w:tcPr>
            <w:tcW w:w="6031" w:type="dxa"/>
          </w:tcPr>
          <w:p w14:paraId="4A7590E5" w14:textId="77777777" w:rsidR="00845B5C" w:rsidRPr="0080513E" w:rsidRDefault="00845B5C" w:rsidP="000D7E7A">
            <w:r w:rsidRPr="0080513E">
              <w:t>Participant Arrival and Registration Pre-</w:t>
            </w:r>
            <w:r>
              <w:t>workshop</w:t>
            </w:r>
            <w:r w:rsidRPr="0080513E">
              <w:t xml:space="preserve"> survey</w:t>
            </w:r>
          </w:p>
        </w:tc>
        <w:tc>
          <w:tcPr>
            <w:tcW w:w="2187" w:type="dxa"/>
          </w:tcPr>
          <w:p w14:paraId="1B448885" w14:textId="77777777" w:rsidR="00845B5C" w:rsidRDefault="00845B5C" w:rsidP="000D7E7A">
            <w:pPr>
              <w:rPr>
                <w:rFonts w:ascii="Times New Roman"/>
              </w:rPr>
            </w:pPr>
          </w:p>
        </w:tc>
      </w:tr>
      <w:tr w:rsidR="00845B5C" w14:paraId="4F3B87B3" w14:textId="77777777" w:rsidTr="00A87DFE">
        <w:trPr>
          <w:trHeight w:val="500"/>
        </w:trPr>
        <w:tc>
          <w:tcPr>
            <w:tcW w:w="1527" w:type="dxa"/>
          </w:tcPr>
          <w:p w14:paraId="49E88279" w14:textId="77777777" w:rsidR="00845B5C" w:rsidRPr="0080513E" w:rsidRDefault="00845B5C" w:rsidP="000D7E7A">
            <w:r w:rsidRPr="0080513E">
              <w:t>09h00- 09h</w:t>
            </w:r>
            <w:r>
              <w:t>15</w:t>
            </w:r>
          </w:p>
        </w:tc>
        <w:tc>
          <w:tcPr>
            <w:tcW w:w="6031" w:type="dxa"/>
          </w:tcPr>
          <w:p w14:paraId="77E24740" w14:textId="77777777" w:rsidR="00845B5C" w:rsidRDefault="00845B5C" w:rsidP="000D7E7A">
            <w:r w:rsidRPr="0080513E">
              <w:t xml:space="preserve">Welcome and Opening </w:t>
            </w:r>
          </w:p>
          <w:p w14:paraId="3ED466A6" w14:textId="77777777" w:rsidR="00845B5C" w:rsidRPr="0080513E" w:rsidRDefault="00845B5C" w:rsidP="000D7E7A">
            <w:r w:rsidRPr="0080513E">
              <w:t>Day overview, objectives, and agenda</w:t>
            </w:r>
          </w:p>
        </w:tc>
        <w:tc>
          <w:tcPr>
            <w:tcW w:w="2187" w:type="dxa"/>
          </w:tcPr>
          <w:p w14:paraId="7572C6A4" w14:textId="77777777" w:rsidR="00845B5C" w:rsidRDefault="00845B5C" w:rsidP="000D7E7A">
            <w:r>
              <w:t>EDF</w:t>
            </w:r>
          </w:p>
        </w:tc>
      </w:tr>
      <w:tr w:rsidR="00845B5C" w14:paraId="6661587C" w14:textId="77777777" w:rsidTr="00A87DFE">
        <w:trPr>
          <w:trHeight w:val="548"/>
        </w:trPr>
        <w:tc>
          <w:tcPr>
            <w:tcW w:w="1527" w:type="dxa"/>
          </w:tcPr>
          <w:p w14:paraId="39D1BD43" w14:textId="77777777" w:rsidR="00845B5C" w:rsidRPr="0080513E" w:rsidRDefault="00845B5C" w:rsidP="000D7E7A">
            <w:r w:rsidRPr="0080513E">
              <w:t>09h</w:t>
            </w:r>
            <w:r>
              <w:t>1</w:t>
            </w:r>
            <w:r w:rsidRPr="0080513E">
              <w:t>5-10h00</w:t>
            </w:r>
          </w:p>
        </w:tc>
        <w:tc>
          <w:tcPr>
            <w:tcW w:w="6031" w:type="dxa"/>
          </w:tcPr>
          <w:p w14:paraId="3E568802" w14:textId="77777777" w:rsidR="00845B5C" w:rsidRPr="0080513E" w:rsidRDefault="00845B5C" w:rsidP="000D7E7A">
            <w:r w:rsidRPr="0080513E">
              <w:t>Steering Committee</w:t>
            </w:r>
            <w:r>
              <w:t xml:space="preserve"> Discussion</w:t>
            </w:r>
          </w:p>
          <w:p w14:paraId="18AC984F" w14:textId="77777777" w:rsidR="00845B5C" w:rsidRPr="0080513E" w:rsidRDefault="00845B5C" w:rsidP="00845B5C">
            <w:pPr>
              <w:pStyle w:val="ListParagraph"/>
              <w:numPr>
                <w:ilvl w:val="0"/>
                <w:numId w:val="4"/>
              </w:numPr>
            </w:pPr>
            <w:r w:rsidRPr="0080513E">
              <w:t>decision-making procedures</w:t>
            </w:r>
          </w:p>
          <w:p w14:paraId="305BD189" w14:textId="77777777" w:rsidR="00845B5C" w:rsidRPr="0080513E" w:rsidRDefault="00845B5C" w:rsidP="00845B5C">
            <w:pPr>
              <w:pStyle w:val="ListParagraph"/>
              <w:numPr>
                <w:ilvl w:val="0"/>
                <w:numId w:val="4"/>
              </w:numPr>
            </w:pPr>
            <w:r w:rsidRPr="0080513E">
              <w:t xml:space="preserve">coordination routines </w:t>
            </w:r>
          </w:p>
          <w:p w14:paraId="4D824F82" w14:textId="77777777" w:rsidR="00845B5C" w:rsidRPr="0080513E" w:rsidRDefault="00845B5C" w:rsidP="00845B5C">
            <w:pPr>
              <w:pStyle w:val="ListParagraph"/>
              <w:numPr>
                <w:ilvl w:val="0"/>
                <w:numId w:val="4"/>
              </w:numPr>
            </w:pPr>
            <w:r w:rsidRPr="0080513E">
              <w:t>monthly online coordination meetings</w:t>
            </w:r>
          </w:p>
          <w:p w14:paraId="1B3106CB" w14:textId="77777777" w:rsidR="00845B5C" w:rsidRPr="0080513E" w:rsidRDefault="00845B5C" w:rsidP="00845B5C">
            <w:pPr>
              <w:pStyle w:val="ListParagraph"/>
              <w:numPr>
                <w:ilvl w:val="0"/>
                <w:numId w:val="4"/>
              </w:numPr>
            </w:pPr>
            <w:r w:rsidRPr="0080513E">
              <w:t>bi-monthly progress reviews</w:t>
            </w:r>
          </w:p>
          <w:p w14:paraId="42DE680C" w14:textId="77777777" w:rsidR="00845B5C" w:rsidRPr="0080513E" w:rsidRDefault="00845B5C" w:rsidP="000D7E7A">
            <w:r w:rsidRPr="0080513E">
              <w:t>two in-person meetings (kick-off + final meeting)</w:t>
            </w:r>
          </w:p>
        </w:tc>
        <w:tc>
          <w:tcPr>
            <w:tcW w:w="2187" w:type="dxa"/>
          </w:tcPr>
          <w:p w14:paraId="694A6714" w14:textId="77777777" w:rsidR="00845B5C" w:rsidRDefault="00845B5C" w:rsidP="000D7E7A">
            <w:r>
              <w:rPr>
                <w:sz w:val="22"/>
              </w:rPr>
              <w:t>EDF</w:t>
            </w:r>
          </w:p>
        </w:tc>
      </w:tr>
      <w:tr w:rsidR="00845B5C" w14:paraId="4FBA3926" w14:textId="77777777" w:rsidTr="00A87DFE">
        <w:trPr>
          <w:trHeight w:val="1871"/>
        </w:trPr>
        <w:tc>
          <w:tcPr>
            <w:tcW w:w="1527" w:type="dxa"/>
          </w:tcPr>
          <w:p w14:paraId="3F8C6E4E" w14:textId="77777777" w:rsidR="00845B5C" w:rsidRPr="0080513E" w:rsidRDefault="00845B5C" w:rsidP="000D7E7A">
            <w:r>
              <w:t>10h00- 12h30</w:t>
            </w:r>
          </w:p>
        </w:tc>
        <w:tc>
          <w:tcPr>
            <w:tcW w:w="6031" w:type="dxa"/>
          </w:tcPr>
          <w:p w14:paraId="09707756" w14:textId="77777777" w:rsidR="00845B5C" w:rsidRDefault="00845B5C" w:rsidP="000D7E7A">
            <w:r>
              <w:t>Discussions and finalisation of 3 documents</w:t>
            </w:r>
          </w:p>
          <w:p w14:paraId="3A9EDF48" w14:textId="77777777" w:rsidR="00845B5C" w:rsidRPr="0080513E" w:rsidRDefault="00845B5C" w:rsidP="00845B5C">
            <w:pPr>
              <w:pStyle w:val="ListParagraph"/>
              <w:numPr>
                <w:ilvl w:val="0"/>
                <w:numId w:val="5"/>
              </w:numPr>
            </w:pPr>
            <w:r w:rsidRPr="0080513E">
              <w:t>Project Management Plan (PMP)</w:t>
            </w:r>
          </w:p>
          <w:p w14:paraId="7BE89A1B" w14:textId="77777777" w:rsidR="00845B5C" w:rsidRPr="0080513E" w:rsidRDefault="00845B5C" w:rsidP="00845B5C">
            <w:pPr>
              <w:pStyle w:val="ListParagraph"/>
              <w:numPr>
                <w:ilvl w:val="0"/>
                <w:numId w:val="3"/>
              </w:numPr>
            </w:pPr>
            <w:r w:rsidRPr="0080513E">
              <w:t>roles and responsibilities</w:t>
            </w:r>
          </w:p>
          <w:p w14:paraId="256CEC8E" w14:textId="77777777" w:rsidR="00845B5C" w:rsidRPr="0080513E" w:rsidRDefault="00845B5C" w:rsidP="00845B5C">
            <w:pPr>
              <w:pStyle w:val="ListParagraph"/>
              <w:numPr>
                <w:ilvl w:val="0"/>
                <w:numId w:val="3"/>
              </w:numPr>
            </w:pPr>
            <w:r w:rsidRPr="0080513E">
              <w:t>workflows and coordination</w:t>
            </w:r>
          </w:p>
          <w:p w14:paraId="5EBBC90B" w14:textId="77777777" w:rsidR="00845B5C" w:rsidRDefault="00845B5C" w:rsidP="00845B5C">
            <w:pPr>
              <w:pStyle w:val="ListParagraph"/>
              <w:numPr>
                <w:ilvl w:val="0"/>
                <w:numId w:val="3"/>
              </w:numPr>
            </w:pPr>
            <w:r w:rsidRPr="0080513E">
              <w:t>timeline and internal procedures</w:t>
            </w:r>
          </w:p>
          <w:p w14:paraId="651C9372" w14:textId="77777777" w:rsidR="00845B5C" w:rsidRPr="0080513E" w:rsidRDefault="00845B5C" w:rsidP="000D7E7A">
            <w:pPr>
              <w:pStyle w:val="ListParagraph"/>
            </w:pPr>
          </w:p>
          <w:p w14:paraId="14515E33" w14:textId="77777777" w:rsidR="00845B5C" w:rsidRPr="0080513E" w:rsidRDefault="00845B5C" w:rsidP="00845B5C">
            <w:pPr>
              <w:pStyle w:val="ListParagraph"/>
              <w:numPr>
                <w:ilvl w:val="0"/>
                <w:numId w:val="5"/>
              </w:numPr>
            </w:pPr>
            <w:r w:rsidRPr="0080513E">
              <w:t>Monitoring &amp; Evaluation (M&amp;E) Plan</w:t>
            </w:r>
          </w:p>
          <w:p w14:paraId="10977F94" w14:textId="77777777" w:rsidR="00845B5C" w:rsidRPr="0080513E" w:rsidRDefault="00845B5C" w:rsidP="00845B5C">
            <w:pPr>
              <w:pStyle w:val="ListParagraph"/>
              <w:numPr>
                <w:ilvl w:val="0"/>
                <w:numId w:val="1"/>
              </w:numPr>
            </w:pPr>
            <w:r w:rsidRPr="0080513E">
              <w:t>indicators and KPIs</w:t>
            </w:r>
          </w:p>
          <w:p w14:paraId="1F061B52" w14:textId="77777777" w:rsidR="00845B5C" w:rsidRPr="0080513E" w:rsidRDefault="00845B5C" w:rsidP="00845B5C">
            <w:pPr>
              <w:pStyle w:val="ListParagraph"/>
              <w:numPr>
                <w:ilvl w:val="0"/>
                <w:numId w:val="1"/>
              </w:numPr>
            </w:pPr>
            <w:r w:rsidRPr="0080513E">
              <w:t>how progress will be tracked</w:t>
            </w:r>
          </w:p>
          <w:p w14:paraId="4852E85D" w14:textId="77777777" w:rsidR="00845B5C" w:rsidRDefault="00845B5C" w:rsidP="00845B5C">
            <w:pPr>
              <w:pStyle w:val="ListParagraph"/>
              <w:numPr>
                <w:ilvl w:val="0"/>
                <w:numId w:val="1"/>
              </w:numPr>
            </w:pPr>
            <w:r w:rsidRPr="0080513E">
              <w:t>reporting and learning milestones</w:t>
            </w:r>
          </w:p>
          <w:p w14:paraId="2FA90DE1" w14:textId="77777777" w:rsidR="00845B5C" w:rsidRPr="0080513E" w:rsidRDefault="00845B5C" w:rsidP="000D7E7A">
            <w:pPr>
              <w:pStyle w:val="ListParagraph"/>
            </w:pPr>
          </w:p>
          <w:p w14:paraId="03863F44" w14:textId="77777777" w:rsidR="00845B5C" w:rsidRPr="0080513E" w:rsidRDefault="00845B5C" w:rsidP="00845B5C">
            <w:pPr>
              <w:pStyle w:val="ListParagraph"/>
              <w:numPr>
                <w:ilvl w:val="0"/>
                <w:numId w:val="5"/>
              </w:numPr>
            </w:pPr>
            <w:r w:rsidRPr="0080513E">
              <w:t>Stakeholder Engagement &amp; Communication Plan</w:t>
            </w:r>
          </w:p>
          <w:p w14:paraId="7A42BA86" w14:textId="4AE48EDA" w:rsidR="001E1E5A" w:rsidRDefault="001E1E5A" w:rsidP="00845B5C">
            <w:pPr>
              <w:pStyle w:val="ListParagraph"/>
              <w:numPr>
                <w:ilvl w:val="0"/>
                <w:numId w:val="2"/>
              </w:numPr>
              <w:rPr>
                <w:color w:val="005E00"/>
                <w:lang w:val="fr-FR"/>
              </w:rPr>
            </w:pPr>
            <w:r>
              <w:rPr>
                <w:color w:val="005E00"/>
                <w:lang w:val="fr-FR"/>
              </w:rPr>
              <w:t>Our Goal</w:t>
            </w:r>
          </w:p>
          <w:p w14:paraId="4DDF652C" w14:textId="3BF1D3A9" w:rsidR="00BC678A" w:rsidRPr="006A36CF" w:rsidRDefault="00BC678A" w:rsidP="00845B5C">
            <w:pPr>
              <w:pStyle w:val="ListParagraph"/>
              <w:numPr>
                <w:ilvl w:val="0"/>
                <w:numId w:val="2"/>
              </w:numPr>
              <w:rPr>
                <w:color w:val="005E00"/>
                <w:lang w:val="fr-FR"/>
              </w:rPr>
            </w:pPr>
            <w:r w:rsidRPr="006A36CF">
              <w:rPr>
                <w:color w:val="005E00"/>
                <w:lang w:val="fr-FR"/>
              </w:rPr>
              <w:t xml:space="preserve">Communication </w:t>
            </w:r>
            <w:proofErr w:type="spellStart"/>
            <w:r w:rsidRPr="006A36CF">
              <w:rPr>
                <w:color w:val="005E00"/>
                <w:lang w:val="fr-FR"/>
              </w:rPr>
              <w:t>principles</w:t>
            </w:r>
            <w:proofErr w:type="spellEnd"/>
            <w:r w:rsidR="006A36CF" w:rsidRPr="006A36CF">
              <w:rPr>
                <w:color w:val="005E00"/>
                <w:lang w:val="fr-FR"/>
              </w:rPr>
              <w:t xml:space="preserve"> (inclusive, simple </w:t>
            </w:r>
            <w:proofErr w:type="spellStart"/>
            <w:r w:rsidR="006A36CF" w:rsidRPr="006A36CF">
              <w:rPr>
                <w:color w:val="005E00"/>
                <w:lang w:val="fr-FR"/>
              </w:rPr>
              <w:t>l</w:t>
            </w:r>
            <w:r w:rsidR="006A36CF">
              <w:rPr>
                <w:color w:val="005E00"/>
                <w:lang w:val="fr-FR"/>
              </w:rPr>
              <w:t>angauge</w:t>
            </w:r>
            <w:proofErr w:type="spellEnd"/>
            <w:r w:rsidR="006A36CF">
              <w:rPr>
                <w:color w:val="005E00"/>
                <w:lang w:val="fr-FR"/>
              </w:rPr>
              <w:t xml:space="preserve">, multi-lingual, </w:t>
            </w:r>
            <w:proofErr w:type="spellStart"/>
            <w:r w:rsidR="006A36CF">
              <w:rPr>
                <w:color w:val="005E00"/>
                <w:lang w:val="fr-FR"/>
              </w:rPr>
              <w:t>transparency</w:t>
            </w:r>
            <w:proofErr w:type="spellEnd"/>
            <w:r w:rsidR="006A36CF">
              <w:rPr>
                <w:color w:val="005E00"/>
                <w:lang w:val="fr-FR"/>
              </w:rPr>
              <w:t xml:space="preserve">, </w:t>
            </w:r>
            <w:proofErr w:type="spellStart"/>
            <w:r w:rsidR="006A36CF">
              <w:rPr>
                <w:color w:val="005E00"/>
                <w:lang w:val="fr-FR"/>
              </w:rPr>
              <w:t>visual</w:t>
            </w:r>
            <w:proofErr w:type="spellEnd"/>
            <w:r w:rsidR="006A36CF">
              <w:rPr>
                <w:color w:val="005E00"/>
                <w:lang w:val="fr-FR"/>
              </w:rPr>
              <w:t xml:space="preserve"> </w:t>
            </w:r>
            <w:proofErr w:type="spellStart"/>
            <w:r w:rsidR="006A36CF">
              <w:rPr>
                <w:color w:val="005E00"/>
                <w:lang w:val="fr-FR"/>
              </w:rPr>
              <w:t>identity</w:t>
            </w:r>
            <w:proofErr w:type="spellEnd"/>
            <w:r w:rsidR="006A36CF">
              <w:rPr>
                <w:color w:val="005E00"/>
                <w:lang w:val="fr-FR"/>
              </w:rPr>
              <w:t xml:space="preserve">, </w:t>
            </w:r>
            <w:r w:rsidR="004604AE">
              <w:rPr>
                <w:color w:val="005E00"/>
                <w:lang w:val="fr-FR"/>
              </w:rPr>
              <w:t xml:space="preserve">DG ECHO </w:t>
            </w:r>
            <w:r w:rsidR="001E1E5A">
              <w:rPr>
                <w:color w:val="005E00"/>
                <w:lang w:val="fr-FR"/>
              </w:rPr>
              <w:t>compliance</w:t>
            </w:r>
            <w:r w:rsidR="004604AE">
              <w:rPr>
                <w:color w:val="005E00"/>
                <w:lang w:val="fr-FR"/>
              </w:rPr>
              <w:t>)</w:t>
            </w:r>
          </w:p>
          <w:p w14:paraId="49E5BF95" w14:textId="17525DA6" w:rsidR="001F0791" w:rsidRPr="00D8596B" w:rsidRDefault="001F0791" w:rsidP="00845B5C">
            <w:pPr>
              <w:pStyle w:val="ListParagraph"/>
              <w:numPr>
                <w:ilvl w:val="0"/>
                <w:numId w:val="2"/>
              </w:numPr>
              <w:rPr>
                <w:color w:val="005E00"/>
              </w:rPr>
            </w:pPr>
            <w:r w:rsidRPr="00D8596B">
              <w:rPr>
                <w:color w:val="005E00"/>
              </w:rPr>
              <w:t>Mapping stakeholders</w:t>
            </w:r>
            <w:r w:rsidR="00E512B9">
              <w:rPr>
                <w:color w:val="005E00"/>
              </w:rPr>
              <w:t xml:space="preserve"> and relevant info and channels</w:t>
            </w:r>
          </w:p>
          <w:p w14:paraId="735089F9" w14:textId="77777777" w:rsidR="00D8596B" w:rsidRPr="00D8596B" w:rsidRDefault="001F0791" w:rsidP="00845B5C">
            <w:pPr>
              <w:pStyle w:val="ListParagraph"/>
              <w:numPr>
                <w:ilvl w:val="0"/>
                <w:numId w:val="2"/>
              </w:numPr>
              <w:rPr>
                <w:color w:val="005E00"/>
              </w:rPr>
            </w:pPr>
            <w:r w:rsidRPr="00D8596B">
              <w:rPr>
                <w:color w:val="005E00"/>
              </w:rPr>
              <w:t xml:space="preserve">Core messages and </w:t>
            </w:r>
            <w:r w:rsidR="00D8596B" w:rsidRPr="00D8596B">
              <w:rPr>
                <w:color w:val="005E00"/>
              </w:rPr>
              <w:t>motto</w:t>
            </w:r>
          </w:p>
          <w:p w14:paraId="5035D4F7" w14:textId="2AB0A5F0" w:rsidR="00845B5C" w:rsidRPr="0080513E" w:rsidRDefault="00D8596B" w:rsidP="00845B5C">
            <w:pPr>
              <w:pStyle w:val="ListParagraph"/>
              <w:numPr>
                <w:ilvl w:val="0"/>
                <w:numId w:val="2"/>
              </w:numPr>
            </w:pPr>
            <w:r>
              <w:t>H</w:t>
            </w:r>
            <w:r w:rsidR="00845B5C" w:rsidRPr="0080513E">
              <w:t>ow to engage civil protection authorities, OPDs, etc.</w:t>
            </w:r>
          </w:p>
          <w:p w14:paraId="3C37E996" w14:textId="77777777" w:rsidR="00845B5C" w:rsidRPr="0080513E" w:rsidRDefault="00845B5C" w:rsidP="00845B5C">
            <w:pPr>
              <w:pStyle w:val="ListParagraph"/>
              <w:numPr>
                <w:ilvl w:val="0"/>
                <w:numId w:val="2"/>
              </w:numPr>
            </w:pPr>
            <w:r w:rsidRPr="0080513E">
              <w:t>dissemination strategy</w:t>
            </w:r>
          </w:p>
          <w:p w14:paraId="480901DF" w14:textId="77777777" w:rsidR="00845B5C" w:rsidRPr="0080513E" w:rsidRDefault="00845B5C" w:rsidP="00845B5C">
            <w:pPr>
              <w:pStyle w:val="ListParagraph"/>
              <w:numPr>
                <w:ilvl w:val="0"/>
                <w:numId w:val="2"/>
              </w:numPr>
            </w:pPr>
            <w:r w:rsidRPr="0080513E">
              <w:t>communication responsibilities</w:t>
            </w:r>
          </w:p>
        </w:tc>
        <w:tc>
          <w:tcPr>
            <w:tcW w:w="2187" w:type="dxa"/>
          </w:tcPr>
          <w:p w14:paraId="1C99B4CF" w14:textId="77777777" w:rsidR="00845B5C" w:rsidRDefault="00845B5C" w:rsidP="000D7E7A">
            <w:r>
              <w:t>EDF</w:t>
            </w:r>
          </w:p>
        </w:tc>
      </w:tr>
      <w:tr w:rsidR="00845B5C" w14:paraId="13AF0328" w14:textId="77777777" w:rsidTr="00A87DFE">
        <w:trPr>
          <w:trHeight w:val="314"/>
        </w:trPr>
        <w:tc>
          <w:tcPr>
            <w:tcW w:w="1527" w:type="dxa"/>
          </w:tcPr>
          <w:p w14:paraId="362F3960" w14:textId="77777777" w:rsidR="00845B5C" w:rsidRDefault="00845B5C" w:rsidP="000D7E7A">
            <w:pPr>
              <w:rPr>
                <w:w w:val="90"/>
              </w:rPr>
            </w:pPr>
            <w:r>
              <w:rPr>
                <w:w w:val="90"/>
              </w:rPr>
              <w:t>12h30-13h30</w:t>
            </w:r>
          </w:p>
        </w:tc>
        <w:tc>
          <w:tcPr>
            <w:tcW w:w="6031" w:type="dxa"/>
          </w:tcPr>
          <w:p w14:paraId="4CB8F828" w14:textId="77777777" w:rsidR="00845B5C" w:rsidRPr="002B6013" w:rsidRDefault="00845B5C" w:rsidP="000D7E7A">
            <w:r>
              <w:t>Lunch</w:t>
            </w:r>
          </w:p>
        </w:tc>
        <w:tc>
          <w:tcPr>
            <w:tcW w:w="2187" w:type="dxa"/>
          </w:tcPr>
          <w:p w14:paraId="6F150007" w14:textId="77777777" w:rsidR="00845B5C" w:rsidRDefault="00845B5C" w:rsidP="000D7E7A"/>
        </w:tc>
      </w:tr>
      <w:tr w:rsidR="00845B5C" w14:paraId="07149EE3" w14:textId="77777777" w:rsidTr="00A87DFE">
        <w:trPr>
          <w:trHeight w:val="325"/>
        </w:trPr>
        <w:tc>
          <w:tcPr>
            <w:tcW w:w="1527" w:type="dxa"/>
            <w:tcBorders>
              <w:top w:val="single" w:sz="4" w:space="0" w:color="000000"/>
              <w:left w:val="single" w:sz="4" w:space="0" w:color="000000"/>
              <w:bottom w:val="single" w:sz="4" w:space="0" w:color="000000"/>
              <w:right w:val="single" w:sz="4" w:space="0" w:color="000000"/>
            </w:tcBorders>
            <w:shd w:val="clear" w:color="auto" w:fill="F0F0F0"/>
          </w:tcPr>
          <w:p w14:paraId="3C18DDB0" w14:textId="77777777" w:rsidR="00845B5C" w:rsidRPr="00E02B82" w:rsidRDefault="00845B5C" w:rsidP="000D7E7A">
            <w:pPr>
              <w:rPr>
                <w:w w:val="90"/>
              </w:rPr>
            </w:pPr>
            <w:r>
              <w:rPr>
                <w:w w:val="90"/>
              </w:rPr>
              <w:lastRenderedPageBreak/>
              <w:t>13h30-15h00</w:t>
            </w:r>
          </w:p>
        </w:tc>
        <w:tc>
          <w:tcPr>
            <w:tcW w:w="6031" w:type="dxa"/>
            <w:tcBorders>
              <w:top w:val="single" w:sz="4" w:space="0" w:color="000000"/>
              <w:left w:val="single" w:sz="4" w:space="0" w:color="000000"/>
              <w:bottom w:val="single" w:sz="4" w:space="0" w:color="000000"/>
              <w:right w:val="single" w:sz="4" w:space="0" w:color="000000"/>
            </w:tcBorders>
            <w:shd w:val="clear" w:color="auto" w:fill="F0F0F0"/>
          </w:tcPr>
          <w:p w14:paraId="20FD7FB5" w14:textId="77777777" w:rsidR="00845B5C" w:rsidRPr="00E02B82" w:rsidRDefault="00845B5C" w:rsidP="000D7E7A">
            <w:r>
              <w:t xml:space="preserve">Kick off </w:t>
            </w:r>
            <w:r w:rsidRPr="00E02B82">
              <w:t>wrap-up and Reflections</w:t>
            </w:r>
          </w:p>
          <w:p w14:paraId="38190345" w14:textId="77777777" w:rsidR="00845B5C" w:rsidRPr="00E02B82" w:rsidRDefault="00845B5C" w:rsidP="00845B5C">
            <w:pPr>
              <w:pStyle w:val="ListParagraph"/>
              <w:numPr>
                <w:ilvl w:val="0"/>
                <w:numId w:val="6"/>
              </w:numPr>
            </w:pPr>
            <w:r w:rsidRPr="00E02B82">
              <w:t xml:space="preserve">Discussion on next </w:t>
            </w:r>
            <w:r>
              <w:t>steps</w:t>
            </w:r>
          </w:p>
          <w:p w14:paraId="329F309B" w14:textId="77777777" w:rsidR="00845B5C" w:rsidRDefault="00845B5C" w:rsidP="00845B5C">
            <w:pPr>
              <w:pStyle w:val="ListParagraph"/>
              <w:numPr>
                <w:ilvl w:val="0"/>
                <w:numId w:val="6"/>
              </w:numPr>
            </w:pPr>
            <w:r>
              <w:t xml:space="preserve">Workshop </w:t>
            </w:r>
            <w:r w:rsidRPr="00E02B82">
              <w:t>evaluation</w:t>
            </w:r>
          </w:p>
          <w:p w14:paraId="2018692D" w14:textId="77777777" w:rsidR="00845B5C" w:rsidRPr="00E02B82" w:rsidRDefault="00845B5C" w:rsidP="00845B5C">
            <w:pPr>
              <w:pStyle w:val="ListParagraph"/>
              <w:numPr>
                <w:ilvl w:val="0"/>
                <w:numId w:val="6"/>
              </w:numPr>
            </w:pPr>
            <w:r>
              <w:t>Photo</w:t>
            </w:r>
          </w:p>
          <w:p w14:paraId="6387A608" w14:textId="77777777" w:rsidR="00845B5C" w:rsidRPr="00E02B82" w:rsidRDefault="00845B5C" w:rsidP="00845B5C">
            <w:pPr>
              <w:pStyle w:val="ListParagraph"/>
              <w:numPr>
                <w:ilvl w:val="0"/>
                <w:numId w:val="6"/>
              </w:numPr>
            </w:pPr>
            <w:r w:rsidRPr="00E02B82">
              <w:t>Reflections from participants</w:t>
            </w:r>
          </w:p>
          <w:p w14:paraId="65F97412" w14:textId="77777777" w:rsidR="00845B5C" w:rsidRPr="00E02B82" w:rsidRDefault="00845B5C" w:rsidP="00845B5C">
            <w:pPr>
              <w:pStyle w:val="ListParagraph"/>
              <w:numPr>
                <w:ilvl w:val="0"/>
                <w:numId w:val="6"/>
              </w:numPr>
            </w:pPr>
            <w:r w:rsidRPr="00E02B82">
              <w:t>Closing</w:t>
            </w:r>
          </w:p>
        </w:tc>
        <w:tc>
          <w:tcPr>
            <w:tcW w:w="2187" w:type="dxa"/>
            <w:tcBorders>
              <w:top w:val="single" w:sz="4" w:space="0" w:color="000000"/>
              <w:left w:val="single" w:sz="4" w:space="0" w:color="000000"/>
              <w:bottom w:val="single" w:sz="4" w:space="0" w:color="000000"/>
              <w:right w:val="single" w:sz="4" w:space="0" w:color="000000"/>
            </w:tcBorders>
            <w:shd w:val="clear" w:color="auto" w:fill="F0F0F0"/>
          </w:tcPr>
          <w:p w14:paraId="2DE6B759" w14:textId="77777777" w:rsidR="00845B5C" w:rsidRPr="00E02B82" w:rsidRDefault="00845B5C" w:rsidP="000D7E7A">
            <w:pPr>
              <w:rPr>
                <w:rFonts w:ascii="Times New Roman"/>
                <w:sz w:val="22"/>
              </w:rPr>
            </w:pPr>
            <w:r>
              <w:rPr>
                <w:rFonts w:ascii="Times New Roman"/>
                <w:sz w:val="22"/>
              </w:rPr>
              <w:t>All</w:t>
            </w:r>
          </w:p>
        </w:tc>
      </w:tr>
    </w:tbl>
    <w:p w14:paraId="27AF9235" w14:textId="77777777" w:rsidR="00845B5C" w:rsidRDefault="00845B5C" w:rsidP="00845B5C">
      <w:pPr>
        <w:rPr>
          <w:lang w:val="en-US"/>
        </w:rPr>
      </w:pPr>
    </w:p>
    <w:p w14:paraId="1588C91B" w14:textId="77777777" w:rsidR="00845B5C" w:rsidRPr="009D0280" w:rsidRDefault="00845B5C" w:rsidP="00845B5C">
      <w:r w:rsidRPr="009D0280">
        <w:t>T1.1</w:t>
      </w:r>
    </w:p>
    <w:p w14:paraId="3B97E015" w14:textId="77777777" w:rsidR="00845B5C" w:rsidRPr="009D0280" w:rsidRDefault="00845B5C" w:rsidP="00845B5C">
      <w:pPr>
        <w:rPr>
          <w:lang w:val="en-US"/>
        </w:rPr>
      </w:pPr>
      <w:r w:rsidRPr="00831FDF">
        <w:t>Project initiation and setup</w:t>
      </w:r>
    </w:p>
    <w:p w14:paraId="4C7C6636" w14:textId="77777777" w:rsidR="00845B5C" w:rsidRPr="00831FDF" w:rsidRDefault="00845B5C" w:rsidP="00845B5C">
      <w:r w:rsidRPr="00831FDF">
        <w:t>Establish an effective project management structure by setting up operational arrangements and formalising coordination</w:t>
      </w:r>
      <w:r>
        <w:t xml:space="preserve"> </w:t>
      </w:r>
      <w:r w:rsidRPr="00831FDF">
        <w:t>through a written consortium agreement among the partners. Provide induction to relevant project staff on Granting</w:t>
      </w:r>
      <w:r>
        <w:t xml:space="preserve"> </w:t>
      </w:r>
      <w:r w:rsidRPr="00831FDF">
        <w:t>Authority reporting requirements, financial management procedures, and compliance standards. Organise a joint project</w:t>
      </w:r>
      <w:r>
        <w:t xml:space="preserve"> </w:t>
      </w:r>
      <w:r w:rsidRPr="00831FDF">
        <w:t>kick-off and work planning workshop, and finalise key project tools, including the (1) Project Management, (2)</w:t>
      </w:r>
      <w:r>
        <w:t xml:space="preserve"> </w:t>
      </w:r>
      <w:r w:rsidRPr="00831FDF">
        <w:t>M&amp;E, and (3) Stakeholder Engagement, Communications and Dissemination Plans. These actions will ensure a shared</w:t>
      </w:r>
      <w:r>
        <w:t xml:space="preserve"> </w:t>
      </w:r>
      <w:r w:rsidRPr="00831FDF">
        <w:t>understanding of responsibilities, consistent project oversight, and a strong foundation for collaborative implementation.</w:t>
      </w:r>
    </w:p>
    <w:p w14:paraId="5B6A04A0" w14:textId="77777777" w:rsidR="00845B5C" w:rsidRDefault="00845B5C" w:rsidP="00845B5C">
      <w:r w:rsidRPr="00831FDF">
        <w:t>Expected result: A fully operational and well-coordinated project team, equipped with clear procedures and shared tools</w:t>
      </w:r>
      <w:r>
        <w:t xml:space="preserve"> </w:t>
      </w:r>
      <w:r w:rsidRPr="00831FDF">
        <w:t>to manage, monitor, and communicate project activities effectively.</w:t>
      </w:r>
    </w:p>
    <w:p w14:paraId="0D405441" w14:textId="77777777" w:rsidR="00845B5C" w:rsidRDefault="00845B5C" w:rsidP="00845B5C"/>
    <w:p w14:paraId="77ED0B31" w14:textId="77777777" w:rsidR="00845B5C" w:rsidRPr="004632E1" w:rsidRDefault="00845B5C" w:rsidP="00845B5C">
      <w:r w:rsidRPr="004632E1">
        <w:t>T1.2</w:t>
      </w:r>
    </w:p>
    <w:p w14:paraId="5BD33EE0" w14:textId="77777777" w:rsidR="00845B5C" w:rsidRPr="004632E1" w:rsidRDefault="00845B5C" w:rsidP="00845B5C">
      <w:r w:rsidRPr="004632E1">
        <w:t>Formalisation of stakeholder partnerships and collaboration frameworks</w:t>
      </w:r>
    </w:p>
    <w:p w14:paraId="521FFCC1" w14:textId="77777777" w:rsidR="00845B5C" w:rsidRPr="004632E1" w:rsidRDefault="00845B5C" w:rsidP="00845B5C">
      <w:r w:rsidRPr="004632E1">
        <w:t>Formalise key stakeholder partnerships and through the development and signing of Memoranda of Understanding</w:t>
      </w:r>
      <w:r>
        <w:t xml:space="preserve"> </w:t>
      </w:r>
      <w:r w:rsidRPr="004632E1">
        <w:t>(</w:t>
      </w:r>
      <w:proofErr w:type="spellStart"/>
      <w:r w:rsidRPr="004632E1">
        <w:t>MoUs</w:t>
      </w:r>
      <w:proofErr w:type="spellEnd"/>
      <w:r w:rsidRPr="004632E1">
        <w:t>), grant agreements, and collaboration frameworks. This process will define roles, responsibilities, shared</w:t>
      </w:r>
      <w:r>
        <w:t xml:space="preserve"> </w:t>
      </w:r>
      <w:r w:rsidRPr="004632E1">
        <w:t>objectives, and planned activities to support inclusive disaster preparedness and response.</w:t>
      </w:r>
    </w:p>
    <w:p w14:paraId="303048BD" w14:textId="77777777" w:rsidR="00845B5C" w:rsidRPr="00916526" w:rsidRDefault="00845B5C" w:rsidP="00845B5C">
      <w:pPr>
        <w:rPr>
          <w:lang w:val="en-US"/>
        </w:rPr>
      </w:pPr>
      <w:r w:rsidRPr="004632E1">
        <w:t>Expected result: Established stakeholder partnerships with clearly defined roles and collaboration mechanisms, enabling</w:t>
      </w:r>
      <w:r>
        <w:t xml:space="preserve"> </w:t>
      </w:r>
      <w:r w:rsidRPr="004632E1">
        <w:t>coordinated implementation and stronger engagement of national actors throughout the project.</w:t>
      </w:r>
    </w:p>
    <w:p w14:paraId="4C3845E4" w14:textId="77777777" w:rsidR="006B7070" w:rsidRPr="00845B5C" w:rsidRDefault="006B7070">
      <w:pPr>
        <w:rPr>
          <w:lang w:val="en-US"/>
        </w:rPr>
      </w:pPr>
    </w:p>
    <w:sectPr w:rsidR="006B7070" w:rsidRPr="00845B5C" w:rsidSect="00845B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4E9A"/>
    <w:multiLevelType w:val="hybridMultilevel"/>
    <w:tmpl w:val="9CFE3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9F36E9"/>
    <w:multiLevelType w:val="hybridMultilevel"/>
    <w:tmpl w:val="7820E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7640DE"/>
    <w:multiLevelType w:val="hybridMultilevel"/>
    <w:tmpl w:val="B0DC7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07277F"/>
    <w:multiLevelType w:val="multilevel"/>
    <w:tmpl w:val="C8BEB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F815D4"/>
    <w:multiLevelType w:val="hybridMultilevel"/>
    <w:tmpl w:val="4D0AD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E31A1E"/>
    <w:multiLevelType w:val="hybridMultilevel"/>
    <w:tmpl w:val="537C2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6226E2"/>
    <w:multiLevelType w:val="hybridMultilevel"/>
    <w:tmpl w:val="D4CAB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0275626">
    <w:abstractNumId w:val="1"/>
  </w:num>
  <w:num w:numId="2" w16cid:durableId="1980918084">
    <w:abstractNumId w:val="2"/>
  </w:num>
  <w:num w:numId="3" w16cid:durableId="1232541815">
    <w:abstractNumId w:val="4"/>
  </w:num>
  <w:num w:numId="4" w16cid:durableId="778525000">
    <w:abstractNumId w:val="6"/>
  </w:num>
  <w:num w:numId="5" w16cid:durableId="889223406">
    <w:abstractNumId w:val="0"/>
  </w:num>
  <w:num w:numId="6" w16cid:durableId="1966738063">
    <w:abstractNumId w:val="5"/>
  </w:num>
  <w:num w:numId="7" w16cid:durableId="6520279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683"/>
    <w:rsid w:val="00007067"/>
    <w:rsid w:val="001E1E5A"/>
    <w:rsid w:val="001F0791"/>
    <w:rsid w:val="00392BEE"/>
    <w:rsid w:val="003F2293"/>
    <w:rsid w:val="004604AE"/>
    <w:rsid w:val="004C4B5C"/>
    <w:rsid w:val="006A36CF"/>
    <w:rsid w:val="006B7070"/>
    <w:rsid w:val="007578EB"/>
    <w:rsid w:val="00845B5C"/>
    <w:rsid w:val="00A87DFE"/>
    <w:rsid w:val="00BC678A"/>
    <w:rsid w:val="00D8596B"/>
    <w:rsid w:val="00DD5683"/>
    <w:rsid w:val="00E51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0FC7D"/>
  <w15:chartTrackingRefBased/>
  <w15:docId w15:val="{F5D72433-F2D9-4A30-9A5C-24C763116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B5C"/>
  </w:style>
  <w:style w:type="paragraph" w:styleId="Heading1">
    <w:name w:val="heading 1"/>
    <w:basedOn w:val="Normal"/>
    <w:next w:val="Normal"/>
    <w:link w:val="Heading1Char"/>
    <w:uiPriority w:val="9"/>
    <w:qFormat/>
    <w:rsid w:val="00DD56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56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D56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56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56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56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6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6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6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6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56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D56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56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56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56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6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6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683"/>
    <w:rPr>
      <w:rFonts w:eastAsiaTheme="majorEastAsia" w:cstheme="majorBidi"/>
      <w:color w:val="272727" w:themeColor="text1" w:themeTint="D8"/>
    </w:rPr>
  </w:style>
  <w:style w:type="paragraph" w:styleId="Title">
    <w:name w:val="Title"/>
    <w:basedOn w:val="Normal"/>
    <w:next w:val="Normal"/>
    <w:link w:val="TitleChar"/>
    <w:uiPriority w:val="10"/>
    <w:qFormat/>
    <w:rsid w:val="00DD56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6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6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56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683"/>
    <w:pPr>
      <w:spacing w:before="160"/>
      <w:jc w:val="center"/>
    </w:pPr>
    <w:rPr>
      <w:i/>
      <w:iCs/>
      <w:color w:val="404040" w:themeColor="text1" w:themeTint="BF"/>
    </w:rPr>
  </w:style>
  <w:style w:type="character" w:customStyle="1" w:styleId="QuoteChar">
    <w:name w:val="Quote Char"/>
    <w:basedOn w:val="DefaultParagraphFont"/>
    <w:link w:val="Quote"/>
    <w:uiPriority w:val="29"/>
    <w:rsid w:val="00DD5683"/>
    <w:rPr>
      <w:i/>
      <w:iCs/>
      <w:color w:val="404040" w:themeColor="text1" w:themeTint="BF"/>
    </w:rPr>
  </w:style>
  <w:style w:type="paragraph" w:styleId="ListParagraph">
    <w:name w:val="List Paragraph"/>
    <w:basedOn w:val="Normal"/>
    <w:uiPriority w:val="34"/>
    <w:qFormat/>
    <w:rsid w:val="00DD5683"/>
    <w:pPr>
      <w:ind w:left="720"/>
      <w:contextualSpacing/>
    </w:pPr>
  </w:style>
  <w:style w:type="character" w:styleId="IntenseEmphasis">
    <w:name w:val="Intense Emphasis"/>
    <w:basedOn w:val="DefaultParagraphFont"/>
    <w:uiPriority w:val="21"/>
    <w:qFormat/>
    <w:rsid w:val="00DD5683"/>
    <w:rPr>
      <w:i/>
      <w:iCs/>
      <w:color w:val="0F4761" w:themeColor="accent1" w:themeShade="BF"/>
    </w:rPr>
  </w:style>
  <w:style w:type="paragraph" w:styleId="IntenseQuote">
    <w:name w:val="Intense Quote"/>
    <w:basedOn w:val="Normal"/>
    <w:next w:val="Normal"/>
    <w:link w:val="IntenseQuoteChar"/>
    <w:uiPriority w:val="30"/>
    <w:qFormat/>
    <w:rsid w:val="00DD56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5683"/>
    <w:rPr>
      <w:i/>
      <w:iCs/>
      <w:color w:val="0F4761" w:themeColor="accent1" w:themeShade="BF"/>
    </w:rPr>
  </w:style>
  <w:style w:type="character" w:styleId="IntenseReference">
    <w:name w:val="Intense Reference"/>
    <w:basedOn w:val="DefaultParagraphFont"/>
    <w:uiPriority w:val="32"/>
    <w:qFormat/>
    <w:rsid w:val="00DD56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6ACA509311AC418A3895BEE7136C11" ma:contentTypeVersion="13" ma:contentTypeDescription="Create a new document." ma:contentTypeScope="" ma:versionID="c2b80291e657d52f4b1d9af101e94102">
  <xsd:schema xmlns:xsd="http://www.w3.org/2001/XMLSchema" xmlns:xs="http://www.w3.org/2001/XMLSchema" xmlns:p="http://schemas.microsoft.com/office/2006/metadata/properties" xmlns:ns2="7216618a-fc18-4dc8-96e6-cbf2c33b3040" xmlns:ns3="252f4827-23ce-43c5-a232-6be14f1d3f55" targetNamespace="http://schemas.microsoft.com/office/2006/metadata/properties" ma:root="true" ma:fieldsID="d87c081a0741351f3992012857055552" ns2:_="" ns3:_="">
    <xsd:import namespace="7216618a-fc18-4dc8-96e6-cbf2c33b3040"/>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6618a-fc18-4dc8-96e6-cbf2c33b3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16618a-fc18-4dc8-96e6-cbf2c33b3040">
      <Terms xmlns="http://schemas.microsoft.com/office/infopath/2007/PartnerControls"/>
    </lcf76f155ced4ddcb4097134ff3c332f>
    <TaxCatchAll xmlns="252f4827-23ce-43c5-a232-6be14f1d3f55" xsi:nil="true"/>
  </documentManagement>
</p:properties>
</file>

<file path=customXml/itemProps1.xml><?xml version="1.0" encoding="utf-8"?>
<ds:datastoreItem xmlns:ds="http://schemas.openxmlformats.org/officeDocument/2006/customXml" ds:itemID="{DD374E90-B983-4A8D-B7BC-0ED818199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6618a-fc18-4dc8-96e6-cbf2c33b3040"/>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265BF5-1F4F-4D8E-8697-7C1677A6BE12}">
  <ds:schemaRefs>
    <ds:schemaRef ds:uri="http://schemas.microsoft.com/sharepoint/v3/contenttype/forms"/>
  </ds:schemaRefs>
</ds:datastoreItem>
</file>

<file path=customXml/itemProps3.xml><?xml version="1.0" encoding="utf-8"?>
<ds:datastoreItem xmlns:ds="http://schemas.openxmlformats.org/officeDocument/2006/customXml" ds:itemID="{C29A2D04-92A7-4E8C-8542-2CD420DCB7AF}">
  <ds:schemaRefs>
    <ds:schemaRef ds:uri="http://schemas.microsoft.com/office/2006/metadata/properties"/>
    <ds:schemaRef ds:uri="http://schemas.microsoft.com/office/infopath/2007/PartnerControls"/>
    <ds:schemaRef ds:uri="7216618a-fc18-4dc8-96e6-cbf2c33b3040"/>
    <ds:schemaRef ds:uri="252f4827-23ce-43c5-a232-6be14f1d3f55"/>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576</Words>
  <Characters>3286</Characters>
  <Application>Microsoft Office Word</Application>
  <DocSecurity>0</DocSecurity>
  <Lines>27</Lines>
  <Paragraphs>7</Paragraphs>
  <ScaleCrop>false</ScaleCrop>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Phillipa Tucker</dc:creator>
  <cp:keywords/>
  <dc:description/>
  <cp:lastModifiedBy>Phillipa Tucker</cp:lastModifiedBy>
  <cp:revision>11</cp:revision>
  <dcterms:created xsi:type="dcterms:W3CDTF">2026-03-31T07:37:00Z</dcterms:created>
  <dcterms:modified xsi:type="dcterms:W3CDTF">2026-04-14T11:56:00Z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0x010100966ACA509311AC418A3895BEE7136C11</vt:lpwstr>
  </property>
  <property fmtid="{D5CDD505-2E9C-101B-9397-08002B2CF9AE}" pid="3" name="MediaServiceImageTags">
    <vt:lpwstr/>
  </property>
</Properties>
</file>