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546B" w14:textId="44109376"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39135D" id="Rectangle 6" o:spid="_x0000_s1026" alt="&quot;&quot;"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A09AC4" id="Rectangle 1" o:spid="_x0000_s1026" alt="&quot;&quot;"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3473A669" w:rsidR="00D11DAB" w:rsidRPr="00D11DAB" w:rsidRDefault="00515218" w:rsidP="00D11DAB">
      <w:pPr>
        <w:pStyle w:val="Title"/>
        <w:spacing w:before="360"/>
      </w:pPr>
      <w:r w:rsidRPr="00515218">
        <w:t>Disability inclusion in the Lima Work Programme on Gender</w:t>
      </w:r>
    </w:p>
    <w:p w14:paraId="42386F24" w14:textId="77777777" w:rsidR="00E867EE" w:rsidRDefault="00D11DAB" w:rsidP="00E867EE">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29F79" id="Rectangle 3" o:spid="_x0000_s1026" alt="&quot;&quot;"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" fillcolor="#a20000" strokecolor="#1f3763 [1604]" strokeweight="1pt">
                <w10:wrap anchorx="page"/>
              </v:rect>
            </w:pict>
          </mc:Fallback>
        </mc:AlternateContent>
      </w:r>
      <w:r>
        <w:t xml:space="preserve">February </w:t>
      </w:r>
      <w:r w:rsidR="00606390">
        <w:t>202</w:t>
      </w:r>
      <w:r w:rsidR="00E867EE">
        <w:t>6</w:t>
      </w:r>
    </w:p>
    <w:p w14:paraId="75770BC9" w14:textId="4442BAE2" w:rsidR="00E62CBF" w:rsidRPr="00E867EE" w:rsidRDefault="00F63A64" w:rsidP="00E867EE">
      <w:pPr>
        <w:pStyle w:val="Subtitle"/>
        <w:spacing w:after="360"/>
      </w:pPr>
      <w:r w:rsidRPr="00F63A64">
        <w:rPr>
          <w:bCs/>
          <w:sz w:val="28"/>
          <w:szCs w:val="28"/>
        </w:rPr>
        <w:t>Recommendations to embed disability inclusion in the Lima Work Programme on Gender</w:t>
      </w:r>
    </w:p>
    <w:p w14:paraId="79A4A1C9" w14:textId="08FC674B" w:rsidR="00A9576D" w:rsidRDefault="00A9576D" w:rsidP="008054A7">
      <w:pPr>
        <w:pStyle w:val="Heading1"/>
        <w:pageBreakBefore/>
      </w:pPr>
      <w:bookmarkStart w:id="0" w:name="_Toc221042612"/>
      <w:r>
        <w:lastRenderedPageBreak/>
        <w:t>Table of Contents</w:t>
      </w:r>
      <w:bookmarkEnd w:id="0"/>
    </w:p>
    <w:p w14:paraId="7681D74D" w14:textId="7DDD8D18" w:rsidR="004C17D3" w:rsidRDefault="00A9576D">
      <w:pPr>
        <w:pStyle w:val="TOC1"/>
        <w:tabs>
          <w:tab w:val="right" w:leader="dot" w:pos="9016"/>
        </w:tabs>
        <w:rPr>
          <w:rFonts w:asciiTheme="minorHAnsi" w:eastAsiaTheme="minorEastAsia" w:hAnsiTheme="minorHAnsi"/>
          <w:noProof/>
          <w:kern w:val="2"/>
          <w:szCs w:val="24"/>
          <w:lang w:val="en-GB" w:eastAsia="ja-JP"/>
          <w14:ligatures w14:val="standardContextual"/>
        </w:rPr>
      </w:pPr>
      <w:r>
        <w:fldChar w:fldCharType="begin"/>
      </w:r>
      <w:r>
        <w:instrText xml:space="preserve"> TOC \o "1-2" \h \z \u </w:instrText>
      </w:r>
      <w:r>
        <w:fldChar w:fldCharType="separate"/>
      </w:r>
      <w:hyperlink w:anchor="_Toc221042612" w:history="1">
        <w:r w:rsidR="004C17D3" w:rsidRPr="008068EC">
          <w:rPr>
            <w:rStyle w:val="Hyperlink"/>
            <w:noProof/>
          </w:rPr>
          <w:t>Table of Contents</w:t>
        </w:r>
        <w:r w:rsidR="004C17D3">
          <w:rPr>
            <w:noProof/>
            <w:webHidden/>
          </w:rPr>
          <w:tab/>
        </w:r>
        <w:r w:rsidR="004C17D3">
          <w:rPr>
            <w:noProof/>
            <w:webHidden/>
          </w:rPr>
          <w:fldChar w:fldCharType="begin"/>
        </w:r>
        <w:r w:rsidR="004C17D3">
          <w:rPr>
            <w:noProof/>
            <w:webHidden/>
          </w:rPr>
          <w:instrText xml:space="preserve"> PAGEREF _Toc221042612 \h </w:instrText>
        </w:r>
        <w:r w:rsidR="004C17D3">
          <w:rPr>
            <w:noProof/>
            <w:webHidden/>
          </w:rPr>
        </w:r>
        <w:r w:rsidR="004C17D3">
          <w:rPr>
            <w:noProof/>
            <w:webHidden/>
          </w:rPr>
          <w:fldChar w:fldCharType="separate"/>
        </w:r>
        <w:r w:rsidR="004C17D3">
          <w:rPr>
            <w:noProof/>
            <w:webHidden/>
          </w:rPr>
          <w:t>2</w:t>
        </w:r>
        <w:r w:rsidR="004C17D3">
          <w:rPr>
            <w:noProof/>
            <w:webHidden/>
          </w:rPr>
          <w:fldChar w:fldCharType="end"/>
        </w:r>
      </w:hyperlink>
    </w:p>
    <w:p w14:paraId="6E2D9344" w14:textId="7FC845FA" w:rsidR="004C17D3" w:rsidRDefault="004C17D3">
      <w:pPr>
        <w:pStyle w:val="TOC1"/>
        <w:tabs>
          <w:tab w:val="right" w:leader="dot" w:pos="9016"/>
        </w:tabs>
        <w:rPr>
          <w:rFonts w:asciiTheme="minorHAnsi" w:eastAsiaTheme="minorEastAsia" w:hAnsiTheme="minorHAnsi"/>
          <w:noProof/>
          <w:kern w:val="2"/>
          <w:szCs w:val="24"/>
          <w:lang w:val="en-GB" w:eastAsia="ja-JP"/>
          <w14:ligatures w14:val="standardContextual"/>
        </w:rPr>
      </w:pPr>
      <w:hyperlink w:anchor="_Toc221042613" w:history="1">
        <w:r w:rsidRPr="008068EC">
          <w:rPr>
            <w:rStyle w:val="Hyperlink"/>
            <w:noProof/>
          </w:rPr>
          <w:t>Introduction</w:t>
        </w:r>
        <w:r>
          <w:rPr>
            <w:noProof/>
            <w:webHidden/>
          </w:rPr>
          <w:tab/>
        </w:r>
        <w:r>
          <w:rPr>
            <w:noProof/>
            <w:webHidden/>
          </w:rPr>
          <w:fldChar w:fldCharType="begin"/>
        </w:r>
        <w:r>
          <w:rPr>
            <w:noProof/>
            <w:webHidden/>
          </w:rPr>
          <w:instrText xml:space="preserve"> PAGEREF _Toc221042613 \h </w:instrText>
        </w:r>
        <w:r>
          <w:rPr>
            <w:noProof/>
            <w:webHidden/>
          </w:rPr>
        </w:r>
        <w:r>
          <w:rPr>
            <w:noProof/>
            <w:webHidden/>
          </w:rPr>
          <w:fldChar w:fldCharType="separate"/>
        </w:r>
        <w:r>
          <w:rPr>
            <w:noProof/>
            <w:webHidden/>
          </w:rPr>
          <w:t>2</w:t>
        </w:r>
        <w:r>
          <w:rPr>
            <w:noProof/>
            <w:webHidden/>
          </w:rPr>
          <w:fldChar w:fldCharType="end"/>
        </w:r>
      </w:hyperlink>
    </w:p>
    <w:p w14:paraId="65777FED" w14:textId="213CA262" w:rsidR="004C17D3" w:rsidRDefault="004C17D3">
      <w:pPr>
        <w:pStyle w:val="TOC2"/>
        <w:tabs>
          <w:tab w:val="right" w:leader="dot" w:pos="9016"/>
        </w:tabs>
        <w:rPr>
          <w:rFonts w:asciiTheme="minorHAnsi" w:eastAsiaTheme="minorEastAsia" w:hAnsiTheme="minorHAnsi"/>
          <w:noProof/>
          <w:kern w:val="2"/>
          <w:szCs w:val="24"/>
          <w:lang w:val="en-GB" w:eastAsia="ja-JP"/>
          <w14:ligatures w14:val="standardContextual"/>
        </w:rPr>
      </w:pPr>
      <w:hyperlink w:anchor="_Toc221042614" w:history="1">
        <w:r w:rsidRPr="008068EC">
          <w:rPr>
            <w:rStyle w:val="Hyperlink"/>
            <w:noProof/>
          </w:rPr>
          <w:t>Executive Summary</w:t>
        </w:r>
        <w:r>
          <w:rPr>
            <w:noProof/>
            <w:webHidden/>
          </w:rPr>
          <w:tab/>
        </w:r>
        <w:r>
          <w:rPr>
            <w:noProof/>
            <w:webHidden/>
          </w:rPr>
          <w:fldChar w:fldCharType="begin"/>
        </w:r>
        <w:r>
          <w:rPr>
            <w:noProof/>
            <w:webHidden/>
          </w:rPr>
          <w:instrText xml:space="preserve"> PAGEREF _Toc221042614 \h </w:instrText>
        </w:r>
        <w:r>
          <w:rPr>
            <w:noProof/>
            <w:webHidden/>
          </w:rPr>
        </w:r>
        <w:r>
          <w:rPr>
            <w:noProof/>
            <w:webHidden/>
          </w:rPr>
          <w:fldChar w:fldCharType="separate"/>
        </w:r>
        <w:r>
          <w:rPr>
            <w:noProof/>
            <w:webHidden/>
          </w:rPr>
          <w:t>2</w:t>
        </w:r>
        <w:r>
          <w:rPr>
            <w:noProof/>
            <w:webHidden/>
          </w:rPr>
          <w:fldChar w:fldCharType="end"/>
        </w:r>
      </w:hyperlink>
    </w:p>
    <w:p w14:paraId="34739A6A" w14:textId="42C3ED94" w:rsidR="004C17D3" w:rsidRDefault="004C17D3">
      <w:pPr>
        <w:pStyle w:val="TOC1"/>
        <w:tabs>
          <w:tab w:val="right" w:leader="dot" w:pos="9016"/>
        </w:tabs>
        <w:rPr>
          <w:rFonts w:asciiTheme="minorHAnsi" w:eastAsiaTheme="minorEastAsia" w:hAnsiTheme="minorHAnsi"/>
          <w:noProof/>
          <w:kern w:val="2"/>
          <w:szCs w:val="24"/>
          <w:lang w:val="en-GB" w:eastAsia="ja-JP"/>
          <w14:ligatures w14:val="standardContextual"/>
        </w:rPr>
      </w:pPr>
      <w:hyperlink w:anchor="_Toc221042615" w:history="1">
        <w:r w:rsidRPr="008068EC">
          <w:rPr>
            <w:rStyle w:val="Hyperlink"/>
            <w:noProof/>
          </w:rPr>
          <w:t>Easy to Read</w:t>
        </w:r>
        <w:r>
          <w:rPr>
            <w:noProof/>
            <w:webHidden/>
          </w:rPr>
          <w:tab/>
        </w:r>
        <w:r>
          <w:rPr>
            <w:noProof/>
            <w:webHidden/>
          </w:rPr>
          <w:fldChar w:fldCharType="begin"/>
        </w:r>
        <w:r>
          <w:rPr>
            <w:noProof/>
            <w:webHidden/>
          </w:rPr>
          <w:instrText xml:space="preserve"> PAGEREF _Toc221042615 \h </w:instrText>
        </w:r>
        <w:r>
          <w:rPr>
            <w:noProof/>
            <w:webHidden/>
          </w:rPr>
        </w:r>
        <w:r>
          <w:rPr>
            <w:noProof/>
            <w:webHidden/>
          </w:rPr>
          <w:fldChar w:fldCharType="separate"/>
        </w:r>
        <w:r>
          <w:rPr>
            <w:noProof/>
            <w:webHidden/>
          </w:rPr>
          <w:t>4</w:t>
        </w:r>
        <w:r>
          <w:rPr>
            <w:noProof/>
            <w:webHidden/>
          </w:rPr>
          <w:fldChar w:fldCharType="end"/>
        </w:r>
      </w:hyperlink>
    </w:p>
    <w:p w14:paraId="51F79CE3" w14:textId="0F87828B" w:rsidR="004C17D3" w:rsidRDefault="004C17D3">
      <w:pPr>
        <w:pStyle w:val="TOC1"/>
        <w:tabs>
          <w:tab w:val="right" w:leader="dot" w:pos="9016"/>
        </w:tabs>
        <w:rPr>
          <w:rFonts w:asciiTheme="minorHAnsi" w:eastAsiaTheme="minorEastAsia" w:hAnsiTheme="minorHAnsi"/>
          <w:noProof/>
          <w:kern w:val="2"/>
          <w:szCs w:val="24"/>
          <w:lang w:val="en-GB" w:eastAsia="ja-JP"/>
          <w14:ligatures w14:val="standardContextual"/>
        </w:rPr>
      </w:pPr>
      <w:hyperlink w:anchor="_Toc221042616" w:history="1">
        <w:r w:rsidRPr="008068EC">
          <w:rPr>
            <w:rStyle w:val="Hyperlink"/>
            <w:noProof/>
          </w:rPr>
          <w:t>Disability and Gender as Essential Climate Priorities</w:t>
        </w:r>
        <w:r>
          <w:rPr>
            <w:noProof/>
            <w:webHidden/>
          </w:rPr>
          <w:tab/>
        </w:r>
        <w:r>
          <w:rPr>
            <w:noProof/>
            <w:webHidden/>
          </w:rPr>
          <w:fldChar w:fldCharType="begin"/>
        </w:r>
        <w:r>
          <w:rPr>
            <w:noProof/>
            <w:webHidden/>
          </w:rPr>
          <w:instrText xml:space="preserve"> PAGEREF _Toc221042616 \h </w:instrText>
        </w:r>
        <w:r>
          <w:rPr>
            <w:noProof/>
            <w:webHidden/>
          </w:rPr>
        </w:r>
        <w:r>
          <w:rPr>
            <w:noProof/>
            <w:webHidden/>
          </w:rPr>
          <w:fldChar w:fldCharType="separate"/>
        </w:r>
        <w:r>
          <w:rPr>
            <w:noProof/>
            <w:webHidden/>
          </w:rPr>
          <w:t>5</w:t>
        </w:r>
        <w:r>
          <w:rPr>
            <w:noProof/>
            <w:webHidden/>
          </w:rPr>
          <w:fldChar w:fldCharType="end"/>
        </w:r>
      </w:hyperlink>
    </w:p>
    <w:p w14:paraId="234A9C24" w14:textId="2BA3B54D" w:rsidR="004C17D3" w:rsidRDefault="004C17D3">
      <w:pPr>
        <w:pStyle w:val="TOC1"/>
        <w:tabs>
          <w:tab w:val="right" w:leader="dot" w:pos="9016"/>
        </w:tabs>
        <w:rPr>
          <w:rFonts w:asciiTheme="minorHAnsi" w:eastAsiaTheme="minorEastAsia" w:hAnsiTheme="minorHAnsi"/>
          <w:noProof/>
          <w:kern w:val="2"/>
          <w:szCs w:val="24"/>
          <w:lang w:val="en-GB" w:eastAsia="ja-JP"/>
          <w14:ligatures w14:val="standardContextual"/>
        </w:rPr>
      </w:pPr>
      <w:hyperlink w:anchor="_Toc221042617" w:history="1">
        <w:r w:rsidRPr="008068EC">
          <w:rPr>
            <w:rStyle w:val="Hyperlink"/>
            <w:noProof/>
          </w:rPr>
          <w:t>Progress So Far</w:t>
        </w:r>
        <w:r>
          <w:rPr>
            <w:noProof/>
            <w:webHidden/>
          </w:rPr>
          <w:tab/>
        </w:r>
        <w:r>
          <w:rPr>
            <w:noProof/>
            <w:webHidden/>
          </w:rPr>
          <w:fldChar w:fldCharType="begin"/>
        </w:r>
        <w:r>
          <w:rPr>
            <w:noProof/>
            <w:webHidden/>
          </w:rPr>
          <w:instrText xml:space="preserve"> PAGEREF _Toc221042617 \h </w:instrText>
        </w:r>
        <w:r>
          <w:rPr>
            <w:noProof/>
            <w:webHidden/>
          </w:rPr>
        </w:r>
        <w:r>
          <w:rPr>
            <w:noProof/>
            <w:webHidden/>
          </w:rPr>
          <w:fldChar w:fldCharType="separate"/>
        </w:r>
        <w:r>
          <w:rPr>
            <w:noProof/>
            <w:webHidden/>
          </w:rPr>
          <w:t>5</w:t>
        </w:r>
        <w:r>
          <w:rPr>
            <w:noProof/>
            <w:webHidden/>
          </w:rPr>
          <w:fldChar w:fldCharType="end"/>
        </w:r>
      </w:hyperlink>
    </w:p>
    <w:p w14:paraId="0054C53C" w14:textId="3BE15CE0" w:rsidR="004C17D3" w:rsidRDefault="004C17D3">
      <w:pPr>
        <w:pStyle w:val="TOC1"/>
        <w:tabs>
          <w:tab w:val="right" w:leader="dot" w:pos="9016"/>
        </w:tabs>
        <w:rPr>
          <w:rFonts w:asciiTheme="minorHAnsi" w:eastAsiaTheme="minorEastAsia" w:hAnsiTheme="minorHAnsi"/>
          <w:noProof/>
          <w:kern w:val="2"/>
          <w:szCs w:val="24"/>
          <w:lang w:val="en-GB" w:eastAsia="ja-JP"/>
          <w14:ligatures w14:val="standardContextual"/>
        </w:rPr>
      </w:pPr>
      <w:hyperlink w:anchor="_Toc221042618" w:history="1">
        <w:r w:rsidRPr="008068EC">
          <w:rPr>
            <w:rStyle w:val="Hyperlink"/>
            <w:noProof/>
          </w:rPr>
          <w:t>Disability in the Gender Action Plan Persistent Gaps</w:t>
        </w:r>
        <w:r>
          <w:rPr>
            <w:noProof/>
            <w:webHidden/>
          </w:rPr>
          <w:tab/>
        </w:r>
        <w:r>
          <w:rPr>
            <w:noProof/>
            <w:webHidden/>
          </w:rPr>
          <w:fldChar w:fldCharType="begin"/>
        </w:r>
        <w:r>
          <w:rPr>
            <w:noProof/>
            <w:webHidden/>
          </w:rPr>
          <w:instrText xml:space="preserve"> PAGEREF _Toc221042618 \h </w:instrText>
        </w:r>
        <w:r>
          <w:rPr>
            <w:noProof/>
            <w:webHidden/>
          </w:rPr>
        </w:r>
        <w:r>
          <w:rPr>
            <w:noProof/>
            <w:webHidden/>
          </w:rPr>
          <w:fldChar w:fldCharType="separate"/>
        </w:r>
        <w:r>
          <w:rPr>
            <w:noProof/>
            <w:webHidden/>
          </w:rPr>
          <w:t>7</w:t>
        </w:r>
        <w:r>
          <w:rPr>
            <w:noProof/>
            <w:webHidden/>
          </w:rPr>
          <w:fldChar w:fldCharType="end"/>
        </w:r>
      </w:hyperlink>
    </w:p>
    <w:p w14:paraId="4F1F2C18" w14:textId="65B74169" w:rsidR="004C17D3" w:rsidRDefault="004C17D3">
      <w:pPr>
        <w:pStyle w:val="TOC1"/>
        <w:tabs>
          <w:tab w:val="right" w:leader="dot" w:pos="9016"/>
        </w:tabs>
        <w:rPr>
          <w:rFonts w:asciiTheme="minorHAnsi" w:eastAsiaTheme="minorEastAsia" w:hAnsiTheme="minorHAnsi"/>
          <w:noProof/>
          <w:kern w:val="2"/>
          <w:szCs w:val="24"/>
          <w:lang w:val="en-GB" w:eastAsia="ja-JP"/>
          <w14:ligatures w14:val="standardContextual"/>
        </w:rPr>
      </w:pPr>
      <w:hyperlink w:anchor="_Toc221042619" w:history="1">
        <w:r w:rsidRPr="008068EC">
          <w:rPr>
            <w:rStyle w:val="Hyperlink"/>
            <w:noProof/>
          </w:rPr>
          <w:t>Policy Recommendations</w:t>
        </w:r>
        <w:r>
          <w:rPr>
            <w:noProof/>
            <w:webHidden/>
          </w:rPr>
          <w:tab/>
        </w:r>
        <w:r>
          <w:rPr>
            <w:noProof/>
            <w:webHidden/>
          </w:rPr>
          <w:fldChar w:fldCharType="begin"/>
        </w:r>
        <w:r>
          <w:rPr>
            <w:noProof/>
            <w:webHidden/>
          </w:rPr>
          <w:instrText xml:space="preserve"> PAGEREF _Toc221042619 \h </w:instrText>
        </w:r>
        <w:r>
          <w:rPr>
            <w:noProof/>
            <w:webHidden/>
          </w:rPr>
        </w:r>
        <w:r>
          <w:rPr>
            <w:noProof/>
            <w:webHidden/>
          </w:rPr>
          <w:fldChar w:fldCharType="separate"/>
        </w:r>
        <w:r>
          <w:rPr>
            <w:noProof/>
            <w:webHidden/>
          </w:rPr>
          <w:t>9</w:t>
        </w:r>
        <w:r>
          <w:rPr>
            <w:noProof/>
            <w:webHidden/>
          </w:rPr>
          <w:fldChar w:fldCharType="end"/>
        </w:r>
      </w:hyperlink>
    </w:p>
    <w:p w14:paraId="79EB6F61" w14:textId="5EB643FC" w:rsidR="004C17D3" w:rsidRDefault="004C17D3">
      <w:pPr>
        <w:pStyle w:val="TOC1"/>
        <w:tabs>
          <w:tab w:val="right" w:leader="dot" w:pos="9016"/>
        </w:tabs>
        <w:rPr>
          <w:rFonts w:asciiTheme="minorHAnsi" w:eastAsiaTheme="minorEastAsia" w:hAnsiTheme="minorHAnsi"/>
          <w:noProof/>
          <w:kern w:val="2"/>
          <w:szCs w:val="24"/>
          <w:lang w:val="en-GB" w:eastAsia="ja-JP"/>
          <w14:ligatures w14:val="standardContextual"/>
        </w:rPr>
      </w:pPr>
      <w:hyperlink w:anchor="_Toc221042620" w:history="1">
        <w:r w:rsidRPr="008068EC">
          <w:rPr>
            <w:rStyle w:val="Hyperlink"/>
            <w:noProof/>
          </w:rPr>
          <w:t>References</w:t>
        </w:r>
        <w:r>
          <w:rPr>
            <w:noProof/>
            <w:webHidden/>
          </w:rPr>
          <w:tab/>
        </w:r>
        <w:r>
          <w:rPr>
            <w:noProof/>
            <w:webHidden/>
          </w:rPr>
          <w:fldChar w:fldCharType="begin"/>
        </w:r>
        <w:r>
          <w:rPr>
            <w:noProof/>
            <w:webHidden/>
          </w:rPr>
          <w:instrText xml:space="preserve"> PAGEREF _Toc221042620 \h </w:instrText>
        </w:r>
        <w:r>
          <w:rPr>
            <w:noProof/>
            <w:webHidden/>
          </w:rPr>
        </w:r>
        <w:r>
          <w:rPr>
            <w:noProof/>
            <w:webHidden/>
          </w:rPr>
          <w:fldChar w:fldCharType="separate"/>
        </w:r>
        <w:r>
          <w:rPr>
            <w:noProof/>
            <w:webHidden/>
          </w:rPr>
          <w:t>11</w:t>
        </w:r>
        <w:r>
          <w:rPr>
            <w:noProof/>
            <w:webHidden/>
          </w:rPr>
          <w:fldChar w:fldCharType="end"/>
        </w:r>
      </w:hyperlink>
    </w:p>
    <w:p w14:paraId="581CE295" w14:textId="6DE79763" w:rsidR="004C17D3" w:rsidRDefault="004C17D3">
      <w:pPr>
        <w:pStyle w:val="TOC1"/>
        <w:tabs>
          <w:tab w:val="right" w:leader="dot" w:pos="9016"/>
        </w:tabs>
        <w:rPr>
          <w:rFonts w:asciiTheme="minorHAnsi" w:eastAsiaTheme="minorEastAsia" w:hAnsiTheme="minorHAnsi"/>
          <w:noProof/>
          <w:kern w:val="2"/>
          <w:szCs w:val="24"/>
          <w:lang w:val="en-GB" w:eastAsia="ja-JP"/>
          <w14:ligatures w14:val="standardContextual"/>
        </w:rPr>
      </w:pPr>
      <w:hyperlink w:anchor="_Toc221042621" w:history="1">
        <w:r w:rsidRPr="008068EC">
          <w:rPr>
            <w:rStyle w:val="Hyperlink"/>
            <w:noProof/>
          </w:rPr>
          <w:t>Document credits</w:t>
        </w:r>
        <w:r>
          <w:rPr>
            <w:noProof/>
            <w:webHidden/>
          </w:rPr>
          <w:tab/>
        </w:r>
        <w:r>
          <w:rPr>
            <w:noProof/>
            <w:webHidden/>
          </w:rPr>
          <w:fldChar w:fldCharType="begin"/>
        </w:r>
        <w:r>
          <w:rPr>
            <w:noProof/>
            <w:webHidden/>
          </w:rPr>
          <w:instrText xml:space="preserve"> PAGEREF _Toc221042621 \h </w:instrText>
        </w:r>
        <w:r>
          <w:rPr>
            <w:noProof/>
            <w:webHidden/>
          </w:rPr>
        </w:r>
        <w:r>
          <w:rPr>
            <w:noProof/>
            <w:webHidden/>
          </w:rPr>
          <w:fldChar w:fldCharType="separate"/>
        </w:r>
        <w:r>
          <w:rPr>
            <w:noProof/>
            <w:webHidden/>
          </w:rPr>
          <w:t>13</w:t>
        </w:r>
        <w:r>
          <w:rPr>
            <w:noProof/>
            <w:webHidden/>
          </w:rPr>
          <w:fldChar w:fldCharType="end"/>
        </w:r>
      </w:hyperlink>
    </w:p>
    <w:p w14:paraId="588D3280" w14:textId="672D6231" w:rsidR="001E0F08" w:rsidRDefault="00A9576D" w:rsidP="00282B80">
      <w:pPr>
        <w:pStyle w:val="Heading1"/>
      </w:pPr>
      <w:r>
        <w:fldChar w:fldCharType="end"/>
      </w:r>
      <w:bookmarkStart w:id="1" w:name="_Toc221042613"/>
      <w:r w:rsidR="001E0F08">
        <w:t>Introduction</w:t>
      </w:r>
      <w:bookmarkEnd w:id="1"/>
    </w:p>
    <w:p w14:paraId="70F30724" w14:textId="3C116A6C" w:rsidR="00282B80" w:rsidRDefault="00282B80" w:rsidP="00282B80">
      <w:pPr>
        <w:pStyle w:val="Heading3"/>
      </w:pPr>
      <w:r>
        <w:t>The European Disability Forum</w:t>
      </w:r>
    </w:p>
    <w:p w14:paraId="06C637A5" w14:textId="337D1381" w:rsidR="001E0F08" w:rsidRDefault="00282B80" w:rsidP="00282B80">
      <w:r w:rsidRPr="00282B80">
        <w:t xml:space="preserve">The European Disability Forum is an independent NGO that represents the interests of </w:t>
      </w:r>
      <w:r>
        <w:t>10</w:t>
      </w:r>
      <w:r w:rsidRPr="00282B80">
        <w:t xml:space="preserve">0 million Europeans with disabilities. EDF is a unique platform which brings together representative </w:t>
      </w:r>
      <w:proofErr w:type="spellStart"/>
      <w:r w:rsidRPr="00282B80">
        <w:t>organisation</w:t>
      </w:r>
      <w:proofErr w:type="spellEnd"/>
      <w:r w:rsidRPr="00282B80">
        <w:t xml:space="preserve"> of persons with disabilities from across Europe. EDF is run by persons with disabilities and their families. We are a strong, united voice of persons with disabilities in Europe.</w:t>
      </w:r>
    </w:p>
    <w:p w14:paraId="146AB979" w14:textId="77777777" w:rsidR="00583D06" w:rsidRPr="00583D06" w:rsidRDefault="00583D06" w:rsidP="00583D06">
      <w:pPr>
        <w:pStyle w:val="Heading3"/>
      </w:pPr>
      <w:r w:rsidRPr="00583D06">
        <w:t>Purpose of this paper</w:t>
      </w:r>
    </w:p>
    <w:p w14:paraId="5D5A01E4" w14:textId="5E095917" w:rsidR="00583D06" w:rsidRPr="00583D06" w:rsidRDefault="00583D06" w:rsidP="00583D06">
      <w:pPr>
        <w:rPr>
          <w:lang w:val="en-GB"/>
        </w:rPr>
      </w:pPr>
      <w:r w:rsidRPr="00583D06">
        <w:rPr>
          <w:lang w:val="en-GB"/>
        </w:rPr>
        <w:t>This paper was prepared to support the work of the UNFCCC Disability Caucus, commissioned by the European Disability Forum with funding from the Disability Rights Fund. It provides analysis and</w:t>
      </w:r>
      <w:r>
        <w:rPr>
          <w:lang w:val="en-GB"/>
        </w:rPr>
        <w:t xml:space="preserve"> key policy </w:t>
      </w:r>
      <w:r w:rsidRPr="00583D06">
        <w:rPr>
          <w:lang w:val="en-GB"/>
        </w:rPr>
        <w:t>recommendations to strengthen disability inclusion across key international climate policy areas within UNFCCC processes and mechanisms.</w:t>
      </w:r>
    </w:p>
    <w:p w14:paraId="6061FC13" w14:textId="5CC3BA74" w:rsidR="00282B80" w:rsidRDefault="00282B80" w:rsidP="00282B80">
      <w:pPr>
        <w:pStyle w:val="Heading3"/>
      </w:pPr>
      <w:r>
        <w:t>Acknowledgements</w:t>
      </w:r>
    </w:p>
    <w:p w14:paraId="5BD4DAA4" w14:textId="36956C2E" w:rsidR="00282B80" w:rsidRDefault="00282B80" w:rsidP="00282B80">
      <w:r>
        <w:t>Thanks to all who participated in the drafting of this position paper.</w:t>
      </w:r>
    </w:p>
    <w:p w14:paraId="5F2DC615" w14:textId="55C8A389" w:rsidR="00282B80" w:rsidRDefault="00282B80" w:rsidP="00282B80">
      <w:pPr>
        <w:pStyle w:val="Heading2"/>
      </w:pPr>
      <w:bookmarkStart w:id="2" w:name="_Toc221042614"/>
      <w:r>
        <w:t>Executive Summary</w:t>
      </w:r>
      <w:bookmarkEnd w:id="2"/>
    </w:p>
    <w:p w14:paraId="4BA3EB54" w14:textId="77777777" w:rsidR="0071723F" w:rsidRPr="0071723F" w:rsidRDefault="0071723F" w:rsidP="0071723F">
      <w:pPr>
        <w:spacing w:before="120" w:after="240"/>
        <w:rPr>
          <w:lang w:val="en-GB"/>
        </w:rPr>
      </w:pPr>
      <w:r w:rsidRPr="0071723F">
        <w:rPr>
          <w:lang w:val="en-GB"/>
        </w:rPr>
        <w:t xml:space="preserve">The Lima Work Programme on Gender (LWPG) and its Gender Action Plans (GAPs) are the main instruments for integrating gender into UNFCCC governance. While these frameworks have established mandates, </w:t>
      </w:r>
      <w:r w:rsidRPr="0071723F">
        <w:rPr>
          <w:lang w:val="en-GB"/>
        </w:rPr>
        <w:lastRenderedPageBreak/>
        <w:t>processes, and review cycles for gender, disability inclusion is not embedded within their operational design.</w:t>
      </w:r>
    </w:p>
    <w:p w14:paraId="6A87D439" w14:textId="77777777" w:rsidR="0071723F" w:rsidRPr="0071723F" w:rsidRDefault="0071723F" w:rsidP="0071723F">
      <w:pPr>
        <w:spacing w:before="120" w:after="240"/>
        <w:rPr>
          <w:lang w:val="en-GB"/>
        </w:rPr>
      </w:pPr>
      <w:r w:rsidRPr="0071723F">
        <w:rPr>
          <w:lang w:val="en-GB"/>
        </w:rPr>
        <w:t>Although persons with disabilities are referenced in LWPG and GAP framing and preambular language, this recognition has not been translated into concrete requirements. Disability is absent from GAP priority areas, indicators, accessibility standards, reporting templates, and review criteria. As a result, participation, accessibility, and outcomes for persons with disabilities are not measured, reported, or reviewed within UNFCCC gender processes.</w:t>
      </w:r>
    </w:p>
    <w:p w14:paraId="77E57F52" w14:textId="77777777" w:rsidR="0071723F" w:rsidRPr="0071723F" w:rsidRDefault="0071723F" w:rsidP="0071723F">
      <w:pPr>
        <w:spacing w:before="120" w:after="240"/>
        <w:rPr>
          <w:lang w:val="en-GB"/>
        </w:rPr>
      </w:pPr>
      <w:r w:rsidRPr="0071723F">
        <w:rPr>
          <w:lang w:val="en-GB"/>
        </w:rPr>
        <w:t xml:space="preserve">This paper calls for disability inclusion to be embedded as a structural component of the LWPG and its Gender Action Plans. </w:t>
      </w:r>
      <w:proofErr w:type="gramStart"/>
      <w:r w:rsidRPr="0071723F">
        <w:rPr>
          <w:lang w:val="en-GB"/>
        </w:rPr>
        <w:t>In particular, it</w:t>
      </w:r>
      <w:proofErr w:type="gramEnd"/>
      <w:r w:rsidRPr="0071723F">
        <w:rPr>
          <w:lang w:val="en-GB"/>
        </w:rPr>
        <w:t xml:space="preserve"> calls for:</w:t>
      </w:r>
    </w:p>
    <w:p w14:paraId="3A526D38" w14:textId="77777777" w:rsidR="0071723F" w:rsidRPr="0071723F" w:rsidRDefault="0071723F" w:rsidP="0071723F">
      <w:pPr>
        <w:numPr>
          <w:ilvl w:val="0"/>
          <w:numId w:val="8"/>
        </w:numPr>
        <w:spacing w:before="120" w:after="240"/>
        <w:rPr>
          <w:lang w:val="en-GB"/>
        </w:rPr>
      </w:pPr>
      <w:r w:rsidRPr="0071723F">
        <w:rPr>
          <w:lang w:val="en-GB"/>
        </w:rPr>
        <w:t xml:space="preserve">Disability-specific indicators and reporting requirements within GAP implementation and </w:t>
      </w:r>
      <w:proofErr w:type="gramStart"/>
      <w:r w:rsidRPr="0071723F">
        <w:rPr>
          <w:lang w:val="en-GB"/>
        </w:rPr>
        <w:t>review;</w:t>
      </w:r>
      <w:proofErr w:type="gramEnd"/>
    </w:p>
    <w:p w14:paraId="0734BDB6" w14:textId="77777777" w:rsidR="0071723F" w:rsidRPr="0071723F" w:rsidRDefault="0071723F" w:rsidP="0071723F">
      <w:pPr>
        <w:numPr>
          <w:ilvl w:val="0"/>
          <w:numId w:val="8"/>
        </w:numPr>
        <w:spacing w:before="120" w:after="240"/>
        <w:rPr>
          <w:lang w:val="en-GB"/>
        </w:rPr>
      </w:pPr>
      <w:r w:rsidRPr="0071723F">
        <w:rPr>
          <w:lang w:val="en-GB"/>
        </w:rPr>
        <w:t xml:space="preserve">Mandatory accessibility standards across UNFCCC gender </w:t>
      </w:r>
      <w:proofErr w:type="gramStart"/>
      <w:r w:rsidRPr="0071723F">
        <w:rPr>
          <w:lang w:val="en-GB"/>
        </w:rPr>
        <w:t>processes;</w:t>
      </w:r>
      <w:proofErr w:type="gramEnd"/>
    </w:p>
    <w:p w14:paraId="0D5EA3B8" w14:textId="77777777" w:rsidR="0071723F" w:rsidRPr="0071723F" w:rsidRDefault="0071723F" w:rsidP="0071723F">
      <w:pPr>
        <w:numPr>
          <w:ilvl w:val="0"/>
          <w:numId w:val="8"/>
        </w:numPr>
        <w:spacing w:before="120" w:after="240"/>
        <w:rPr>
          <w:lang w:val="en-GB"/>
        </w:rPr>
      </w:pPr>
      <w:r w:rsidRPr="0071723F">
        <w:rPr>
          <w:lang w:val="en-GB"/>
        </w:rPr>
        <w:t xml:space="preserve">Integration of disability-disaggregated data into gender reporting and </w:t>
      </w:r>
      <w:proofErr w:type="gramStart"/>
      <w:r w:rsidRPr="0071723F">
        <w:rPr>
          <w:lang w:val="en-GB"/>
        </w:rPr>
        <w:t>synthesis;</w:t>
      </w:r>
      <w:proofErr w:type="gramEnd"/>
    </w:p>
    <w:p w14:paraId="02BB90F4" w14:textId="77777777" w:rsidR="0071723F" w:rsidRPr="0071723F" w:rsidRDefault="0071723F" w:rsidP="0071723F">
      <w:pPr>
        <w:numPr>
          <w:ilvl w:val="0"/>
          <w:numId w:val="8"/>
        </w:numPr>
        <w:spacing w:before="120" w:after="240"/>
        <w:rPr>
          <w:lang w:val="en-GB"/>
        </w:rPr>
      </w:pPr>
      <w:r w:rsidRPr="0071723F">
        <w:rPr>
          <w:lang w:val="en-GB"/>
        </w:rPr>
        <w:t>Systematic participation of organisations of persons with disabilities in LWPG governance.</w:t>
      </w:r>
    </w:p>
    <w:p w14:paraId="76C9EDD7" w14:textId="64AAEC1A" w:rsidR="007621F4" w:rsidRPr="007621F4" w:rsidRDefault="0071723F" w:rsidP="00583D06">
      <w:pPr>
        <w:spacing w:before="120" w:after="240"/>
        <w:rPr>
          <w:lang w:val="en-GB"/>
        </w:rPr>
      </w:pPr>
      <w:r w:rsidRPr="0071723F">
        <w:rPr>
          <w:lang w:val="en-GB"/>
        </w:rPr>
        <w:t>Embedding disability within the LWPG is necessary to move UNFCCC gender frameworks from recognition to accountability and ensure inclusive climate governance.</w:t>
      </w:r>
      <w:r w:rsidR="007621F4">
        <w:rPr>
          <w:lang w:val="en-GB"/>
        </w:rPr>
        <w:t xml:space="preserve"> </w:t>
      </w:r>
    </w:p>
    <w:p w14:paraId="51312255" w14:textId="657C81D9" w:rsidR="00A9576D" w:rsidRDefault="00A9576D" w:rsidP="00A9576D">
      <w:pPr>
        <w:pStyle w:val="Heading1"/>
        <w:pageBreakBefore/>
      </w:pPr>
      <w:bookmarkStart w:id="3" w:name="_Toc221042615"/>
      <w:r>
        <w:lastRenderedPageBreak/>
        <w:t>Easy to Read</w:t>
      </w:r>
      <w:bookmarkEnd w:id="3"/>
    </w:p>
    <w:tbl>
      <w:tblPr>
        <w:tblStyle w:val="TableGrid"/>
        <w:tblW w:w="0" w:type="auto"/>
        <w:tblLook w:val="04A0" w:firstRow="1" w:lastRow="0" w:firstColumn="1" w:lastColumn="0" w:noHBand="0" w:noVBand="1"/>
        <w:tblCaption w:val="Easy to read"/>
        <w:tblDescription w:val="Logo of Easy to read. This page is about (subject in simpler terms) in Easy to read. We could give a short translation of the executive summary as a good practice. This would increas the visibility of Easy to read amon policy makers and anyone else consulting the paper. Which by extension would increase the visibility of people with intellectual disabilities and other neurodivergent people. It also informs people of the option of asking for Easy to read translations should they need them. Document with an arrow pointing to an Easy to Read logo. If you want more of this document in Easy to Read, you can phone us at +32 2 282 46 00 or email us at info@edf-feph.org."/>
      </w:tblPr>
      <w:tblGrid>
        <w:gridCol w:w="1998"/>
        <w:gridCol w:w="2297"/>
        <w:gridCol w:w="4721"/>
      </w:tblGrid>
      <w:tr w:rsidR="006C1A26" w14:paraId="34FF9798" w14:textId="77777777" w:rsidTr="00E867EE">
        <w:tc>
          <w:tcPr>
            <w:tcW w:w="4106" w:type="dxa"/>
            <w:gridSpan w:val="2"/>
            <w:tcMar>
              <w:top w:w="144" w:type="dxa"/>
              <w:left w:w="144" w:type="dxa"/>
              <w:bottom w:w="144" w:type="dxa"/>
              <w:right w:w="144" w:type="dxa"/>
            </w:tcMar>
            <w:vAlign w:val="center"/>
          </w:tcPr>
          <w:p w14:paraId="7BC9EEB2" w14:textId="718E71F5" w:rsidR="00A9576D" w:rsidRDefault="00A9576D" w:rsidP="009277BC">
            <w:pPr>
              <w:jc w:val="center"/>
            </w:pPr>
            <w:r>
              <w:rPr>
                <w:noProof/>
              </w:rPr>
              <w:drawing>
                <wp:inline distT="0" distB="0" distL="0" distR="0" wp14:anchorId="6DD02333" wp14:editId="32ED1802">
                  <wp:extent cx="1219200" cy="12094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5990" cy="1216209"/>
                          </a:xfrm>
                          <a:prstGeom prst="rect">
                            <a:avLst/>
                          </a:prstGeom>
                          <a:noFill/>
                          <a:ln>
                            <a:noFill/>
                          </a:ln>
                        </pic:spPr>
                      </pic:pic>
                    </a:graphicData>
                  </a:graphic>
                </wp:inline>
              </w:drawing>
            </w:r>
          </w:p>
        </w:tc>
        <w:tc>
          <w:tcPr>
            <w:tcW w:w="4910" w:type="dxa"/>
            <w:tcMar>
              <w:top w:w="144" w:type="dxa"/>
              <w:left w:w="144" w:type="dxa"/>
              <w:bottom w:w="144" w:type="dxa"/>
              <w:right w:w="144" w:type="dxa"/>
            </w:tcMar>
            <w:vAlign w:val="center"/>
          </w:tcPr>
          <w:p w14:paraId="3EF5CF4F" w14:textId="4F66121E" w:rsidR="001B0218" w:rsidRDefault="001B0218" w:rsidP="001B0218">
            <w:pPr>
              <w:rPr>
                <w:rFonts w:ascii="Arial" w:hAnsi="Arial" w:cs="Arial"/>
                <w:sz w:val="32"/>
                <w:szCs w:val="32"/>
              </w:rPr>
            </w:pPr>
            <w:r w:rsidRPr="001B0218">
              <w:rPr>
                <w:rFonts w:ascii="Arial" w:hAnsi="Arial" w:cs="Arial"/>
                <w:sz w:val="32"/>
                <w:szCs w:val="32"/>
              </w:rPr>
              <w:t>This paper looks at disability and gender in UN</w:t>
            </w:r>
            <w:r>
              <w:rPr>
                <w:rFonts w:ascii="Arial" w:hAnsi="Arial" w:cs="Arial"/>
                <w:sz w:val="32"/>
                <w:szCs w:val="32"/>
              </w:rPr>
              <w:t>FCCC</w:t>
            </w:r>
            <w:r w:rsidRPr="001B0218">
              <w:rPr>
                <w:rFonts w:ascii="Arial" w:hAnsi="Arial" w:cs="Arial"/>
                <w:sz w:val="32"/>
                <w:szCs w:val="32"/>
              </w:rPr>
              <w:t>.</w:t>
            </w:r>
          </w:p>
          <w:p w14:paraId="5248C5FE" w14:textId="77777777" w:rsidR="001B0218" w:rsidRPr="001B0218" w:rsidRDefault="001B0218" w:rsidP="001B0218">
            <w:pPr>
              <w:rPr>
                <w:rFonts w:ascii="Arial" w:hAnsi="Arial" w:cs="Arial"/>
                <w:sz w:val="32"/>
                <w:szCs w:val="32"/>
              </w:rPr>
            </w:pPr>
          </w:p>
          <w:p w14:paraId="0CD726FE" w14:textId="1095E18C" w:rsidR="00E867EE" w:rsidRPr="003C78D1" w:rsidRDefault="001B0218" w:rsidP="001B0218">
            <w:pPr>
              <w:rPr>
                <w:rFonts w:ascii="Arial" w:hAnsi="Arial" w:cs="Arial"/>
                <w:sz w:val="32"/>
                <w:szCs w:val="32"/>
              </w:rPr>
            </w:pPr>
            <w:r w:rsidRPr="001B0218">
              <w:rPr>
                <w:rFonts w:ascii="Arial" w:hAnsi="Arial" w:cs="Arial"/>
                <w:sz w:val="32"/>
                <w:szCs w:val="32"/>
              </w:rPr>
              <w:t xml:space="preserve">It explains what </w:t>
            </w:r>
            <w:r w:rsidR="00311EFE">
              <w:rPr>
                <w:rFonts w:ascii="Arial" w:hAnsi="Arial" w:cs="Arial"/>
                <w:sz w:val="32"/>
                <w:szCs w:val="32"/>
              </w:rPr>
              <w:t>the Lima Work Programme on Gender and its Gender Action Plans</w:t>
            </w:r>
            <w:r w:rsidRPr="001B0218">
              <w:rPr>
                <w:rFonts w:ascii="Arial" w:hAnsi="Arial" w:cs="Arial"/>
                <w:sz w:val="32"/>
                <w:szCs w:val="32"/>
              </w:rPr>
              <w:t xml:space="preserve">, what is missing </w:t>
            </w:r>
            <w:proofErr w:type="gramStart"/>
            <w:r w:rsidRPr="001B0218">
              <w:rPr>
                <w:rFonts w:ascii="Arial" w:hAnsi="Arial" w:cs="Arial"/>
                <w:sz w:val="32"/>
                <w:szCs w:val="32"/>
              </w:rPr>
              <w:t>on</w:t>
            </w:r>
            <w:proofErr w:type="gramEnd"/>
            <w:r w:rsidRPr="001B0218">
              <w:rPr>
                <w:rFonts w:ascii="Arial" w:hAnsi="Arial" w:cs="Arial"/>
                <w:sz w:val="32"/>
                <w:szCs w:val="32"/>
              </w:rPr>
              <w:t xml:space="preserve"> disability, and what needs to change to make them inclusive and accountable.</w:t>
            </w:r>
          </w:p>
        </w:tc>
      </w:tr>
      <w:tr w:rsidR="009277BC" w14:paraId="7BF13665" w14:textId="77777777" w:rsidTr="00E867EE">
        <w:trPr>
          <w:trHeight w:val="1228"/>
        </w:trPr>
        <w:tc>
          <w:tcPr>
            <w:tcW w:w="1998" w:type="dxa"/>
            <w:tcMar>
              <w:top w:w="144" w:type="dxa"/>
              <w:left w:w="144" w:type="dxa"/>
              <w:bottom w:w="144" w:type="dxa"/>
              <w:right w:w="144" w:type="dxa"/>
            </w:tcMar>
            <w:vAlign w:val="center"/>
          </w:tcPr>
          <w:p w14:paraId="77AF21B1" w14:textId="49A87C40" w:rsidR="00E41423" w:rsidRDefault="00E41423" w:rsidP="00A9576D">
            <w:r>
              <w:rPr>
                <w:noProof/>
              </w:rPr>
              <w:drawing>
                <wp:inline distT="0" distB="0" distL="0" distR="0" wp14:anchorId="3968EF6F" wp14:editId="75A6440C">
                  <wp:extent cx="1079500" cy="1079500"/>
                  <wp:effectExtent l="0" t="0" r="6350" b="6350"/>
                  <wp:docPr id="11" name="Picture 11" descr="Document with arrow pointing away from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tc>
        <w:tc>
          <w:tcPr>
            <w:tcW w:w="2108" w:type="dxa"/>
            <w:vAlign w:val="center"/>
          </w:tcPr>
          <w:p w14:paraId="0FA8123C" w14:textId="452853A3" w:rsidR="00E41423" w:rsidRDefault="00E41423" w:rsidP="009277BC">
            <w:pPr>
              <w:jc w:val="center"/>
            </w:pPr>
            <w:r>
              <w:rPr>
                <w:noProof/>
              </w:rPr>
              <w:drawing>
                <wp:inline distT="0" distB="0" distL="0" distR="0" wp14:anchorId="371D7D1E" wp14:editId="1172F291">
                  <wp:extent cx="977463" cy="969665"/>
                  <wp:effectExtent l="0" t="0" r="0" b="1905"/>
                  <wp:docPr id="10" name="Picture 10" descr="Easy to r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6373" cy="978504"/>
                          </a:xfrm>
                          <a:prstGeom prst="rect">
                            <a:avLst/>
                          </a:prstGeom>
                          <a:noFill/>
                          <a:ln>
                            <a:noFill/>
                          </a:ln>
                        </pic:spPr>
                      </pic:pic>
                    </a:graphicData>
                  </a:graphic>
                </wp:inline>
              </w:drawing>
            </w:r>
          </w:p>
        </w:tc>
        <w:tc>
          <w:tcPr>
            <w:tcW w:w="4910" w:type="dxa"/>
            <w:tcMar>
              <w:top w:w="144" w:type="dxa"/>
              <w:left w:w="144" w:type="dxa"/>
              <w:bottom w:w="144" w:type="dxa"/>
              <w:right w:w="144" w:type="dxa"/>
            </w:tcMar>
            <w:vAlign w:val="center"/>
          </w:tcPr>
          <w:p w14:paraId="3DD05247" w14:textId="3BCA21C8" w:rsidR="00E41423" w:rsidRPr="00E41423" w:rsidRDefault="00E41423" w:rsidP="00E41423">
            <w:pPr>
              <w:rPr>
                <w:rFonts w:ascii="Arial" w:hAnsi="Arial" w:cs="Arial"/>
                <w:sz w:val="32"/>
                <w:szCs w:val="32"/>
              </w:rPr>
            </w:pPr>
            <w:r w:rsidRPr="003C78D1">
              <w:rPr>
                <w:rFonts w:ascii="Arial" w:hAnsi="Arial" w:cs="Arial"/>
                <w:sz w:val="32"/>
                <w:szCs w:val="32"/>
              </w:rPr>
              <w:t>If you want more of this document in Easy to Read,</w:t>
            </w:r>
          </w:p>
        </w:tc>
      </w:tr>
      <w:tr w:rsidR="009277BC" w14:paraId="0D369D03" w14:textId="77777777" w:rsidTr="00E867EE">
        <w:trPr>
          <w:trHeight w:val="1226"/>
        </w:trPr>
        <w:tc>
          <w:tcPr>
            <w:tcW w:w="1998" w:type="dxa"/>
            <w:tcMar>
              <w:top w:w="144" w:type="dxa"/>
              <w:left w:w="144" w:type="dxa"/>
              <w:bottom w:w="144" w:type="dxa"/>
              <w:right w:w="144" w:type="dxa"/>
            </w:tcMar>
            <w:vAlign w:val="center"/>
          </w:tcPr>
          <w:p w14:paraId="42D54444" w14:textId="77777777" w:rsidR="009277BC" w:rsidRDefault="009277BC" w:rsidP="001E0F08">
            <w:pPr>
              <w:jc w:val="center"/>
              <w:rPr>
                <w:rFonts w:ascii="Arial" w:hAnsi="Arial" w:cs="Arial"/>
                <w:b/>
                <w:bCs/>
                <w:sz w:val="32"/>
                <w:szCs w:val="32"/>
              </w:rPr>
            </w:pPr>
            <w:r>
              <w:rPr>
                <w:noProof/>
              </w:rPr>
              <w:drawing>
                <wp:inline distT="0" distB="0" distL="0" distR="0" wp14:anchorId="3780A39A" wp14:editId="7E941558">
                  <wp:extent cx="1013988" cy="1013988"/>
                  <wp:effectExtent l="0" t="0" r="0" b="0"/>
                  <wp:docPr id="17" name="Picture 17"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one, Telephone, Emergency, Line, Handset, Receiv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5657" cy="1025657"/>
                          </a:xfrm>
                          <a:prstGeom prst="rect">
                            <a:avLst/>
                          </a:prstGeom>
                          <a:noFill/>
                          <a:ln>
                            <a:noFill/>
                          </a:ln>
                        </pic:spPr>
                      </pic:pic>
                    </a:graphicData>
                  </a:graphic>
                </wp:inline>
              </w:drawing>
            </w:r>
          </w:p>
          <w:p w14:paraId="6C4632F7" w14:textId="0AA8AED0" w:rsidR="009277BC" w:rsidRDefault="009277BC" w:rsidP="001E0F08">
            <w:pPr>
              <w:jc w:val="center"/>
              <w:rPr>
                <w:rFonts w:ascii="Arial" w:hAnsi="Arial" w:cs="Arial"/>
                <w:b/>
                <w:bCs/>
                <w:sz w:val="32"/>
                <w:szCs w:val="32"/>
              </w:rPr>
            </w:pPr>
            <w:r w:rsidRPr="00E41423">
              <w:rPr>
                <w:rFonts w:ascii="Arial" w:hAnsi="Arial" w:cs="Arial"/>
                <w:b/>
                <w:bCs/>
                <w:sz w:val="32"/>
                <w:szCs w:val="32"/>
              </w:rPr>
              <w:t>+ 32 2 282 46 00</w:t>
            </w:r>
          </w:p>
        </w:tc>
        <w:tc>
          <w:tcPr>
            <w:tcW w:w="2108" w:type="dxa"/>
            <w:vAlign w:val="center"/>
          </w:tcPr>
          <w:p w14:paraId="0E16A3EE" w14:textId="77777777" w:rsidR="009277BC" w:rsidRDefault="009277BC" w:rsidP="001E0F08">
            <w:pPr>
              <w:jc w:val="center"/>
              <w:rPr>
                <w:b/>
                <w:bCs/>
              </w:rPr>
            </w:pPr>
            <w:r>
              <w:rPr>
                <w:noProof/>
              </w:rPr>
              <w:drawing>
                <wp:inline distT="0" distB="0" distL="0" distR="0" wp14:anchorId="03E55E14" wp14:editId="5A97A343">
                  <wp:extent cx="1321806" cy="1321806"/>
                  <wp:effectExtent l="0" t="0" r="0" b="0"/>
                  <wp:docPr id="18" name="Picture 18"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il, Message, Email, Send Message, Contact, Envelop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0894" cy="1330894"/>
                          </a:xfrm>
                          <a:prstGeom prst="rect">
                            <a:avLst/>
                          </a:prstGeom>
                          <a:noFill/>
                          <a:ln>
                            <a:noFill/>
                          </a:ln>
                        </pic:spPr>
                      </pic:pic>
                    </a:graphicData>
                  </a:graphic>
                </wp:inline>
              </w:drawing>
            </w:r>
          </w:p>
          <w:p w14:paraId="6ACB5167" w14:textId="159B9F0E" w:rsidR="009277BC" w:rsidRPr="00E41423" w:rsidRDefault="009277BC" w:rsidP="001E0F08">
            <w:pPr>
              <w:jc w:val="center"/>
              <w:rPr>
                <w:b/>
                <w:bCs/>
              </w:rPr>
            </w:pPr>
            <w:hyperlink r:id="rId15" w:history="1">
              <w:r w:rsidRPr="008C480E">
                <w:rPr>
                  <w:rStyle w:val="Hyperlink"/>
                  <w:rFonts w:ascii="Arial" w:hAnsi="Arial" w:cs="Arial"/>
                  <w:b/>
                  <w:bCs/>
                  <w:sz w:val="32"/>
                  <w:szCs w:val="32"/>
                </w:rPr>
                <w:t>info@edf-feph.org</w:t>
              </w:r>
            </w:hyperlink>
          </w:p>
        </w:tc>
        <w:tc>
          <w:tcPr>
            <w:tcW w:w="4910" w:type="dxa"/>
            <w:tcMar>
              <w:top w:w="144" w:type="dxa"/>
              <w:left w:w="144" w:type="dxa"/>
              <w:bottom w:w="144" w:type="dxa"/>
              <w:right w:w="144" w:type="dxa"/>
            </w:tcMar>
            <w:vAlign w:val="center"/>
          </w:tcPr>
          <w:p w14:paraId="78D25F8F" w14:textId="77777777" w:rsidR="009277BC" w:rsidRPr="009277BC" w:rsidRDefault="009277BC" w:rsidP="009277BC">
            <w:pPr>
              <w:spacing w:before="240"/>
              <w:rPr>
                <w:rFonts w:ascii="Arial" w:hAnsi="Arial" w:cs="Arial"/>
                <w:b/>
                <w:bCs/>
                <w:sz w:val="32"/>
                <w:szCs w:val="32"/>
              </w:rPr>
            </w:pPr>
            <w:r w:rsidRPr="009277BC">
              <w:rPr>
                <w:rFonts w:ascii="Arial" w:hAnsi="Arial" w:cs="Arial"/>
                <w:sz w:val="32"/>
                <w:szCs w:val="32"/>
              </w:rPr>
              <w:t xml:space="preserve">You can phone us at </w:t>
            </w:r>
            <w:r w:rsidRPr="009277BC">
              <w:rPr>
                <w:rFonts w:ascii="Arial" w:hAnsi="Arial" w:cs="Arial"/>
                <w:sz w:val="32"/>
                <w:szCs w:val="32"/>
              </w:rPr>
              <w:br/>
            </w:r>
            <w:r w:rsidRPr="009277BC">
              <w:rPr>
                <w:rFonts w:ascii="Arial" w:hAnsi="Arial" w:cs="Arial"/>
                <w:b/>
                <w:bCs/>
                <w:sz w:val="32"/>
                <w:szCs w:val="32"/>
              </w:rPr>
              <w:t>+ 32 2 282 46 00</w:t>
            </w:r>
          </w:p>
          <w:p w14:paraId="14FEC775" w14:textId="081397B2" w:rsidR="009277BC" w:rsidRPr="009277BC" w:rsidRDefault="009277BC" w:rsidP="009277BC">
            <w:pPr>
              <w:spacing w:before="240"/>
              <w:rPr>
                <w:rFonts w:ascii="Arial" w:hAnsi="Arial" w:cs="Arial"/>
                <w:sz w:val="32"/>
                <w:szCs w:val="32"/>
              </w:rPr>
            </w:pPr>
            <w:r w:rsidRPr="009277BC">
              <w:rPr>
                <w:rFonts w:ascii="Arial" w:hAnsi="Arial" w:cs="Arial"/>
                <w:sz w:val="32"/>
                <w:szCs w:val="32"/>
              </w:rPr>
              <w:t>Or email us at</w:t>
            </w:r>
            <w:r w:rsidRPr="009277BC">
              <w:rPr>
                <w:rFonts w:ascii="Arial" w:hAnsi="Arial" w:cs="Arial"/>
                <w:sz w:val="32"/>
                <w:szCs w:val="32"/>
              </w:rPr>
              <w:br/>
            </w:r>
            <w:hyperlink r:id="rId16" w:history="1">
              <w:r w:rsidRPr="009277BC">
                <w:rPr>
                  <w:rStyle w:val="Hyperlink"/>
                  <w:rFonts w:ascii="Arial" w:hAnsi="Arial" w:cs="Arial"/>
                  <w:b/>
                  <w:bCs/>
                  <w:sz w:val="32"/>
                  <w:szCs w:val="32"/>
                </w:rPr>
                <w:t>info@edf-feph.org</w:t>
              </w:r>
            </w:hyperlink>
          </w:p>
        </w:tc>
      </w:tr>
    </w:tbl>
    <w:p w14:paraId="1ACE0EAB" w14:textId="77777777" w:rsidR="00FD6885" w:rsidRPr="00E471D6" w:rsidRDefault="00FD6885" w:rsidP="00FD6885">
      <w:pPr>
        <w:spacing w:after="0" w:line="276" w:lineRule="auto"/>
        <w:rPr>
          <w:rFonts w:asciiTheme="majorHAnsi" w:hAnsiTheme="majorHAnsi" w:cs="Segoe UI"/>
          <w:smallCaps/>
          <w:color w:val="767171" w:themeColor="background2" w:themeShade="80"/>
          <w:sz w:val="28"/>
          <w:szCs w:val="28"/>
        </w:rPr>
      </w:pPr>
      <w:r>
        <w:t xml:space="preserve"> </w:t>
      </w:r>
      <w:r w:rsidRPr="00B556BC">
        <w:rPr>
          <w:rFonts w:asciiTheme="majorHAnsi" w:hAnsiTheme="majorHAnsi" w:cs="Segoe UI"/>
          <w:smallCaps/>
          <w:color w:val="767171" w:themeColor="background2" w:themeShade="80"/>
          <w:sz w:val="28"/>
          <w:szCs w:val="28"/>
        </w:rPr>
        <w:t>Disability and Gender as Essential Climate Priorities</w:t>
      </w:r>
    </w:p>
    <w:p w14:paraId="246B26F3" w14:textId="77777777" w:rsidR="00FD6885" w:rsidRPr="00E471D6" w:rsidRDefault="00FD6885" w:rsidP="00FD6885">
      <w:pPr>
        <w:spacing w:after="0" w:line="276" w:lineRule="auto"/>
        <w:rPr>
          <w:rFonts w:asciiTheme="majorHAnsi" w:hAnsiTheme="majorHAnsi" w:cs="Segoe UI"/>
          <w:smallCaps/>
          <w:color w:val="767171" w:themeColor="background2" w:themeShade="80"/>
          <w:sz w:val="28"/>
          <w:szCs w:val="28"/>
        </w:rPr>
      </w:pPr>
      <w:r w:rsidRPr="00B556BC">
        <w:rPr>
          <w:rFonts w:asciiTheme="majorHAnsi" w:hAnsiTheme="majorHAnsi" w:cs="Segoe UI"/>
          <w:smallCaps/>
          <w:color w:val="767171" w:themeColor="background2" w:themeShade="80"/>
          <w:sz w:val="28"/>
          <w:szCs w:val="28"/>
        </w:rPr>
        <w:t>Disability and Gender as Essential Climate Priorities</w:t>
      </w:r>
    </w:p>
    <w:p w14:paraId="2CFD1649" w14:textId="7F77BA61" w:rsidR="00282B80" w:rsidRDefault="002D455F" w:rsidP="004C17D3">
      <w:pPr>
        <w:pStyle w:val="Heading1"/>
        <w:pageBreakBefore/>
      </w:pPr>
      <w:bookmarkStart w:id="4" w:name="_Toc221042616"/>
      <w:r w:rsidRPr="002D455F">
        <w:lastRenderedPageBreak/>
        <w:t xml:space="preserve">Disability </w:t>
      </w:r>
      <w:r>
        <w:t>a</w:t>
      </w:r>
      <w:r w:rsidRPr="002D455F">
        <w:t>nd Gender as Essential Climate Priorities</w:t>
      </w:r>
      <w:bookmarkEnd w:id="4"/>
      <w:r>
        <w:t xml:space="preserve"> </w:t>
      </w:r>
    </w:p>
    <w:p w14:paraId="0F8EB2BC" w14:textId="77777777" w:rsidR="001133B3" w:rsidRDefault="001133B3" w:rsidP="001133B3">
      <w:r>
        <w:t>The Paris Agreement (2015) marked a new era in climate governance by embedding human rights and equity principles at the core of climate action. Its opening provisions remind Parties that climate change is a shared concern of humanity and that responses must respect and promote human rights obligations. These obligations extend to the rights of indigenous peoples, migrants, children, persons with disabilities, and others in vulnerable situations, while affirming commitments to gender equality, women’s empowerment, and intergenerational fairness.</w:t>
      </w:r>
    </w:p>
    <w:p w14:paraId="706B8DD1" w14:textId="77777777" w:rsidR="001133B3" w:rsidRDefault="001133B3" w:rsidP="001133B3">
      <w:r>
        <w:t>This recognition of disability in the Paris Agreement is significant because it positions both gender equality and disability inclusion as essential elements of climate policy rather than optional considerations. Similarly, capacity-building is framed as a participatory and cross-cutting process that must be gender-responsive and aligned with national needs.</w:t>
      </w:r>
    </w:p>
    <w:p w14:paraId="56F45961" w14:textId="692C7B9E" w:rsidR="001133B3" w:rsidRDefault="001133B3" w:rsidP="001133B3">
      <w:r>
        <w:t>Yet, despite this strong normative foundation, subsequent negotiation texts and national reports rarely move beyond tokenistic references. While gender has gained traction through the Lima Work Programme and its successive Gender Action Plans, disability remains largely absent from their operational structures. This gap underscores the need for a critical approach that acknowledges progress in gender mainstreaming while addressing the persistent exclusion of disability and identifying opportunities to embed disability inclusion into future UNFCCC processes.</w:t>
      </w:r>
    </w:p>
    <w:p w14:paraId="6E6042CF" w14:textId="372E32FA" w:rsidR="00B2632C" w:rsidRDefault="00B2632C" w:rsidP="00B2632C">
      <w:pPr>
        <w:pStyle w:val="Heading1"/>
      </w:pPr>
      <w:bookmarkStart w:id="5" w:name="_Toc221042617"/>
      <w:r>
        <w:t>Progress So Far</w:t>
      </w:r>
      <w:bookmarkEnd w:id="5"/>
    </w:p>
    <w:p w14:paraId="219A2848" w14:textId="320803AF" w:rsidR="000B1F49" w:rsidRPr="000B1F49" w:rsidRDefault="000B1F49" w:rsidP="000B1F49">
      <w:pPr>
        <w:pStyle w:val="Heading3"/>
      </w:pPr>
      <w:r>
        <w:t>The Lima Work Programme on Gender and Disability</w:t>
      </w:r>
    </w:p>
    <w:p w14:paraId="7DEFF129" w14:textId="77777777" w:rsidR="00B2632C" w:rsidRDefault="00B2632C" w:rsidP="00B2632C">
      <w:r>
        <w:t>The Lima Work Programme on Gender (LWPG), first adopted at COP 20 in 2014, marked a landmark step in embedding gender considerations into the UNFCCC process. It aimed to advance gender balance and integrate gender perspectives into climate policy and action. Over time, the LWPG has been extended and enhanced, most notably at COP 25 with the adoption of the first Gender Action Plan (GAP) structured around five priority areas: capacity-building, participation, coherence, implementation, and monitoring. These frameworks have undeniably advanced gender mainstreaming within climate governance. However, when examined through the lens of disability, the LWPG and its GAP reveal a persistent gap: disability inclusion remains largely absent from their operational structures.</w:t>
      </w:r>
    </w:p>
    <w:p w14:paraId="7903BCBC" w14:textId="2361BA2C" w:rsidR="00B2632C" w:rsidRDefault="00B2632C" w:rsidP="009E3061">
      <w:pPr>
        <w:pStyle w:val="Heading3"/>
      </w:pPr>
      <w:r>
        <w:lastRenderedPageBreak/>
        <w:t>Institutionalizing Gender Without Disability Inclusion</w:t>
      </w:r>
    </w:p>
    <w:p w14:paraId="1F6C6878" w14:textId="77777777" w:rsidR="00B2632C" w:rsidRDefault="00B2632C" w:rsidP="00B2632C">
      <w:r>
        <w:t>Early LWPG decisions emphasized coherence with international gender equality instruments such as CEDAW and the Beijing Declaration, but they did not reference intersectionality or disability. At COP 25, the enhanced LWPG acknowledged human rights obligations, including those of persons with disabilities, in its preamble. Yet this recognition did not translate into specific actions or outputs. The five priority areas of the GAP focused exclusively on gender, with no mechanisms to address disability or accessibility. Even amendments following the intermediate review at COP 27, which highlighted COVID-19’s impact on gender equality, failed to incorporate disability considerations despite the pandemic’s disproportionate effects on persons with disabilities.</w:t>
      </w:r>
    </w:p>
    <w:p w14:paraId="1CF073ED" w14:textId="77777777" w:rsidR="00B2632C" w:rsidRDefault="00B2632C" w:rsidP="00B2632C">
      <w:r>
        <w:t>The final review at COP 29 extended the LWPG for ten years and again acknowledged disability in its preamble. It encouraged UN entities to support Parties in mainstreaming gender- and age-disaggregated data but excluded disability-disaggregated data. This illustrates a recurring pattern—disability is recognized in text but excluded from implementation.</w:t>
      </w:r>
    </w:p>
    <w:p w14:paraId="4F9C04A4" w14:textId="5AA4D7C6" w:rsidR="00B2632C" w:rsidRDefault="00394F5A" w:rsidP="009E3061">
      <w:pPr>
        <w:pStyle w:val="Heading3"/>
      </w:pPr>
      <w:r>
        <w:t>Recognition Without Action Disability in LWPG and GAP</w:t>
      </w:r>
    </w:p>
    <w:p w14:paraId="2F6AF49A" w14:textId="77777777" w:rsidR="00B2632C" w:rsidRDefault="00B2632C" w:rsidP="00B2632C">
      <w:r>
        <w:t>Progress reports and synthesis documents provide some openings. Persons with disabilities are named among marginalized groups facing systemic discrimination, signalling baseline recognition within intersectional framing. Disability rights groups are listed as stakeholders to be engaged in future work programmes, and persons with disabilities are explicitly mentioned as beneficiaries of financial and technical support to enhance gender integration. These limited references create advocacy opportunities. They suggest that disability inclusion is not conceptually alien to the LWPG but has simply not been operationalized.</w:t>
      </w:r>
    </w:p>
    <w:p w14:paraId="35367670" w14:textId="047D10C8" w:rsidR="00B2632C" w:rsidRDefault="00B2632C" w:rsidP="00B2632C">
      <w:r>
        <w:t>The Belém Gender Action Plan (2026–2034), adopted at COP 30, continues this pattern. It acknowledges women with disabilities as facing differentiated climate impacts, embedding disability within intersectionality. Yet none of its priority areas (A–E) include disability-specific deliverables, indicators, or accountability mechanisms. Disability</w:t>
      </w:r>
      <w:r w:rsidR="00394F5A">
        <w:t xml:space="preserve"> is recognized in the preamble</w:t>
      </w:r>
      <w:r>
        <w:t xml:space="preserve"> but invisible in practice.</w:t>
      </w:r>
    </w:p>
    <w:p w14:paraId="43B5AA0B" w14:textId="056A6CE6" w:rsidR="00B2632C" w:rsidRDefault="00B2632C" w:rsidP="00B2632C">
      <w:r>
        <w:t>This trajectory highlights both progress and gaps. The LWPG has succeeded in institutionalizing gender mainstreaming, creating focal points, and embedding gender in NDCs and NAPs. However, disability inclusion has stalled at the level of recognition. There are no accessibility standards for UNFCCC processes, no disability-disaggregated data collection, no earmarked finance, and no mandate for focal points to integrate disability.</w:t>
      </w:r>
    </w:p>
    <w:p w14:paraId="2B20B291" w14:textId="61F9D1D2" w:rsidR="00C50D1B" w:rsidRDefault="00C50D1B" w:rsidP="00C50D1B">
      <w:pPr>
        <w:pStyle w:val="Heading1"/>
      </w:pPr>
      <w:bookmarkStart w:id="6" w:name="_Toc221042618"/>
      <w:r>
        <w:lastRenderedPageBreak/>
        <w:t>Disability in the Gender Action Plan Persistent Gaps</w:t>
      </w:r>
      <w:bookmarkEnd w:id="6"/>
    </w:p>
    <w:p w14:paraId="206F366D" w14:textId="6ADCD7EB" w:rsidR="00C50D1B" w:rsidRDefault="00C50D1B" w:rsidP="003344AB">
      <w:pPr>
        <w:pStyle w:val="Heading3"/>
      </w:pPr>
      <w:r>
        <w:t>Intersectionality Without Implementation</w:t>
      </w:r>
    </w:p>
    <w:p w14:paraId="6587AD97" w14:textId="77777777" w:rsidR="00C50D1B" w:rsidRDefault="00C50D1B" w:rsidP="00C50D1B">
      <w:r>
        <w:t>The intersection of disability and gender within the UNFCCC has remained consistently marginalized. While gender mainstreaming has made incremental progress through the Gender Action Plan (GAP), disability continues to be addressed indirectly, without distinct policy recognition or operational clarity. For persons with disabilities, the consequences are profound, as climate impacts deepen existing inequalities while their specific needs remain absent from adaptation, mitigation, and finance strategies.</w:t>
      </w:r>
    </w:p>
    <w:p w14:paraId="211B6A53" w14:textId="77777777" w:rsidR="00C50D1B" w:rsidRDefault="00C50D1B" w:rsidP="00C50D1B">
      <w:r>
        <w:t>Intersectionality is increasingly acknowledged as essential for climate justice, but its operationalization within UNFCCC processes remains shallow. Disability is named alongside race, sex, class, and indigeneity, yet there is no recognition of how climate change produces differentiated impacts for persons with disabilities. Evacuation routes remain inaccessible, livelihood programmes exclude persons with disabilities, and adaptation measures fail to account for diverse functional needs. The absence of disability disaggregated data compounds this invisibility, leaving policymakers without the evidence to design targeted interventions.</w:t>
      </w:r>
    </w:p>
    <w:p w14:paraId="03F2989E" w14:textId="2A7E78E4" w:rsidR="00C50D1B" w:rsidRDefault="0026430B" w:rsidP="003344AB">
      <w:pPr>
        <w:pStyle w:val="Heading3"/>
      </w:pPr>
      <w:r>
        <w:t>Financial Exclusion, Structural and Accessibility Gaps</w:t>
      </w:r>
    </w:p>
    <w:p w14:paraId="0CD58B51" w14:textId="5D0DEDC4" w:rsidR="00C50D1B" w:rsidRDefault="00C50D1B" w:rsidP="00C50D1B">
      <w:r>
        <w:t xml:space="preserve">Climate finance illustrates the problem clearly. UNFCCC financial mechanisms have adopted gender policies, but they lack disability inclusion criteria. Projects can claim to be gender </w:t>
      </w:r>
      <w:r w:rsidR="00DD5BA9">
        <w:t>responsive</w:t>
      </w:r>
      <w:r>
        <w:t xml:space="preserve"> while excluding persons with disabilities entirely. This is not </w:t>
      </w:r>
      <w:r w:rsidR="00AE5422">
        <w:t xml:space="preserve">just </w:t>
      </w:r>
      <w:r>
        <w:t>a technical oversight</w:t>
      </w:r>
      <w:r w:rsidR="00AE5422">
        <w:t xml:space="preserve"> but also </w:t>
      </w:r>
      <w:r w:rsidR="00C8656C">
        <w:t xml:space="preserve">exclusion of </w:t>
      </w:r>
      <w:r>
        <w:t>disability as a core criterion of effective climate action. Without explicit requirements, financial flows bypass persons with disabilities, reinforcing cycles of exclusion.</w:t>
      </w:r>
    </w:p>
    <w:p w14:paraId="774E5274" w14:textId="77777777" w:rsidR="00C50D1B" w:rsidRDefault="00C50D1B" w:rsidP="00C50D1B">
      <w:r>
        <w:t xml:space="preserve">Institutional structures further entrench these gaps. National gender focal points are mandated to mainstream gender, but disability is absent from their remit. This omission is critical: focal points are the linchpin of GAP implementation, yet they lack responsibility for disability inclusion. Accessibility standards are also missing across UNFCCC processes. Workshops, consultations, and reporting templates are rarely designed to be accessible, creating systemic barriers to participation for persons with physical, sensory, and psychosocial disabilities. Even where disability is acknowledged, such as in the preamble of the Belém Gender Action Plan, this recognition does not translate into practice. Disability inclusion is not reflected in activities, outputs, or indicators. As a result, recognition </w:t>
      </w:r>
      <w:proofErr w:type="gramStart"/>
      <w:r>
        <w:lastRenderedPageBreak/>
        <w:t>without</w:t>
      </w:r>
      <w:proofErr w:type="gramEnd"/>
      <w:r>
        <w:t xml:space="preserve"> implementation becomes tokenistic, undermining the credibility of intersectional climate governance.</w:t>
      </w:r>
    </w:p>
    <w:p w14:paraId="12BE168B" w14:textId="19E6004D" w:rsidR="00C50D1B" w:rsidRDefault="00C8656C" w:rsidP="003344AB">
      <w:pPr>
        <w:pStyle w:val="Heading3"/>
      </w:pPr>
      <w:r>
        <w:t>Evidence, Data, Participation and Policy Omissions</w:t>
      </w:r>
    </w:p>
    <w:p w14:paraId="21738347" w14:textId="77777777" w:rsidR="00C50D1B" w:rsidRDefault="00C50D1B" w:rsidP="00C50D1B">
      <w:r>
        <w:t>The 2024 synthesis report, prepared to guide the development of the third GAP, makes this omission even clearer. Disability is not mentioned as a priority area or reflected in proposed activities in future work proposals. Indicators remain gender only, tracking male/female participation while excluding disability status and accessibility measures. Financing and capacity building are discussed in gender terms but not linked to disability needs such as assistive technologies or accessible infrastructure. Disability is referenced in intersectional rights contexts — sexual and reproductive health, bodily autonomy, and social protection — but there is no systematic integration of disability rights frameworks such as the Convention on the Rights of Persons with Disabilities (CRPD).</w:t>
      </w:r>
    </w:p>
    <w:p w14:paraId="677FF7C8" w14:textId="77777777" w:rsidR="00C50D1B" w:rsidRDefault="00C50D1B" w:rsidP="00C50D1B">
      <w:r>
        <w:t>The Belém Gender Action Plan (2026–2034) continues this trajectory. Persons with disabilities are acknowledged in its preamble, but the recognition is symbolic. None of the priority areas include disability specific deliverables, indicators, or accountability mechanisms. Accessibility standards are absent, and finance references do not earmark resources for disability inclusion. The review cycle set for 2029 has no criteria for assessing disability integration, meaning that disability risks being overlooked once again.</w:t>
      </w:r>
    </w:p>
    <w:p w14:paraId="3351AE51" w14:textId="77777777" w:rsidR="00C50D1B" w:rsidRDefault="00C50D1B" w:rsidP="00C50D1B">
      <w:r>
        <w:t>This persistent exclusion matters because it undermines the promise of intersectionality. Climate change does not impact all people equally. Persons with disabilities face compounded risks: inaccessible shelters during disasters, exclusion from adaptation programmes, barriers to participation in governance, and disproportionate impacts on health and livelihoods. Yet the UNFCCC continues to treat disability as peripheral, failing to embed it within the structures that have successfully advanced gender.</w:t>
      </w:r>
    </w:p>
    <w:p w14:paraId="5F991A2A" w14:textId="375B2DBD" w:rsidR="00C50D1B" w:rsidRDefault="00746A31" w:rsidP="003344AB">
      <w:pPr>
        <w:pStyle w:val="Heading3"/>
      </w:pPr>
      <w:r>
        <w:t>The Cycle of Invisibility and Accountability Failure</w:t>
      </w:r>
    </w:p>
    <w:p w14:paraId="0F8D94B4" w14:textId="77777777" w:rsidR="00C50D1B" w:rsidRDefault="00C50D1B" w:rsidP="00C50D1B">
      <w:r>
        <w:t>The absence of disability-specific indicators makes progress impossible to measure, while the lack of accessibility standards undermines meaningful participation. At the same time, the omission of disability from finance criteria prevents resources from being allocated to address these barriers. Together, these gaps create a cycle of invisibility: without data, there is no evidence; without evidence, there is no policy; and without policy, there is no accountability.</w:t>
      </w:r>
    </w:p>
    <w:p w14:paraId="458E6FE4" w14:textId="77777777" w:rsidR="00C50D1B" w:rsidRDefault="00C50D1B" w:rsidP="00C50D1B">
      <w:r>
        <w:t xml:space="preserve">The trajectory of the GAP shows that disability inclusion has stalled at the level of recognition. Gender has been operationalized through structured </w:t>
      </w:r>
      <w:r>
        <w:lastRenderedPageBreak/>
        <w:t>activities, indicators, and reporting, while disability has remained rhetorical. Unless this imbalance is corrected, the UNFCCC will continue to perpetuate tokenism rather than substantive inclusion. The 2029 review of the Belém GAP and the LWPG provides a critical timeline for accountability. If disability is not embedded before this review, it risks being sidelined for another decade.</w:t>
      </w:r>
    </w:p>
    <w:p w14:paraId="7EFEFF5B" w14:textId="04676801" w:rsidR="00C50D1B" w:rsidRDefault="00C50D1B" w:rsidP="00C50D1B">
      <w:r>
        <w:t xml:space="preserve">The identification of persistent gaps in disability inclusion within the Gender Action Plan makes clear that reform cannot be achieved through recognition alone. What is required is a deliberate process of embedding disability into the structures that have successfully advanced gender. The entry point lies in transforming existing mechanisms — the GAP, national reporting systems, and climate finance criteria — so that disability is no longer treated as a peripheral concern but as a substantive dimension of climate governance. This process is not about creating parallel tracks; it is about integrating disability into the mainstream of UNFCCC work through </w:t>
      </w:r>
      <w:proofErr w:type="gramStart"/>
      <w:r>
        <w:t>rights based</w:t>
      </w:r>
      <w:proofErr w:type="gramEnd"/>
      <w:r>
        <w:t xml:space="preserve"> reforms, participatory governance, and intersectional policy design.</w:t>
      </w:r>
    </w:p>
    <w:p w14:paraId="1154337A" w14:textId="77777777" w:rsidR="00F25172" w:rsidRDefault="00F25172" w:rsidP="00F25172">
      <w:pPr>
        <w:pStyle w:val="Heading1"/>
      </w:pPr>
      <w:bookmarkStart w:id="7" w:name="_Toc221042619"/>
      <w:r w:rsidRPr="00AD4786">
        <w:t>Policy Recommendations</w:t>
      </w:r>
      <w:bookmarkEnd w:id="7"/>
    </w:p>
    <w:p w14:paraId="012F4C0A" w14:textId="498C8A1C" w:rsidR="0059006F" w:rsidRDefault="00A765F0" w:rsidP="00A765F0">
      <w:pPr>
        <w:pStyle w:val="Heading3"/>
      </w:pPr>
      <w:r>
        <w:t>Explicitly Integrate Disability into Disability in LWPG and GAP Framework</w:t>
      </w:r>
    </w:p>
    <w:p w14:paraId="285DD019" w14:textId="77777777" w:rsidR="00A765F0" w:rsidRDefault="0059006F" w:rsidP="0059006F">
      <w:pPr>
        <w:pStyle w:val="ListParagraph"/>
        <w:numPr>
          <w:ilvl w:val="0"/>
          <w:numId w:val="9"/>
        </w:numPr>
        <w:spacing w:after="0"/>
      </w:pPr>
      <w:r>
        <w:t>Amend the Gender Action Plan to recognize disability as a distinct and substantive dimension of gender equality, rather than addressing it indirectly through broad intersectional framing.</w:t>
      </w:r>
    </w:p>
    <w:p w14:paraId="65B6F85B" w14:textId="4B1E6AFF" w:rsidR="00A765F0" w:rsidRDefault="0059006F" w:rsidP="0059006F">
      <w:pPr>
        <w:pStyle w:val="ListParagraph"/>
        <w:numPr>
          <w:ilvl w:val="0"/>
          <w:numId w:val="9"/>
        </w:numPr>
        <w:spacing w:after="0"/>
      </w:pPr>
      <w:r>
        <w:t xml:space="preserve">Require that each GAP priority area </w:t>
      </w:r>
      <w:r w:rsidR="00A765F0">
        <w:t>includes</w:t>
      </w:r>
      <w:r>
        <w:t xml:space="preserve"> disability-specific objectives, ensuring that disability inclusion is embedded across mitigation, adaptation, finance, technology, and capacity-building</w:t>
      </w:r>
    </w:p>
    <w:p w14:paraId="4C6442B0" w14:textId="77777777" w:rsidR="00EF24E5" w:rsidRDefault="0059006F" w:rsidP="0059006F">
      <w:pPr>
        <w:pStyle w:val="ListParagraph"/>
        <w:numPr>
          <w:ilvl w:val="0"/>
          <w:numId w:val="9"/>
        </w:numPr>
        <w:spacing w:after="0"/>
      </w:pPr>
      <w:r>
        <w:t>Introduce disability-specific indicators within the GAP monitoring and evaluation framework, including indicators on participation, accessibility, outcomes and reporting for persons with disabilities.</w:t>
      </w:r>
    </w:p>
    <w:p w14:paraId="2CF1D34D" w14:textId="77777777" w:rsidR="00EF24E5" w:rsidRDefault="0059006F" w:rsidP="0059006F">
      <w:pPr>
        <w:pStyle w:val="ListParagraph"/>
        <w:numPr>
          <w:ilvl w:val="0"/>
          <w:numId w:val="9"/>
        </w:numPr>
        <w:spacing w:after="0"/>
      </w:pPr>
      <w:r>
        <w:t>Require Parties and implementing entities to report on disability inclusion alongside gender reporting, including progress, challenges, and lessons learned.</w:t>
      </w:r>
    </w:p>
    <w:p w14:paraId="140E81FF" w14:textId="77777777" w:rsidR="00EF24E5" w:rsidRDefault="0059006F" w:rsidP="0059006F">
      <w:pPr>
        <w:pStyle w:val="ListParagraph"/>
        <w:numPr>
          <w:ilvl w:val="0"/>
          <w:numId w:val="9"/>
        </w:numPr>
        <w:spacing w:after="0"/>
      </w:pPr>
      <w:r>
        <w:t>Integrate disability criteria into the 2029 review of the Belém Gender Action Plan, ensuring disability inclusion is assessed as part of overall GAP effectiveness.</w:t>
      </w:r>
    </w:p>
    <w:p w14:paraId="06793120" w14:textId="77777777" w:rsidR="00EF24E5" w:rsidRDefault="0059006F" w:rsidP="0059006F">
      <w:pPr>
        <w:pStyle w:val="ListParagraph"/>
        <w:numPr>
          <w:ilvl w:val="0"/>
          <w:numId w:val="9"/>
        </w:numPr>
        <w:spacing w:after="0"/>
      </w:pPr>
      <w:r>
        <w:t>Mandate the systematic collection and reporting of disability-disaggregated data, using internationally recognized methodologies consistent with CRPD principles.</w:t>
      </w:r>
    </w:p>
    <w:p w14:paraId="4AFBBF50" w14:textId="77777777" w:rsidR="00EF24E5" w:rsidRDefault="0059006F" w:rsidP="0059006F">
      <w:pPr>
        <w:pStyle w:val="ListParagraph"/>
        <w:numPr>
          <w:ilvl w:val="0"/>
          <w:numId w:val="9"/>
        </w:numPr>
        <w:spacing w:after="0"/>
      </w:pPr>
      <w:r>
        <w:t>Ensure that data collection captures both participation and impact, enabling evidence-based policy design and evaluation.</w:t>
      </w:r>
    </w:p>
    <w:p w14:paraId="6D7ECB8A" w14:textId="16B57950" w:rsidR="0059006F" w:rsidRDefault="0059006F" w:rsidP="0059006F">
      <w:pPr>
        <w:pStyle w:val="ListParagraph"/>
        <w:numPr>
          <w:ilvl w:val="0"/>
          <w:numId w:val="9"/>
        </w:numPr>
        <w:spacing w:after="0"/>
      </w:pPr>
      <w:r>
        <w:lastRenderedPageBreak/>
        <w:t xml:space="preserve">Support capacity-building for Parties to collect, </w:t>
      </w:r>
      <w:proofErr w:type="spellStart"/>
      <w:r>
        <w:t>analyse</w:t>
      </w:r>
      <w:proofErr w:type="spellEnd"/>
      <w:r>
        <w:t>, and use disability-disaggregated data in climate planning and reporting.</w:t>
      </w:r>
    </w:p>
    <w:p w14:paraId="345365FE" w14:textId="2C2C25FC" w:rsidR="0059006F" w:rsidRDefault="00EF24E5" w:rsidP="00EF24E5">
      <w:pPr>
        <w:pStyle w:val="Heading3"/>
      </w:pPr>
      <w:r>
        <w:t>Mandate Accessibility Standards Across UNFCCC Processes</w:t>
      </w:r>
    </w:p>
    <w:p w14:paraId="676EB1F3" w14:textId="77777777" w:rsidR="00EF24E5" w:rsidRDefault="0059006F" w:rsidP="0059006F">
      <w:pPr>
        <w:pStyle w:val="ListParagraph"/>
        <w:numPr>
          <w:ilvl w:val="0"/>
          <w:numId w:val="10"/>
        </w:numPr>
        <w:spacing w:after="0"/>
      </w:pPr>
      <w:r>
        <w:t>Adopt minimum accessibility standards for all UNFCCC meetings, consultations, workshops, and documentation, aligned with international accessibility norms and CRPD obligations.</w:t>
      </w:r>
    </w:p>
    <w:p w14:paraId="2C188AFA" w14:textId="77777777" w:rsidR="00EF24E5" w:rsidRDefault="0059006F" w:rsidP="0059006F">
      <w:pPr>
        <w:pStyle w:val="ListParagraph"/>
        <w:numPr>
          <w:ilvl w:val="0"/>
          <w:numId w:val="10"/>
        </w:numPr>
        <w:spacing w:after="0"/>
      </w:pPr>
      <w:r>
        <w:t>Ensure that reporting templates, online platforms, and participation mechanisms are accessible to persons with physical, sensory, intellectual, and psychosocial disabilities.</w:t>
      </w:r>
    </w:p>
    <w:p w14:paraId="5A2B444C" w14:textId="4860292D" w:rsidR="0059006F" w:rsidRDefault="0059006F" w:rsidP="0059006F">
      <w:pPr>
        <w:pStyle w:val="ListParagraph"/>
        <w:numPr>
          <w:ilvl w:val="0"/>
          <w:numId w:val="10"/>
        </w:numPr>
        <w:spacing w:after="0"/>
      </w:pPr>
      <w:r>
        <w:t>Allocate dedicated resources to support accessibility measures, including interpretation, assistive technologies, and accessible formats.</w:t>
      </w:r>
    </w:p>
    <w:p w14:paraId="48E809F3" w14:textId="728BB89B" w:rsidR="0059006F" w:rsidRDefault="00EF24E5" w:rsidP="00EF24E5">
      <w:pPr>
        <w:pStyle w:val="Heading3"/>
      </w:pPr>
      <w:r>
        <w:t>Expand the Mandate of National Gender Focal Points</w:t>
      </w:r>
    </w:p>
    <w:p w14:paraId="08D2902A" w14:textId="554B6730" w:rsidR="0059006F" w:rsidRDefault="0059006F" w:rsidP="00EF24E5">
      <w:pPr>
        <w:pStyle w:val="ListParagraph"/>
        <w:numPr>
          <w:ilvl w:val="0"/>
          <w:numId w:val="10"/>
        </w:numPr>
        <w:spacing w:after="0"/>
      </w:pPr>
      <w:r>
        <w:t>Revise the mandate of national gender focal points to include responsibility for disability mainstreaming within climate policies and GAP implementation.</w:t>
      </w:r>
    </w:p>
    <w:p w14:paraId="10F1496B" w14:textId="156F86B2" w:rsidR="0059006F" w:rsidRDefault="0059006F" w:rsidP="00EF24E5">
      <w:pPr>
        <w:pStyle w:val="ListParagraph"/>
        <w:numPr>
          <w:ilvl w:val="0"/>
          <w:numId w:val="10"/>
        </w:numPr>
        <w:spacing w:after="0"/>
      </w:pPr>
      <w:r>
        <w:t>Provide targeted capacity-building and guidance to focal points on disability inclusion, intersectionality, and rights-based approaches.</w:t>
      </w:r>
    </w:p>
    <w:p w14:paraId="139A3D27" w14:textId="48B9A65C" w:rsidR="0059006F" w:rsidRDefault="0059006F" w:rsidP="00EF24E5">
      <w:pPr>
        <w:pStyle w:val="ListParagraph"/>
        <w:numPr>
          <w:ilvl w:val="0"/>
          <w:numId w:val="10"/>
        </w:numPr>
        <w:spacing w:after="0"/>
      </w:pPr>
      <w:r>
        <w:t>Encourage coordination between gender focal points and national disability authorities and organizations of persons with disabilities (OPDs).</w:t>
      </w:r>
    </w:p>
    <w:p w14:paraId="1F28CC40" w14:textId="6A5A41AD" w:rsidR="0059006F" w:rsidRDefault="007A5B02" w:rsidP="007A5B02">
      <w:pPr>
        <w:pStyle w:val="Heading3"/>
      </w:pPr>
      <w:r>
        <w:t>Integrate Disability Inclusion into Climate Finance Criteria</w:t>
      </w:r>
    </w:p>
    <w:p w14:paraId="7B3066DF" w14:textId="67365FF0" w:rsidR="0059006F" w:rsidRDefault="0059006F" w:rsidP="007A5B02">
      <w:pPr>
        <w:pStyle w:val="ListParagraph"/>
        <w:numPr>
          <w:ilvl w:val="0"/>
          <w:numId w:val="10"/>
        </w:numPr>
        <w:spacing w:after="0"/>
      </w:pPr>
      <w:r>
        <w:t>Require UNFCCC financial mechanisms to adopt disability inclusion criteria alongside existing gender policies.</w:t>
      </w:r>
    </w:p>
    <w:p w14:paraId="0AE77EFD" w14:textId="2EB800B9" w:rsidR="0059006F" w:rsidRDefault="0059006F" w:rsidP="007A5B02">
      <w:pPr>
        <w:pStyle w:val="ListParagraph"/>
        <w:numPr>
          <w:ilvl w:val="0"/>
          <w:numId w:val="10"/>
        </w:numPr>
        <w:spacing w:after="0"/>
      </w:pPr>
      <w:r>
        <w:t>Ensure that funding proposals demonstrate how projects will address the needs of persons with disabilities, including through accessible infrastructure, inclusive livelihoods, and assistive technologies.</w:t>
      </w:r>
    </w:p>
    <w:p w14:paraId="6DFF5AB1" w14:textId="51637B3A" w:rsidR="0059006F" w:rsidRDefault="0059006F" w:rsidP="007A5B02">
      <w:pPr>
        <w:pStyle w:val="ListParagraph"/>
        <w:numPr>
          <w:ilvl w:val="0"/>
          <w:numId w:val="10"/>
        </w:numPr>
        <w:spacing w:after="0"/>
      </w:pPr>
      <w:r>
        <w:t>Track and report on climate finance allocations that directly or indirectly benefit persons with disabilities.</w:t>
      </w:r>
    </w:p>
    <w:p w14:paraId="78472DA3" w14:textId="3E40914B" w:rsidR="0059006F" w:rsidRDefault="007A5B02" w:rsidP="007A5B02">
      <w:pPr>
        <w:pStyle w:val="Heading3"/>
      </w:pPr>
      <w:r>
        <w:t>Institutionalize Participation and Co-Design with Persons with Disabilities</w:t>
      </w:r>
    </w:p>
    <w:p w14:paraId="5DAEB170" w14:textId="4C22934B" w:rsidR="0059006F" w:rsidRDefault="0059006F" w:rsidP="007A5B02">
      <w:pPr>
        <w:pStyle w:val="ListParagraph"/>
        <w:numPr>
          <w:ilvl w:val="0"/>
          <w:numId w:val="10"/>
        </w:numPr>
        <w:spacing w:after="0"/>
      </w:pPr>
      <w:r>
        <w:t>Establish mechanisms for meaningful participation and co-design with organizations of persons with disabilities in GAP implementation, review processes, and climate finance decision-making.</w:t>
      </w:r>
    </w:p>
    <w:p w14:paraId="11D9ECD5" w14:textId="0C44C4B5" w:rsidR="0059006F" w:rsidRDefault="007A5B02" w:rsidP="007A5B02">
      <w:pPr>
        <w:pStyle w:val="ListParagraph"/>
        <w:numPr>
          <w:ilvl w:val="0"/>
          <w:numId w:val="10"/>
        </w:numPr>
        <w:spacing w:after="0"/>
      </w:pPr>
      <w:r>
        <w:t>Ensuring</w:t>
      </w:r>
      <w:r w:rsidR="0059006F">
        <w:t xml:space="preserve"> participation is supported through accessibility measures, resourcing, and early engagement in policy development.</w:t>
      </w:r>
    </w:p>
    <w:p w14:paraId="705F645E" w14:textId="4A1086D3" w:rsidR="0059006F" w:rsidRDefault="007A5B02" w:rsidP="007A5B02">
      <w:pPr>
        <w:pStyle w:val="Heading3"/>
      </w:pPr>
      <w:r>
        <w:lastRenderedPageBreak/>
        <w:t xml:space="preserve">Establish Dedicated Funding and Participation Support </w:t>
      </w:r>
      <w:proofErr w:type="gramStart"/>
      <w:r>
        <w:t>For</w:t>
      </w:r>
      <w:proofErr w:type="gramEnd"/>
      <w:r>
        <w:t xml:space="preserve"> Disability Inclusion</w:t>
      </w:r>
    </w:p>
    <w:p w14:paraId="169A64CF" w14:textId="351C9675" w:rsidR="0059006F" w:rsidRDefault="0059006F" w:rsidP="007A5B02">
      <w:pPr>
        <w:pStyle w:val="ListParagraph"/>
        <w:numPr>
          <w:ilvl w:val="0"/>
          <w:numId w:val="10"/>
        </w:numPr>
        <w:spacing w:after="0"/>
      </w:pPr>
      <w:r>
        <w:t xml:space="preserve">Establish dedicated budget lines within the GAP and relevant UNFCCC workstreams to support accessibility measures, participation of persons with disabilities, disability-inclusive </w:t>
      </w:r>
      <w:proofErr w:type="spellStart"/>
      <w:r>
        <w:t>programme</w:t>
      </w:r>
      <w:proofErr w:type="spellEnd"/>
      <w:r>
        <w:t xml:space="preserve"> design, and monitoring and evaluation.</w:t>
      </w:r>
    </w:p>
    <w:p w14:paraId="3C1A1A03" w14:textId="0A2F4081" w:rsidR="0059006F" w:rsidRDefault="0059006F" w:rsidP="007A5B02">
      <w:pPr>
        <w:pStyle w:val="ListParagraph"/>
        <w:numPr>
          <w:ilvl w:val="0"/>
          <w:numId w:val="10"/>
        </w:numPr>
        <w:spacing w:after="0"/>
      </w:pPr>
      <w:r>
        <w:t>Encourage Parties to nominate and support persons with disabilities as negotiators, technical experts, and advisors, including through targeted participation funds and travel support.</w:t>
      </w:r>
    </w:p>
    <w:p w14:paraId="5064C380" w14:textId="4BA4C94D" w:rsidR="0059006F" w:rsidRDefault="0059006F" w:rsidP="007A5B02">
      <w:pPr>
        <w:pStyle w:val="ListParagraph"/>
        <w:numPr>
          <w:ilvl w:val="0"/>
          <w:numId w:val="10"/>
        </w:numPr>
        <w:spacing w:after="0"/>
      </w:pPr>
      <w:r>
        <w:t>Require annual reporting on uptake and use of accessibility and participation funding, including the number of delegates with disabilities supported and the types of accessibility measures financed.</w:t>
      </w:r>
    </w:p>
    <w:p w14:paraId="44ACDA3E" w14:textId="59545E0F" w:rsidR="0059006F" w:rsidRDefault="00C34E3A" w:rsidP="00C34E3A">
      <w:pPr>
        <w:pStyle w:val="Heading3"/>
      </w:pPr>
      <w:r>
        <w:t>Visibility, Agenda-Setting, and Procedural Accessibility</w:t>
      </w:r>
    </w:p>
    <w:p w14:paraId="363D6713" w14:textId="3EA2CC44" w:rsidR="0059006F" w:rsidRDefault="0059006F" w:rsidP="00C34E3A">
      <w:pPr>
        <w:pStyle w:val="ListParagraph"/>
        <w:numPr>
          <w:ilvl w:val="0"/>
          <w:numId w:val="10"/>
        </w:numPr>
        <w:spacing w:after="0"/>
      </w:pPr>
      <w:r>
        <w:t>Dedicate at least one COP Day per cycle to be a disability-inclusive day and include themes such as disability inclusive just transition, accessible early warning systems, or psychosocial support in climate displacement etc.</w:t>
      </w:r>
    </w:p>
    <w:p w14:paraId="6CA8029D" w14:textId="255A9A91" w:rsidR="0059006F" w:rsidRDefault="0059006F" w:rsidP="00C34E3A">
      <w:pPr>
        <w:pStyle w:val="ListParagraph"/>
        <w:numPr>
          <w:ilvl w:val="0"/>
          <w:numId w:val="10"/>
        </w:numPr>
        <w:spacing w:after="0"/>
      </w:pPr>
      <w:r>
        <w:t>Establish a standard accessibility protocol for COP Gender Day, including captioning, sign language interpretation, accessible documentation, and quiet or low-stimulation spaces.</w:t>
      </w:r>
    </w:p>
    <w:p w14:paraId="3C3FA742" w14:textId="777F6DDC" w:rsidR="0059006F" w:rsidRDefault="0059006F" w:rsidP="00C34E3A">
      <w:pPr>
        <w:pStyle w:val="ListParagraph"/>
        <w:numPr>
          <w:ilvl w:val="0"/>
          <w:numId w:val="10"/>
        </w:numPr>
        <w:spacing w:after="0"/>
      </w:pPr>
      <w:r>
        <w:t>Require reporting on the implementation of these accessibility measures through the gender composition and participation reports, ensuring transparency and consistency across COPs.</w:t>
      </w:r>
    </w:p>
    <w:p w14:paraId="087451BD" w14:textId="77777777" w:rsidR="00F25172" w:rsidRPr="00C90604" w:rsidRDefault="00F25172" w:rsidP="00F25172">
      <w:pPr>
        <w:pStyle w:val="Heading1"/>
      </w:pPr>
      <w:bookmarkStart w:id="8" w:name="_Toc221042620"/>
      <w:r w:rsidRPr="00C90604">
        <w:t>References</w:t>
      </w:r>
      <w:bookmarkEnd w:id="8"/>
    </w:p>
    <w:p w14:paraId="6FD35CBC" w14:textId="423C1721" w:rsidR="0024137B" w:rsidRDefault="0024137B" w:rsidP="0024137B">
      <w:pPr>
        <w:pStyle w:val="ListParagraph"/>
        <w:numPr>
          <w:ilvl w:val="0"/>
          <w:numId w:val="16"/>
        </w:numPr>
        <w:spacing w:line="278" w:lineRule="auto"/>
      </w:pPr>
      <w:r>
        <w:t xml:space="preserve">Paris Agreement </w:t>
      </w:r>
      <w:hyperlink r:id="rId17" w:history="1">
        <w:r w:rsidRPr="00821E33">
          <w:rPr>
            <w:rStyle w:val="Hyperlink"/>
          </w:rPr>
          <w:t>https://unfccc.int/process-and-meetings/the-paris-agreement</w:t>
        </w:r>
      </w:hyperlink>
      <w:r>
        <w:t xml:space="preserve"> </w:t>
      </w:r>
    </w:p>
    <w:p w14:paraId="1A999CC3" w14:textId="4C11CEDD" w:rsidR="0024137B" w:rsidRDefault="0024137B" w:rsidP="0024137B">
      <w:pPr>
        <w:pStyle w:val="ListParagraph"/>
        <w:numPr>
          <w:ilvl w:val="0"/>
          <w:numId w:val="16"/>
        </w:numPr>
        <w:spacing w:line="278" w:lineRule="auto"/>
      </w:pPr>
      <w:r>
        <w:t xml:space="preserve">The Enhanced Lima Work Programme on Gender </w:t>
      </w:r>
      <w:hyperlink r:id="rId18" w:history="1">
        <w:r w:rsidRPr="00821E33">
          <w:rPr>
            <w:rStyle w:val="Hyperlink"/>
          </w:rPr>
          <w:t>https://unfccc.int/topics/gender/workstreams/the-enhanced-lima-work-programme-on-gender</w:t>
        </w:r>
      </w:hyperlink>
      <w:r>
        <w:t xml:space="preserve">   </w:t>
      </w:r>
    </w:p>
    <w:p w14:paraId="121FB4F1" w14:textId="34ADC6D3" w:rsidR="0024137B" w:rsidRDefault="0024137B" w:rsidP="0024137B">
      <w:pPr>
        <w:pStyle w:val="ListParagraph"/>
        <w:numPr>
          <w:ilvl w:val="0"/>
          <w:numId w:val="16"/>
        </w:numPr>
        <w:spacing w:line="278" w:lineRule="auto"/>
      </w:pPr>
      <w:r>
        <w:t xml:space="preserve">The Gender Action Plan </w:t>
      </w:r>
      <w:hyperlink r:id="rId19" w:history="1">
        <w:r w:rsidRPr="00821E33">
          <w:rPr>
            <w:rStyle w:val="Hyperlink"/>
          </w:rPr>
          <w:t>https://unfccc.int/topics/gender/workstreams/the-gender-action-plan</w:t>
        </w:r>
      </w:hyperlink>
      <w:r>
        <w:t xml:space="preserve"> </w:t>
      </w:r>
    </w:p>
    <w:p w14:paraId="656D3BB1" w14:textId="4B354187" w:rsidR="0024137B" w:rsidRDefault="0024137B" w:rsidP="0024137B">
      <w:pPr>
        <w:pStyle w:val="ListParagraph"/>
        <w:numPr>
          <w:ilvl w:val="0"/>
          <w:numId w:val="16"/>
        </w:numPr>
        <w:spacing w:line="278" w:lineRule="auto"/>
      </w:pPr>
      <w:r>
        <w:t xml:space="preserve">Decision -/CP.29 Gender and climate change </w:t>
      </w:r>
      <w:hyperlink r:id="rId20" w:history="1">
        <w:r w:rsidRPr="00821E33">
          <w:rPr>
            <w:rStyle w:val="Hyperlink"/>
          </w:rPr>
          <w:t>https://unfccc.int/documents/644433</w:t>
        </w:r>
      </w:hyperlink>
      <w:r>
        <w:t xml:space="preserve">  </w:t>
      </w:r>
    </w:p>
    <w:p w14:paraId="2A97F3B5" w14:textId="73DAE345" w:rsidR="0024137B" w:rsidRDefault="0024137B" w:rsidP="0024137B">
      <w:pPr>
        <w:pStyle w:val="ListParagraph"/>
        <w:numPr>
          <w:ilvl w:val="0"/>
          <w:numId w:val="16"/>
        </w:numPr>
        <w:spacing w:line="278" w:lineRule="auto"/>
      </w:pPr>
      <w:r>
        <w:t xml:space="preserve">Enhanced Lima work </w:t>
      </w:r>
      <w:proofErr w:type="spellStart"/>
      <w:r>
        <w:t>programme</w:t>
      </w:r>
      <w:proofErr w:type="spellEnd"/>
      <w:r>
        <w:t xml:space="preserve"> on gender and its gender action plan (Decision 3/CP.25) </w:t>
      </w:r>
      <w:hyperlink r:id="rId21" w:history="1">
        <w:r w:rsidRPr="00821E33">
          <w:rPr>
            <w:rStyle w:val="Hyperlink"/>
          </w:rPr>
          <w:t>https://unfccc.int/documents/204536</w:t>
        </w:r>
      </w:hyperlink>
      <w:r>
        <w:t xml:space="preserve">  </w:t>
      </w:r>
    </w:p>
    <w:p w14:paraId="226D2AA4" w14:textId="2A73CAB2" w:rsidR="0024137B" w:rsidRDefault="0024137B" w:rsidP="0024137B">
      <w:pPr>
        <w:pStyle w:val="ListParagraph"/>
        <w:numPr>
          <w:ilvl w:val="0"/>
          <w:numId w:val="16"/>
        </w:numPr>
        <w:spacing w:line="278" w:lineRule="auto"/>
      </w:pPr>
      <w:r>
        <w:t xml:space="preserve">Decision 3/CP.25 </w:t>
      </w:r>
      <w:hyperlink r:id="rId22" w:history="1">
        <w:r w:rsidRPr="00821E33">
          <w:rPr>
            <w:rStyle w:val="Hyperlink"/>
          </w:rPr>
          <w:t>https://unfccc.int/sites/default/files/resource/cp2019_13a01E.pdf</w:t>
        </w:r>
      </w:hyperlink>
      <w:r>
        <w:t xml:space="preserve"> </w:t>
      </w:r>
    </w:p>
    <w:p w14:paraId="51099EC8" w14:textId="733C99DF" w:rsidR="0024137B" w:rsidRDefault="0024137B" w:rsidP="0024137B">
      <w:pPr>
        <w:pStyle w:val="ListParagraph"/>
        <w:numPr>
          <w:ilvl w:val="0"/>
          <w:numId w:val="16"/>
        </w:numPr>
        <w:spacing w:line="278" w:lineRule="auto"/>
      </w:pPr>
      <w:r>
        <w:lastRenderedPageBreak/>
        <w:t xml:space="preserve">Gender Action Plan and amendments Decision 24/CP.27 and 15/CP.28 </w:t>
      </w:r>
      <w:hyperlink r:id="rId23" w:history="1">
        <w:r w:rsidRPr="00821E33">
          <w:rPr>
            <w:rStyle w:val="Hyperlink"/>
          </w:rPr>
          <w:t>https://unfccc.int/documents/627886</w:t>
        </w:r>
      </w:hyperlink>
      <w:r>
        <w:t xml:space="preserve">  </w:t>
      </w:r>
    </w:p>
    <w:p w14:paraId="791D4A40" w14:textId="06DCB104" w:rsidR="0024137B" w:rsidRDefault="0024137B" w:rsidP="0024137B">
      <w:pPr>
        <w:pStyle w:val="ListParagraph"/>
        <w:numPr>
          <w:ilvl w:val="0"/>
          <w:numId w:val="16"/>
        </w:numPr>
        <w:spacing w:line="278" w:lineRule="auto"/>
      </w:pPr>
      <w:r>
        <w:t xml:space="preserve">Synthesis report by the secretariat. Progress, challenges, gaps and priorities in implementing the gender action plan, and future work to be undertaken on gender and climate change. May 2024 </w:t>
      </w:r>
      <w:hyperlink r:id="rId24" w:history="1">
        <w:r w:rsidRPr="00821E33">
          <w:rPr>
            <w:rStyle w:val="Hyperlink"/>
          </w:rPr>
          <w:t>https://unfccc.int/documents/638589</w:t>
        </w:r>
      </w:hyperlink>
      <w:r>
        <w:t xml:space="preserve"> </w:t>
      </w:r>
    </w:p>
    <w:p w14:paraId="73B67328" w14:textId="5F0F7B9A" w:rsidR="0024137B" w:rsidRDefault="0024137B" w:rsidP="0024137B">
      <w:pPr>
        <w:pStyle w:val="ListParagraph"/>
        <w:numPr>
          <w:ilvl w:val="0"/>
          <w:numId w:val="16"/>
        </w:numPr>
        <w:spacing w:line="278" w:lineRule="auto"/>
      </w:pPr>
      <w:r>
        <w:t xml:space="preserve">Synthesis report by the secretariat. Progress in integrating a gender perspective into constituted body processes. September 2025 </w:t>
      </w:r>
      <w:hyperlink r:id="rId25" w:history="1">
        <w:r w:rsidRPr="00821E33">
          <w:rPr>
            <w:rStyle w:val="Hyperlink"/>
          </w:rPr>
          <w:t>https://unfccc.int/documents/649754</w:t>
        </w:r>
      </w:hyperlink>
      <w:r>
        <w:t xml:space="preserve"> </w:t>
      </w:r>
    </w:p>
    <w:p w14:paraId="11E2B9CE" w14:textId="4D075704" w:rsidR="0024137B" w:rsidRDefault="0024137B" w:rsidP="0024137B">
      <w:pPr>
        <w:pStyle w:val="ListParagraph"/>
        <w:numPr>
          <w:ilvl w:val="0"/>
          <w:numId w:val="16"/>
        </w:numPr>
        <w:spacing w:line="278" w:lineRule="auto"/>
        <w:ind w:left="709" w:hanging="567"/>
      </w:pPr>
      <w:r>
        <w:t xml:space="preserve">Belém gender action plan. Draft decision -/CP.30 November 2025 </w:t>
      </w:r>
      <w:hyperlink r:id="rId26" w:history="1">
        <w:r w:rsidRPr="00821E33">
          <w:rPr>
            <w:rStyle w:val="Hyperlink"/>
          </w:rPr>
          <w:t>https://unfccc.int/documents/653290</w:t>
        </w:r>
      </w:hyperlink>
    </w:p>
    <w:p w14:paraId="3276E352" w14:textId="6E787337" w:rsidR="0024137B" w:rsidRPr="0024137B" w:rsidRDefault="0024137B" w:rsidP="0024137B">
      <w:pPr>
        <w:pStyle w:val="ListParagraph"/>
        <w:numPr>
          <w:ilvl w:val="0"/>
          <w:numId w:val="16"/>
        </w:numPr>
        <w:spacing w:line="278" w:lineRule="auto"/>
        <w:ind w:left="709" w:hanging="567"/>
      </w:pPr>
      <w:r>
        <w:t xml:space="preserve">Gender composition. Report by the secretariat. August 2025 </w:t>
      </w:r>
      <w:hyperlink r:id="rId27" w:history="1">
        <w:r w:rsidRPr="00821E33">
          <w:rPr>
            <w:rStyle w:val="Hyperlink"/>
          </w:rPr>
          <w:t>https://unfccc.int/documents/649296</w:t>
        </w:r>
      </w:hyperlink>
      <w:r>
        <w:t xml:space="preserve"> </w:t>
      </w:r>
    </w:p>
    <w:p w14:paraId="63B7F075" w14:textId="61C3BB80" w:rsidR="00A9576D" w:rsidRPr="00187E62" w:rsidRDefault="00A9576D" w:rsidP="00A9576D">
      <w:pPr>
        <w:pStyle w:val="Heading1"/>
        <w:pageBreakBefore/>
      </w:pPr>
      <w:bookmarkStart w:id="9" w:name="_Toc221042621"/>
      <w:r w:rsidRPr="00187E62">
        <w:lastRenderedPageBreak/>
        <w:t>Document credits</w:t>
      </w:r>
      <w:bookmarkEnd w:id="9"/>
    </w:p>
    <w:p w14:paraId="2B95C88F" w14:textId="4BCD298C" w:rsidR="00A9576D" w:rsidRDefault="00A9576D" w:rsidP="006D0B23">
      <w:pPr>
        <w:widowControl w:val="0"/>
        <w:spacing w:before="480"/>
      </w:pPr>
      <w:r>
        <w:t>This document was prepared by</w:t>
      </w:r>
      <w:r w:rsidR="00F25172">
        <w:t xml:space="preserve"> Wambui Muchaba and Belindar Momanyi</w:t>
      </w:r>
      <w:r w:rsidR="001B1E05">
        <w:t xml:space="preserve"> (Consultants)</w:t>
      </w:r>
    </w:p>
    <w:p w14:paraId="343B7103" w14:textId="30B20BB6" w:rsidR="00A9576D" w:rsidRDefault="00A9576D" w:rsidP="006D0B23">
      <w:pPr>
        <w:widowControl w:val="0"/>
        <w:spacing w:before="480"/>
      </w:pPr>
      <w:r>
        <w:t>Assisted</w:t>
      </w:r>
      <w:r w:rsidR="00541EBA">
        <w:t>/Supervised</w:t>
      </w:r>
      <w:r>
        <w:t xml:space="preserve"> by</w:t>
      </w:r>
      <w:r w:rsidR="00F25172">
        <w:t xml:space="preserve"> Marion Steff (EDF)</w:t>
      </w:r>
    </w:p>
    <w:p w14:paraId="177D1331" w14:textId="425A3F9E" w:rsidR="009277BC" w:rsidRDefault="009277BC" w:rsidP="009277BC">
      <w:pPr>
        <w:widowControl w:val="0"/>
        <w:spacing w:before="480"/>
      </w:pPr>
      <w:r>
        <w:rPr>
          <w:noProof/>
        </w:rPr>
        <w:drawing>
          <wp:inline distT="0" distB="0" distL="0" distR="0" wp14:anchorId="3D5A81C9" wp14:editId="7936E65C">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6463880C" w:rsidR="00A9576D" w:rsidRPr="009277BC" w:rsidRDefault="00A9576D" w:rsidP="006D0B23">
      <w:pPr>
        <w:widowControl w:val="0"/>
        <w:spacing w:before="480"/>
      </w:pPr>
      <w:r>
        <w:t>The European Disability Forum</w:t>
      </w:r>
      <w:r w:rsidR="009277BC">
        <w:br/>
      </w:r>
      <w:r w:rsidR="009277BC" w:rsidRPr="009277BC">
        <w:t>Mundo Madou</w:t>
      </w:r>
      <w:r w:rsidR="009277BC">
        <w:br/>
      </w:r>
      <w:r w:rsidRPr="009277BC">
        <w:t>Avenue des Arts 7-8</w:t>
      </w:r>
      <w:r w:rsidR="009277BC" w:rsidRPr="009277BC">
        <w:br/>
        <w:t>1210 Brussels, Belgium.</w:t>
      </w:r>
    </w:p>
    <w:p w14:paraId="63FAD6C0" w14:textId="2B69825D" w:rsidR="00A9576D" w:rsidRDefault="00A9576D" w:rsidP="006D0B23">
      <w:pPr>
        <w:widowControl w:val="0"/>
        <w:spacing w:before="480"/>
      </w:pPr>
      <w:hyperlink r:id="rId28" w:history="1">
        <w:r w:rsidRPr="009277BC">
          <w:rPr>
            <w:rStyle w:val="Hyperlink"/>
          </w:rPr>
          <w:t>www.edf-feph.org</w:t>
        </w:r>
      </w:hyperlink>
    </w:p>
    <w:p w14:paraId="7B572B14" w14:textId="25868232" w:rsidR="009277BC" w:rsidRDefault="009277BC" w:rsidP="006D0B23">
      <w:pPr>
        <w:widowControl w:val="0"/>
        <w:spacing w:before="480"/>
      </w:pPr>
      <w:hyperlink r:id="rId29" w:history="1">
        <w:r w:rsidRPr="008C480E">
          <w:rPr>
            <w:rStyle w:val="Hyperlink"/>
          </w:rPr>
          <w:t>info@edf-feph.org</w:t>
        </w:r>
      </w:hyperlink>
    </w:p>
    <w:p w14:paraId="15FF65CE" w14:textId="45894D72" w:rsidR="001B1E05" w:rsidRDefault="001B1E05" w:rsidP="006D0B23">
      <w:pPr>
        <w:widowControl w:val="0"/>
        <w:spacing w:before="480"/>
      </w:pPr>
      <w:r w:rsidRPr="001B1E05">
        <w:t>This work was supported by funding from the Disability Rights Fund.</w:t>
      </w:r>
    </w:p>
    <w:p w14:paraId="72B9F246" w14:textId="79B048DD" w:rsidR="001B1E05" w:rsidRPr="001B1E05" w:rsidRDefault="001B1E05" w:rsidP="006D0B23">
      <w:pPr>
        <w:widowControl w:val="0"/>
        <w:spacing w:before="480"/>
        <w:rPr>
          <w:b/>
          <w:bCs/>
        </w:rPr>
      </w:pPr>
      <w:r>
        <w:rPr>
          <w:noProof/>
        </w:rPr>
        <w:drawing>
          <wp:inline distT="0" distB="0" distL="0" distR="0" wp14:anchorId="24043FB3" wp14:editId="001546A7">
            <wp:extent cx="2257425" cy="854600"/>
            <wp:effectExtent l="0" t="0" r="0" b="3175"/>
            <wp:docPr id="652415058" name="Picture 1" descr="Disability Rights Fund Logo - Disability Rights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ility Rights Fund Logo - Disability Rights Fun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73368" cy="860636"/>
                    </a:xfrm>
                    <a:prstGeom prst="rect">
                      <a:avLst/>
                    </a:prstGeom>
                    <a:noFill/>
                    <a:ln>
                      <a:noFill/>
                    </a:ln>
                  </pic:spPr>
                </pic:pic>
              </a:graphicData>
            </a:graphic>
          </wp:inline>
        </w:drawing>
      </w:r>
    </w:p>
    <w:sectPr w:rsidR="001B1E05" w:rsidRPr="001B1E05" w:rsidSect="006D0B23">
      <w:footerReference w:type="default" r:id="rId31"/>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C708" w14:textId="77777777" w:rsidR="00546BCB" w:rsidRDefault="00546BCB" w:rsidP="00E47FF5">
      <w:pPr>
        <w:spacing w:after="0" w:line="240" w:lineRule="auto"/>
      </w:pPr>
      <w:r>
        <w:separator/>
      </w:r>
    </w:p>
  </w:endnote>
  <w:endnote w:type="continuationSeparator" w:id="0">
    <w:p w14:paraId="0E87902F" w14:textId="77777777" w:rsidR="00546BCB" w:rsidRDefault="00546BCB"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D7EC" w14:textId="77777777" w:rsidR="00546BCB" w:rsidRDefault="00546BCB" w:rsidP="00E47FF5">
      <w:pPr>
        <w:spacing w:after="0" w:line="240" w:lineRule="auto"/>
      </w:pPr>
      <w:r>
        <w:separator/>
      </w:r>
    </w:p>
  </w:footnote>
  <w:footnote w:type="continuationSeparator" w:id="0">
    <w:p w14:paraId="027CE654" w14:textId="77777777" w:rsidR="00546BCB" w:rsidRDefault="00546BCB" w:rsidP="00E4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5D9"/>
    <w:multiLevelType w:val="hybridMultilevel"/>
    <w:tmpl w:val="8DEC0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E128F"/>
    <w:multiLevelType w:val="hybridMultilevel"/>
    <w:tmpl w:val="76E6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56E28"/>
    <w:multiLevelType w:val="hybridMultilevel"/>
    <w:tmpl w:val="78C23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A26C7"/>
    <w:multiLevelType w:val="multilevel"/>
    <w:tmpl w:val="D93E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538BE"/>
    <w:multiLevelType w:val="hybridMultilevel"/>
    <w:tmpl w:val="0CF4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E3467"/>
    <w:multiLevelType w:val="multilevel"/>
    <w:tmpl w:val="0BD8C1FE"/>
    <w:lvl w:ilvl="0">
      <w:start w:val="1"/>
      <w:numFmt w:val="upperRoman"/>
      <w:lvlText w:val="%1."/>
      <w:lvlJc w:val="right"/>
      <w:pPr>
        <w:ind w:left="432" w:hanging="432"/>
      </w:pPr>
    </w:lvl>
    <w:lvl w:ilvl="1">
      <w:start w:val="1"/>
      <w:numFmt w:val="decimal"/>
      <w:lvlText w:val="%1.%2"/>
      <w:lvlJc w:val="left"/>
      <w:pPr>
        <w:ind w:left="576" w:hanging="576"/>
      </w:pPr>
    </w:lvl>
    <w:lvl w:ilvl="2">
      <w:start w:val="1"/>
      <w:numFmt w:val="upperLetter"/>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E88328F"/>
    <w:multiLevelType w:val="multilevel"/>
    <w:tmpl w:val="C3DC6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2A7EA4"/>
    <w:multiLevelType w:val="hybridMultilevel"/>
    <w:tmpl w:val="442E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D52D0F"/>
    <w:multiLevelType w:val="hybridMultilevel"/>
    <w:tmpl w:val="A6DA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3207C"/>
    <w:multiLevelType w:val="hybridMultilevel"/>
    <w:tmpl w:val="FBA47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5B458C"/>
    <w:multiLevelType w:val="hybridMultilevel"/>
    <w:tmpl w:val="C1DA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20BD7"/>
    <w:multiLevelType w:val="hybridMultilevel"/>
    <w:tmpl w:val="E5E6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EA107B"/>
    <w:multiLevelType w:val="hybridMultilevel"/>
    <w:tmpl w:val="DEEC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2D6F00"/>
    <w:multiLevelType w:val="hybridMultilevel"/>
    <w:tmpl w:val="2460E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C07CE2"/>
    <w:multiLevelType w:val="multilevel"/>
    <w:tmpl w:val="8D2C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780050">
    <w:abstractNumId w:val="1"/>
  </w:num>
  <w:num w:numId="2" w16cid:durableId="1457602749">
    <w:abstractNumId w:val="10"/>
  </w:num>
  <w:num w:numId="3" w16cid:durableId="1837067612">
    <w:abstractNumId w:val="9"/>
  </w:num>
  <w:num w:numId="4" w16cid:durableId="1514879082">
    <w:abstractNumId w:val="7"/>
  </w:num>
  <w:num w:numId="5" w16cid:durableId="1940016315">
    <w:abstractNumId w:val="4"/>
  </w:num>
  <w:num w:numId="6" w16cid:durableId="254173770">
    <w:abstractNumId w:val="6"/>
  </w:num>
  <w:num w:numId="7" w16cid:durableId="1146972408">
    <w:abstractNumId w:val="0"/>
  </w:num>
  <w:num w:numId="8" w16cid:durableId="1848592989">
    <w:abstractNumId w:val="15"/>
  </w:num>
  <w:num w:numId="9" w16cid:durableId="1160387956">
    <w:abstractNumId w:val="3"/>
  </w:num>
  <w:num w:numId="10" w16cid:durableId="685401189">
    <w:abstractNumId w:val="8"/>
  </w:num>
  <w:num w:numId="11" w16cid:durableId="1579628488">
    <w:abstractNumId w:val="5"/>
  </w:num>
  <w:num w:numId="12" w16cid:durableId="1769808800">
    <w:abstractNumId w:val="11"/>
  </w:num>
  <w:num w:numId="13" w16cid:durableId="1884292415">
    <w:abstractNumId w:val="13"/>
  </w:num>
  <w:num w:numId="14" w16cid:durableId="403338431">
    <w:abstractNumId w:val="2"/>
  </w:num>
  <w:num w:numId="15" w16cid:durableId="315453616">
    <w:abstractNumId w:val="12"/>
  </w:num>
  <w:num w:numId="16" w16cid:durableId="20551517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4CEFE25-C7B2-451E-B4B1-D1C1AA4E15CB}"/>
    <w:docVar w:name="dgnword-eventsink" w:val="2272953552560"/>
  </w:docVars>
  <w:rsids>
    <w:rsidRoot w:val="00E47FF5"/>
    <w:rsid w:val="00054D5A"/>
    <w:rsid w:val="0008516E"/>
    <w:rsid w:val="000B1F49"/>
    <w:rsid w:val="000B4C96"/>
    <w:rsid w:val="000D37CF"/>
    <w:rsid w:val="000D37E5"/>
    <w:rsid w:val="00102EE2"/>
    <w:rsid w:val="001133B3"/>
    <w:rsid w:val="001519BD"/>
    <w:rsid w:val="00165BD0"/>
    <w:rsid w:val="00187E62"/>
    <w:rsid w:val="001B0218"/>
    <w:rsid w:val="001B1E05"/>
    <w:rsid w:val="001D4123"/>
    <w:rsid w:val="001E0F08"/>
    <w:rsid w:val="0024137B"/>
    <w:rsid w:val="00261A0A"/>
    <w:rsid w:val="0026430B"/>
    <w:rsid w:val="00282B80"/>
    <w:rsid w:val="002D455F"/>
    <w:rsid w:val="00311EFE"/>
    <w:rsid w:val="003344AB"/>
    <w:rsid w:val="00355289"/>
    <w:rsid w:val="00394F5A"/>
    <w:rsid w:val="003C78D1"/>
    <w:rsid w:val="003D1BF3"/>
    <w:rsid w:val="003D6941"/>
    <w:rsid w:val="004136FE"/>
    <w:rsid w:val="004C17D3"/>
    <w:rsid w:val="00515218"/>
    <w:rsid w:val="00541EBA"/>
    <w:rsid w:val="00546BCB"/>
    <w:rsid w:val="00573E19"/>
    <w:rsid w:val="00583D06"/>
    <w:rsid w:val="0059006F"/>
    <w:rsid w:val="005B01F0"/>
    <w:rsid w:val="005D414D"/>
    <w:rsid w:val="00606390"/>
    <w:rsid w:val="006A4D22"/>
    <w:rsid w:val="006A6BD9"/>
    <w:rsid w:val="006C1A26"/>
    <w:rsid w:val="006D0B23"/>
    <w:rsid w:val="006D336A"/>
    <w:rsid w:val="006D5B47"/>
    <w:rsid w:val="00713AB1"/>
    <w:rsid w:val="0071723F"/>
    <w:rsid w:val="007449C8"/>
    <w:rsid w:val="00746A31"/>
    <w:rsid w:val="007621F4"/>
    <w:rsid w:val="007A5B02"/>
    <w:rsid w:val="007C7CD3"/>
    <w:rsid w:val="008054A7"/>
    <w:rsid w:val="008065A5"/>
    <w:rsid w:val="008C4E44"/>
    <w:rsid w:val="009277BC"/>
    <w:rsid w:val="009E3061"/>
    <w:rsid w:val="00A765F0"/>
    <w:rsid w:val="00A9576D"/>
    <w:rsid w:val="00AC1260"/>
    <w:rsid w:val="00AD20CB"/>
    <w:rsid w:val="00AD55B8"/>
    <w:rsid w:val="00AE5422"/>
    <w:rsid w:val="00B11EC5"/>
    <w:rsid w:val="00B21339"/>
    <w:rsid w:val="00B2632C"/>
    <w:rsid w:val="00B30927"/>
    <w:rsid w:val="00B515CD"/>
    <w:rsid w:val="00B8059E"/>
    <w:rsid w:val="00BA377D"/>
    <w:rsid w:val="00C34E3A"/>
    <w:rsid w:val="00C50D1B"/>
    <w:rsid w:val="00C8656C"/>
    <w:rsid w:val="00CD5C83"/>
    <w:rsid w:val="00D11DAB"/>
    <w:rsid w:val="00D71C17"/>
    <w:rsid w:val="00D92AF0"/>
    <w:rsid w:val="00DD44F9"/>
    <w:rsid w:val="00DD5BA9"/>
    <w:rsid w:val="00E41423"/>
    <w:rsid w:val="00E47FF5"/>
    <w:rsid w:val="00E62CBF"/>
    <w:rsid w:val="00E867EE"/>
    <w:rsid w:val="00EA0706"/>
    <w:rsid w:val="00EC688E"/>
    <w:rsid w:val="00EF24E5"/>
    <w:rsid w:val="00F21ED3"/>
    <w:rsid w:val="00F25172"/>
    <w:rsid w:val="00F34A74"/>
    <w:rsid w:val="00F5051D"/>
    <w:rsid w:val="00F63A64"/>
    <w:rsid w:val="00FD02F5"/>
    <w:rsid w:val="00FD68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Date">
    <w:name w:val="Date"/>
    <w:basedOn w:val="Normal"/>
    <w:next w:val="Normal"/>
    <w:link w:val="DateChar"/>
    <w:uiPriority w:val="99"/>
    <w:semiHidden/>
    <w:unhideWhenUsed/>
    <w:rsid w:val="00E867EE"/>
  </w:style>
  <w:style w:type="character" w:customStyle="1" w:styleId="DateChar">
    <w:name w:val="Date Char"/>
    <w:basedOn w:val="DefaultParagraphFont"/>
    <w:link w:val="Date"/>
    <w:uiPriority w:val="99"/>
    <w:semiHidden/>
    <w:rsid w:val="00E867EE"/>
    <w:rPr>
      <w:rFonts w:ascii="Verdana" w:hAnsi="Verdana"/>
      <w:sz w:val="24"/>
    </w:rPr>
  </w:style>
  <w:style w:type="character" w:styleId="Strong">
    <w:name w:val="Strong"/>
    <w:basedOn w:val="DefaultParagraphFont"/>
    <w:uiPriority w:val="22"/>
    <w:qFormat/>
    <w:rsid w:val="00F25172"/>
    <w:rPr>
      <w:b/>
      <w:bCs/>
    </w:rPr>
  </w:style>
  <w:style w:type="paragraph" w:styleId="NormalWeb">
    <w:name w:val="Normal (Web)"/>
    <w:basedOn w:val="Normal"/>
    <w:uiPriority w:val="99"/>
    <w:unhideWhenUsed/>
    <w:rsid w:val="00F25172"/>
    <w:pPr>
      <w:spacing w:before="100" w:beforeAutospacing="1" w:after="100" w:afterAutospacing="1" w:line="240" w:lineRule="auto"/>
    </w:pPr>
    <w:rPr>
      <w:rFonts w:ascii="Times New Roman" w:eastAsia="Times New Roman" w:hAnsi="Times New Roman" w:cs="Times New Roman"/>
      <w:sz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1463">
      <w:bodyDiv w:val="1"/>
      <w:marLeft w:val="0"/>
      <w:marRight w:val="0"/>
      <w:marTop w:val="0"/>
      <w:marBottom w:val="0"/>
      <w:divBdr>
        <w:top w:val="none" w:sz="0" w:space="0" w:color="auto"/>
        <w:left w:val="none" w:sz="0" w:space="0" w:color="auto"/>
        <w:bottom w:val="none" w:sz="0" w:space="0" w:color="auto"/>
        <w:right w:val="none" w:sz="0" w:space="0" w:color="auto"/>
      </w:divBdr>
    </w:div>
    <w:div w:id="268898668">
      <w:bodyDiv w:val="1"/>
      <w:marLeft w:val="0"/>
      <w:marRight w:val="0"/>
      <w:marTop w:val="0"/>
      <w:marBottom w:val="0"/>
      <w:divBdr>
        <w:top w:val="none" w:sz="0" w:space="0" w:color="auto"/>
        <w:left w:val="none" w:sz="0" w:space="0" w:color="auto"/>
        <w:bottom w:val="none" w:sz="0" w:space="0" w:color="auto"/>
        <w:right w:val="none" w:sz="0" w:space="0" w:color="auto"/>
      </w:divBdr>
    </w:div>
    <w:div w:id="672490131">
      <w:bodyDiv w:val="1"/>
      <w:marLeft w:val="0"/>
      <w:marRight w:val="0"/>
      <w:marTop w:val="0"/>
      <w:marBottom w:val="0"/>
      <w:divBdr>
        <w:top w:val="none" w:sz="0" w:space="0" w:color="auto"/>
        <w:left w:val="none" w:sz="0" w:space="0" w:color="auto"/>
        <w:bottom w:val="none" w:sz="0" w:space="0" w:color="auto"/>
        <w:right w:val="none" w:sz="0" w:space="0" w:color="auto"/>
      </w:divBdr>
    </w:div>
    <w:div w:id="1212426952">
      <w:bodyDiv w:val="1"/>
      <w:marLeft w:val="0"/>
      <w:marRight w:val="0"/>
      <w:marTop w:val="0"/>
      <w:marBottom w:val="0"/>
      <w:divBdr>
        <w:top w:val="none" w:sz="0" w:space="0" w:color="auto"/>
        <w:left w:val="none" w:sz="0" w:space="0" w:color="auto"/>
        <w:bottom w:val="none" w:sz="0" w:space="0" w:color="auto"/>
        <w:right w:val="none" w:sz="0" w:space="0" w:color="auto"/>
      </w:divBdr>
    </w:div>
    <w:div w:id="1419865253">
      <w:bodyDiv w:val="1"/>
      <w:marLeft w:val="0"/>
      <w:marRight w:val="0"/>
      <w:marTop w:val="0"/>
      <w:marBottom w:val="0"/>
      <w:divBdr>
        <w:top w:val="none" w:sz="0" w:space="0" w:color="auto"/>
        <w:left w:val="none" w:sz="0" w:space="0" w:color="auto"/>
        <w:bottom w:val="none" w:sz="0" w:space="0" w:color="auto"/>
        <w:right w:val="none" w:sz="0" w:space="0" w:color="auto"/>
      </w:divBdr>
    </w:div>
    <w:div w:id="156698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unfccc.int/topics/gender/workstreams/the-enhanced-lima-work-programme-on-gender" TargetMode="External"/><Relationship Id="rId26" Type="http://schemas.openxmlformats.org/officeDocument/2006/relationships/hyperlink" Target="https://unfccc.int/documents/653290" TargetMode="External"/><Relationship Id="rId3" Type="http://schemas.openxmlformats.org/officeDocument/2006/relationships/customXml" Target="../customXml/item3.xml"/><Relationship Id="rId21" Type="http://schemas.openxmlformats.org/officeDocument/2006/relationships/hyperlink" Target="https://unfccc.int/documents/204536"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unfccc.int/process-and-meetings/the-paris-agreement" TargetMode="External"/><Relationship Id="rId25" Type="http://schemas.openxmlformats.org/officeDocument/2006/relationships/hyperlink" Target="https://unfccc.int/documents/64975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edf-feph.org" TargetMode="External"/><Relationship Id="rId20" Type="http://schemas.openxmlformats.org/officeDocument/2006/relationships/hyperlink" Target="https://unfccc.int/documents/644433" TargetMode="External"/><Relationship Id="rId29" Type="http://schemas.openxmlformats.org/officeDocument/2006/relationships/hyperlink" Target="mailto:info@edf-feph.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24" Type="http://schemas.openxmlformats.org/officeDocument/2006/relationships/hyperlink" Target="https://unfccc.int/documents/638589"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info@edf-feph.org" TargetMode="External"/><Relationship Id="rId23" Type="http://schemas.openxmlformats.org/officeDocument/2006/relationships/hyperlink" Target="https://unfccc.int/documents/627886" TargetMode="External"/><Relationship Id="rId28" Type="http://schemas.openxmlformats.org/officeDocument/2006/relationships/hyperlink" Target="http://www.edf-feph.org" TargetMode="External"/><Relationship Id="rId10" Type="http://schemas.openxmlformats.org/officeDocument/2006/relationships/image" Target="media/image1.png"/><Relationship Id="rId19" Type="http://schemas.openxmlformats.org/officeDocument/2006/relationships/hyperlink" Target="https://unfccc.int/topics/gender/workstreams/the-gender-action-pla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unfccc.int/sites/default/files/resource/cp2019_13a01E.pdf" TargetMode="External"/><Relationship Id="rId27" Type="http://schemas.openxmlformats.org/officeDocument/2006/relationships/hyperlink" Target="https://unfccc.int/documents/649296" TargetMode="External"/><Relationship Id="rId3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09193b-fc47-4219-a883-12ef0cde8689">
      <Terms xmlns="http://schemas.microsoft.com/office/infopath/2007/PartnerControls"/>
    </lcf76f155ced4ddcb4097134ff3c332f>
    <TaxCatchAll xmlns="252f4827-23ce-43c5-a232-6be14f1d3f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A93ADCB5E9954D932071C14D018D3D" ma:contentTypeVersion="13" ma:contentTypeDescription="Create a new document." ma:contentTypeScope="" ma:versionID="55cb76633e0946e17b47b9a102e91d53">
  <xsd:schema xmlns:xsd="http://www.w3.org/2001/XMLSchema" xmlns:xs="http://www.w3.org/2001/XMLSchema" xmlns:p="http://schemas.microsoft.com/office/2006/metadata/properties" xmlns:ns2="1109193b-fc47-4219-a883-12ef0cde8689" xmlns:ns3="252f4827-23ce-43c5-a232-6be14f1d3f55" targetNamespace="http://schemas.microsoft.com/office/2006/metadata/properties" ma:root="true" ma:fieldsID="f1e231b0b8105c3ae6ceb405ee5ec1dd" ns2:_="" ns3:_="">
    <xsd:import namespace="1109193b-fc47-4219-a883-12ef0cde8689"/>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93b-fc47-4219-a883-12ef0cde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a1116-0169-41de-8203-2a351fb933a2}"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FACE6-0306-4992-9A4A-619CB41FFE9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810d2ae5-c5fd-470d-87fb-47ebe661fb7f"/>
    <ds:schemaRef ds:uri="http://www.w3.org/XML/1998/namespace"/>
  </ds:schemaRefs>
</ds:datastoreItem>
</file>

<file path=customXml/itemProps2.xml><?xml version="1.0" encoding="utf-8"?>
<ds:datastoreItem xmlns:ds="http://schemas.openxmlformats.org/officeDocument/2006/customXml" ds:itemID="{DE93E6FC-A3F3-47E9-B380-96D85B24E984}">
  <ds:schemaRefs>
    <ds:schemaRef ds:uri="http://schemas.microsoft.com/sharepoint/v3/contenttype/forms"/>
  </ds:schemaRefs>
</ds:datastoreItem>
</file>

<file path=customXml/itemProps3.xml><?xml version="1.0" encoding="utf-8"?>
<ds:datastoreItem xmlns:ds="http://schemas.openxmlformats.org/officeDocument/2006/customXml" ds:itemID="{951C3F24-FB1F-433C-ACB3-075526AA5E11}"/>
</file>

<file path=docProps/app.xml><?xml version="1.0" encoding="utf-8"?>
<Properties xmlns="http://schemas.openxmlformats.org/officeDocument/2006/extended-properties" xmlns:vt="http://schemas.openxmlformats.org/officeDocument/2006/docPropsVTypes">
  <Template>Normal</Template>
  <TotalTime>1</TotalTime>
  <Pages>13</Pages>
  <Words>3357</Words>
  <Characters>19138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Wambui Muchaba (DEV - Student)</cp:lastModifiedBy>
  <cp:revision>2</cp:revision>
  <dcterms:created xsi:type="dcterms:W3CDTF">2026-02-04T10:50:00Z</dcterms:created>
  <dcterms:modified xsi:type="dcterms:W3CDTF">2026-02-04T10:50:00Z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0x01010085A93ADCB5E9954D932071C14D018D3D</vt:lpwstr>
  </property>
  <property fmtid="{D5CDD505-2E9C-101B-9397-08002B2CF9AE}" pid="3" name="Order">
    <vt:r8>4021600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