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F546B" w14:textId="31E1B019" w:rsidR="008054A7" w:rsidRDefault="008054A7" w:rsidP="00541EBA">
      <w:pPr>
        <w:spacing w:before="240"/>
        <w:jc w:val="center"/>
      </w:pPr>
      <w:r>
        <w:rPr>
          <w:noProof/>
        </w:rPr>
        <mc:AlternateContent>
          <mc:Choice Requires="wps">
            <w:drawing>
              <wp:anchor distT="0" distB="0" distL="114300" distR="114300" simplePos="0" relativeHeight="251658241" behindDoc="1" locked="0" layoutInCell="1" allowOverlap="1" wp14:anchorId="445129B1" wp14:editId="3E5FB609">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8DE833" id="Rectangle 6" o:spid="_x0000_s1026" alt="&quot;&quot;" style="position:absolute;margin-left:0;margin-top:-47pt;width:528.85pt;height:790pt;z-index:-25165670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" filled="f" strokecolor="white [3212]" strokeweight="6pt">
                <w10:wrap anchorx="margin"/>
              </v:rect>
            </w:pict>
          </mc:Fallback>
        </mc:AlternateContent>
      </w:r>
      <w:r w:rsidRPr="00606390">
        <w:rPr>
          <w:noProof/>
        </w:rPr>
        <mc:AlternateContent>
          <mc:Choice Requires="wps">
            <w:drawing>
              <wp:anchor distT="0" distB="0" distL="114300" distR="114300" simplePos="0" relativeHeight="251658240" behindDoc="1" locked="0" layoutInCell="1" allowOverlap="1" wp14:anchorId="0C463329" wp14:editId="2A78DD99">
                <wp:simplePos x="0" y="0"/>
                <wp:positionH relativeFrom="page">
                  <wp:align>left</wp:align>
                </wp:positionH>
                <wp:positionV relativeFrom="paragraph">
                  <wp:posOffset>-916305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C28729" id="Rectangle 1" o:spid="_x0000_s1026" alt="&quot;&quot;" style="position:absolute;margin-left:0;margin-top:-72.15pt;width:593.55pt;height:870.65pt;z-index:-25165721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" fillcolor="#2e73ac" strokecolor="#1f3763 [1604]" strokeweight="1pt">
                <w10:wrap anchorx="page"/>
              </v:rect>
            </w:pict>
          </mc:Fallback>
        </mc:AlternateContent>
      </w:r>
      <w:r>
        <w:rPr>
          <w:noProof/>
        </w:rPr>
        <w:drawing>
          <wp:inline distT="0" distB="0" distL="0" distR="0" wp14:anchorId="3382C997" wp14:editId="3B7C6805">
            <wp:extent cx="1609344" cy="1783080"/>
            <wp:effectExtent l="0" t="0" r="0" b="762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344" cy="1783080"/>
                    </a:xfrm>
                    <a:prstGeom prst="rect">
                      <a:avLst/>
                    </a:prstGeom>
                    <a:noFill/>
                    <a:ln>
                      <a:noFill/>
                    </a:ln>
                  </pic:spPr>
                </pic:pic>
              </a:graphicData>
            </a:graphic>
          </wp:inline>
        </w:drawing>
      </w:r>
    </w:p>
    <w:p w14:paraId="2FEBFBB6" w14:textId="2438078E" w:rsidR="00D11DAB" w:rsidRPr="00253E24" w:rsidRDefault="00B22F14" w:rsidP="00D11DAB">
      <w:pPr>
        <w:pStyle w:val="Title"/>
        <w:spacing w:before="360"/>
        <w:rPr>
          <w:lang w:val="en-GB"/>
        </w:rPr>
      </w:pPr>
      <w:r w:rsidRPr="00253E24">
        <w:rPr>
          <w:lang w:val="en-GB"/>
        </w:rPr>
        <w:t xml:space="preserve">Audiovisual Media Services Directive (AVMSD) </w:t>
      </w:r>
    </w:p>
    <w:p w14:paraId="2BCF485D" w14:textId="1E15C74F" w:rsidR="008054A7" w:rsidRDefault="00E47FF5" w:rsidP="00355289">
      <w:pPr>
        <w:pStyle w:val="Subtitle"/>
        <w:spacing w:before="480"/>
      </w:pPr>
      <w:r w:rsidRPr="00606390">
        <w:t xml:space="preserve">European Disability </w:t>
      </w:r>
      <w:r w:rsidR="00606390">
        <w:t>Forum</w:t>
      </w:r>
      <w:r w:rsidR="00B22F14">
        <w:t xml:space="preserve"> (EDF)</w:t>
      </w:r>
      <w:r w:rsidR="00606390">
        <w:t xml:space="preserve"> </w:t>
      </w:r>
    </w:p>
    <w:p w14:paraId="1C5853C0" w14:textId="3E178719" w:rsidR="00D11DAB" w:rsidRPr="007919A3" w:rsidRDefault="00D11DAB" w:rsidP="00D11DAB">
      <w:pPr>
        <w:pStyle w:val="Subtitle"/>
        <w:spacing w:after="360"/>
        <w:rPr>
          <w:rFonts w:cs="Arial"/>
        </w:rPr>
      </w:pPr>
      <w:r w:rsidRPr="007919A3">
        <w:rPr>
          <w:rFonts w:cs="Arial"/>
          <w:noProof/>
          <w14:textOutline w14:w="0" w14:cap="rnd" w14:cmpd="sng" w14:algn="ctr">
            <w14:noFill/>
            <w14:prstDash w14:val="solid"/>
            <w14:bevel/>
          </w14:textOutline>
        </w:rPr>
        <mc:AlternateContent>
          <mc:Choice Requires="wps">
            <w:drawing>
              <wp:anchor distT="0" distB="0" distL="114300" distR="114300" simplePos="0" relativeHeight="251658242" behindDoc="1" locked="0" layoutInCell="1" allowOverlap="1" wp14:anchorId="31CD50D3" wp14:editId="53D16BFD">
                <wp:simplePos x="0" y="0"/>
                <wp:positionH relativeFrom="page">
                  <wp:align>right</wp:align>
                </wp:positionH>
                <wp:positionV relativeFrom="paragraph">
                  <wp:posOffset>462412</wp:posOffset>
                </wp:positionV>
                <wp:extent cx="7549116" cy="595423"/>
                <wp:effectExtent l="0" t="0" r="13970" b="1460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116" cy="595423"/>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17E2C" id="Rectangle 3" o:spid="_x0000_s1026" alt="&quot;&quot;" style="position:absolute;margin-left:543.2pt;margin-top:36.4pt;width:594.4pt;height:46.9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" fillcolor="#a20000" strokecolor="#1f3763 [1604]" strokeweight="1pt">
                <w10:wrap anchorx="page"/>
              </v:rect>
            </w:pict>
          </mc:Fallback>
        </mc:AlternateContent>
      </w:r>
      <w:r w:rsidR="00B22F14" w:rsidRPr="007919A3">
        <w:rPr>
          <w:rFonts w:cs="Arial"/>
        </w:rPr>
        <w:t xml:space="preserve">April 2026 </w:t>
      </w:r>
    </w:p>
    <w:p w14:paraId="75770BC9" w14:textId="62ECC797" w:rsidR="00E62CBF" w:rsidRPr="007919A3" w:rsidRDefault="001D0E9F" w:rsidP="00D11DAB">
      <w:pPr>
        <w:spacing w:before="360" w:after="840"/>
        <w:rPr>
          <w:rFonts w:ascii="Arial" w:hAnsi="Arial" w:cs="Arial"/>
          <w:b/>
          <w:bCs/>
          <w:color w:val="FFFFFF" w:themeColor="background1"/>
          <w:sz w:val="28"/>
          <w:szCs w:val="28"/>
        </w:rPr>
      </w:pPr>
      <w:r w:rsidRPr="007919A3">
        <w:rPr>
          <w:rFonts w:ascii="Arial" w:hAnsi="Arial" w:cs="Arial"/>
          <w:noProof/>
        </w:rPr>
        <w:drawing>
          <wp:anchor distT="0" distB="0" distL="114300" distR="114300" simplePos="0" relativeHeight="251658243" behindDoc="0" locked="0" layoutInCell="1" allowOverlap="1" wp14:anchorId="34DBB516" wp14:editId="77BF075D">
            <wp:simplePos x="0" y="0"/>
            <wp:positionH relativeFrom="column">
              <wp:posOffset>2221230</wp:posOffset>
            </wp:positionH>
            <wp:positionV relativeFrom="paragraph">
              <wp:posOffset>1936750</wp:posOffset>
            </wp:positionV>
            <wp:extent cx="1162050" cy="1178023"/>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2050" cy="11780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919A3">
        <w:rPr>
          <w:rFonts w:ascii="Arial" w:hAnsi="Arial" w:cs="Arial"/>
          <w:noProof/>
        </w:rPr>
        <mc:AlternateContent>
          <mc:Choice Requires="wps">
            <w:drawing>
              <wp:anchor distT="45720" distB="45720" distL="114300" distR="114300" simplePos="0" relativeHeight="251658244" behindDoc="0" locked="0" layoutInCell="1" allowOverlap="1" wp14:anchorId="4EB21E1F" wp14:editId="185E285A">
                <wp:simplePos x="0" y="0"/>
                <wp:positionH relativeFrom="margin">
                  <wp:align>center</wp:align>
                </wp:positionH>
                <wp:positionV relativeFrom="paragraph">
                  <wp:posOffset>638810</wp:posOffset>
                </wp:positionV>
                <wp:extent cx="52863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404620"/>
                        </a:xfrm>
                        <a:prstGeom prst="rect">
                          <a:avLst/>
                        </a:prstGeom>
                        <a:noFill/>
                        <a:ln w="9525">
                          <a:noFill/>
                          <a:miter lim="800000"/>
                          <a:headEnd/>
                          <a:tailEnd/>
                        </a:ln>
                      </wps:spPr>
                      <wps:txbx>
                        <w:txbxContent>
                          <w:p w14:paraId="284CCEDC" w14:textId="18B1A03D" w:rsidR="00734CD5" w:rsidRDefault="00734CD5">
                            <w:r w:rsidRPr="007919A3">
                              <w:rPr>
                                <w:rFonts w:ascii="Arial" w:hAnsi="Arial" w:cs="Arial"/>
                                <w:color w:val="FFFFFF" w:themeColor="background1"/>
                                <w:lang w:val="en-GB" w:eastAsia="zh-CN" w:bidi="hi-IN"/>
                              </w:rPr>
                              <w:t>Funded by the European Union. Views and opinions expressed are however those of the author(s) only and do not necessarily reflect those of the European Union or the European Commission. Neither the European Union nor the granting authority can be held responsible for them</w:t>
                            </w:r>
                            <w:r w:rsidR="00FC3C3A">
                              <w:rPr>
                                <w:color w:val="FFFFFF" w:themeColor="background1"/>
                                <w:lang w:val="en-GB" w:eastAsia="zh-CN" w:bidi="hi-IN"/>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B21E1F" id="_x0000_t202" coordsize="21600,21600" o:spt="202" path="m,l,21600r21600,l21600,xe">
                <v:stroke joinstyle="miter"/>
                <v:path gradientshapeok="t" o:connecttype="rect"/>
              </v:shapetype>
              <v:shape id="Text Box 2" o:spid="_x0000_s1026" type="#_x0000_t202" style="position:absolute;margin-left:0;margin-top:50.3pt;width:416.25pt;height:110.6pt;z-index:25165824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" filled="f" stroked="f">
                <v:textbox style="mso-fit-shape-to-text:t">
                  <w:txbxContent>
                    <w:p w14:paraId="284CCEDC" w14:textId="18B1A03D" w:rsidR="00734CD5" w:rsidRDefault="00734CD5">
                      <w:r w:rsidRPr="007919A3">
                        <w:rPr>
                          <w:rFonts w:ascii="Arial" w:hAnsi="Arial" w:cs="Arial"/>
                          <w:color w:val="FFFFFF" w:themeColor="background1"/>
                          <w:lang w:val="en-GB" w:eastAsia="zh-CN" w:bidi="hi-IN"/>
                        </w:rPr>
                        <w:t>Funded by the European Union. Views and opinions expressed are however those of the author(s) only and do not necessarily reflect those of the European Union or the European Commission. Neither the European Union nor the granting authority can be held responsible for them</w:t>
                      </w:r>
                      <w:r w:rsidR="00FC3C3A">
                        <w:rPr>
                          <w:color w:val="FFFFFF" w:themeColor="background1"/>
                          <w:lang w:val="en-GB" w:eastAsia="zh-CN" w:bidi="hi-IN"/>
                        </w:rPr>
                        <w:t xml:space="preserve">. </w:t>
                      </w:r>
                    </w:p>
                  </w:txbxContent>
                </v:textbox>
                <w10:wrap type="square" anchorx="margin"/>
              </v:shape>
            </w:pict>
          </mc:Fallback>
        </mc:AlternateContent>
      </w:r>
      <w:r w:rsidR="00B22F14" w:rsidRPr="007919A3">
        <w:rPr>
          <w:rFonts w:ascii="Arial" w:hAnsi="Arial" w:cs="Arial"/>
          <w:b/>
          <w:bCs/>
          <w:color w:val="FFFFFF" w:themeColor="background1"/>
          <w:sz w:val="28"/>
          <w:szCs w:val="28"/>
        </w:rPr>
        <w:t xml:space="preserve">EDF </w:t>
      </w:r>
      <w:r w:rsidR="00A312F3">
        <w:rPr>
          <w:rFonts w:ascii="Arial" w:hAnsi="Arial" w:cs="Arial"/>
          <w:b/>
          <w:bCs/>
          <w:color w:val="FFFFFF" w:themeColor="background1"/>
          <w:sz w:val="28"/>
          <w:szCs w:val="28"/>
        </w:rPr>
        <w:t>recommendations</w:t>
      </w:r>
      <w:r w:rsidR="00B22F14" w:rsidRPr="007919A3">
        <w:rPr>
          <w:rFonts w:ascii="Arial" w:hAnsi="Arial" w:cs="Arial"/>
          <w:b/>
          <w:bCs/>
          <w:color w:val="FFFFFF" w:themeColor="background1"/>
          <w:sz w:val="28"/>
          <w:szCs w:val="28"/>
        </w:rPr>
        <w:t xml:space="preserve"> for the upcoming AVMSD revision  </w:t>
      </w:r>
    </w:p>
    <w:p w14:paraId="79A4A1C9" w14:textId="08FC674B" w:rsidR="00A9576D" w:rsidRPr="009314DF" w:rsidRDefault="00A9576D" w:rsidP="008054A7">
      <w:pPr>
        <w:pStyle w:val="Heading1"/>
        <w:pageBreakBefore/>
        <w:rPr>
          <w:rFonts w:cs="Arial"/>
        </w:rPr>
      </w:pPr>
      <w:bookmarkStart w:id="0" w:name="_Toc228456454"/>
      <w:r>
        <w:lastRenderedPageBreak/>
        <w:t>T</w:t>
      </w:r>
      <w:r w:rsidRPr="009314DF">
        <w:rPr>
          <w:rFonts w:cs="Arial"/>
        </w:rPr>
        <w:t>able of Contents</w:t>
      </w:r>
      <w:bookmarkEnd w:id="0"/>
    </w:p>
    <w:p w14:paraId="1C87172A" w14:textId="78DB1A32" w:rsidR="00D435CE" w:rsidRPr="00D435CE" w:rsidRDefault="00A9576D">
      <w:pPr>
        <w:pStyle w:val="TOC1"/>
        <w:tabs>
          <w:tab w:val="right" w:leader="dot" w:pos="9016"/>
        </w:tabs>
        <w:rPr>
          <w:rFonts w:ascii="Arial\" w:eastAsiaTheme="minorEastAsia" w:hAnsi="Arial\"/>
          <w:noProof/>
          <w:kern w:val="2"/>
          <w:szCs w:val="24"/>
          <w:lang w:val="en-GB" w:eastAsia="en-GB"/>
          <w14:ligatures w14:val="standardContextual"/>
        </w:rPr>
      </w:pPr>
      <w:r w:rsidRPr="009314DF">
        <w:rPr>
          <w:rFonts w:ascii="Arial" w:hAnsi="Arial" w:cs="Arial"/>
        </w:rPr>
        <w:fldChar w:fldCharType="begin"/>
      </w:r>
      <w:r w:rsidRPr="009314DF">
        <w:rPr>
          <w:rFonts w:ascii="Arial" w:hAnsi="Arial" w:cs="Arial"/>
        </w:rPr>
        <w:instrText xml:space="preserve"> TOC \o "1-2" \h \z \u </w:instrText>
      </w:r>
      <w:r w:rsidRPr="009314DF">
        <w:rPr>
          <w:rFonts w:ascii="Arial" w:hAnsi="Arial" w:cs="Arial"/>
        </w:rPr>
        <w:fldChar w:fldCharType="separate"/>
      </w:r>
      <w:hyperlink w:anchor="_Toc228456454" w:history="1">
        <w:r w:rsidR="00D435CE" w:rsidRPr="00D435CE">
          <w:rPr>
            <w:rStyle w:val="Hyperlink"/>
            <w:rFonts w:ascii="Arial\" w:hAnsi="Arial\"/>
            <w:noProof/>
          </w:rPr>
          <w:t>T</w:t>
        </w:r>
        <w:r w:rsidR="00D435CE" w:rsidRPr="00D435CE">
          <w:rPr>
            <w:rStyle w:val="Hyperlink"/>
            <w:rFonts w:ascii="Arial\" w:hAnsi="Arial\" w:cs="Arial"/>
            <w:noProof/>
          </w:rPr>
          <w:t>able of Contents</w:t>
        </w:r>
        <w:r w:rsidR="00D435CE" w:rsidRPr="00D435CE">
          <w:rPr>
            <w:rFonts w:ascii="Arial\" w:hAnsi="Arial\"/>
            <w:noProof/>
            <w:webHidden/>
          </w:rPr>
          <w:tab/>
        </w:r>
        <w:r w:rsidR="00D435CE" w:rsidRPr="00D435CE">
          <w:rPr>
            <w:rFonts w:ascii="Arial\" w:hAnsi="Arial\"/>
            <w:noProof/>
            <w:webHidden/>
          </w:rPr>
          <w:fldChar w:fldCharType="begin"/>
        </w:r>
        <w:r w:rsidR="00D435CE" w:rsidRPr="00D435CE">
          <w:rPr>
            <w:rFonts w:ascii="Arial\" w:hAnsi="Arial\"/>
            <w:noProof/>
            <w:webHidden/>
          </w:rPr>
          <w:instrText xml:space="preserve"> PAGEREF _Toc228456454 \h </w:instrText>
        </w:r>
        <w:r w:rsidR="00D435CE" w:rsidRPr="00D435CE">
          <w:rPr>
            <w:rFonts w:ascii="Arial\" w:hAnsi="Arial\"/>
            <w:noProof/>
            <w:webHidden/>
          </w:rPr>
        </w:r>
        <w:r w:rsidR="00D435CE" w:rsidRPr="00D435CE">
          <w:rPr>
            <w:rFonts w:ascii="Arial\" w:hAnsi="Arial\"/>
            <w:noProof/>
            <w:webHidden/>
          </w:rPr>
          <w:fldChar w:fldCharType="separate"/>
        </w:r>
        <w:r w:rsidR="008B6E87">
          <w:rPr>
            <w:rFonts w:ascii="Arial\" w:hAnsi="Arial\"/>
            <w:noProof/>
            <w:webHidden/>
          </w:rPr>
          <w:t>2</w:t>
        </w:r>
        <w:r w:rsidR="00D435CE" w:rsidRPr="00D435CE">
          <w:rPr>
            <w:rFonts w:ascii="Arial\" w:hAnsi="Arial\"/>
            <w:noProof/>
            <w:webHidden/>
          </w:rPr>
          <w:fldChar w:fldCharType="end"/>
        </w:r>
      </w:hyperlink>
    </w:p>
    <w:p w14:paraId="0590711D" w14:textId="1F0DA915" w:rsidR="00D435CE" w:rsidRPr="00D435CE" w:rsidRDefault="00D435CE">
      <w:pPr>
        <w:pStyle w:val="TOC1"/>
        <w:tabs>
          <w:tab w:val="right" w:leader="dot" w:pos="9016"/>
        </w:tabs>
        <w:rPr>
          <w:rFonts w:ascii="Arial\" w:eastAsiaTheme="minorEastAsia" w:hAnsi="Arial\"/>
          <w:noProof/>
          <w:kern w:val="2"/>
          <w:szCs w:val="24"/>
          <w:lang w:val="en-GB" w:eastAsia="en-GB"/>
          <w14:ligatures w14:val="standardContextual"/>
        </w:rPr>
      </w:pPr>
      <w:hyperlink w:anchor="_Toc228456455" w:history="1">
        <w:r w:rsidRPr="00D435CE">
          <w:rPr>
            <w:rStyle w:val="Hyperlink"/>
            <w:rFonts w:ascii="Arial\" w:hAnsi="Arial\" w:cs="Arial"/>
            <w:noProof/>
          </w:rPr>
          <w:t>Introduction</w:t>
        </w:r>
        <w:r w:rsidRPr="00D435CE">
          <w:rPr>
            <w:rFonts w:ascii="Arial\" w:hAnsi="Arial\"/>
            <w:noProof/>
            <w:webHidden/>
          </w:rPr>
          <w:tab/>
        </w:r>
        <w:r w:rsidRPr="00D435CE">
          <w:rPr>
            <w:rFonts w:ascii="Arial\" w:hAnsi="Arial\"/>
            <w:noProof/>
            <w:webHidden/>
          </w:rPr>
          <w:fldChar w:fldCharType="begin"/>
        </w:r>
        <w:r w:rsidRPr="00D435CE">
          <w:rPr>
            <w:rFonts w:ascii="Arial\" w:hAnsi="Arial\"/>
            <w:noProof/>
            <w:webHidden/>
          </w:rPr>
          <w:instrText xml:space="preserve"> PAGEREF _Toc228456455 \h </w:instrText>
        </w:r>
        <w:r w:rsidRPr="00D435CE">
          <w:rPr>
            <w:rFonts w:ascii="Arial\" w:hAnsi="Arial\"/>
            <w:noProof/>
            <w:webHidden/>
          </w:rPr>
        </w:r>
        <w:r w:rsidRPr="00D435CE">
          <w:rPr>
            <w:rFonts w:ascii="Arial\" w:hAnsi="Arial\"/>
            <w:noProof/>
            <w:webHidden/>
          </w:rPr>
          <w:fldChar w:fldCharType="separate"/>
        </w:r>
        <w:r w:rsidR="008B6E87">
          <w:rPr>
            <w:rFonts w:ascii="Arial\" w:hAnsi="Arial\"/>
            <w:noProof/>
            <w:webHidden/>
          </w:rPr>
          <w:t>2</w:t>
        </w:r>
        <w:r w:rsidRPr="00D435CE">
          <w:rPr>
            <w:rFonts w:ascii="Arial\" w:hAnsi="Arial\"/>
            <w:noProof/>
            <w:webHidden/>
          </w:rPr>
          <w:fldChar w:fldCharType="end"/>
        </w:r>
      </w:hyperlink>
    </w:p>
    <w:p w14:paraId="11502A9F" w14:textId="5CF6D065" w:rsidR="00D435CE" w:rsidRPr="00D435CE" w:rsidRDefault="00D435CE">
      <w:pPr>
        <w:pStyle w:val="TOC2"/>
        <w:tabs>
          <w:tab w:val="right" w:leader="dot" w:pos="9016"/>
        </w:tabs>
        <w:rPr>
          <w:rFonts w:ascii="Arial\" w:eastAsiaTheme="minorEastAsia" w:hAnsi="Arial\"/>
          <w:noProof/>
          <w:kern w:val="2"/>
          <w:szCs w:val="24"/>
          <w:lang w:val="en-GB" w:eastAsia="en-GB"/>
          <w14:ligatures w14:val="standardContextual"/>
        </w:rPr>
      </w:pPr>
      <w:hyperlink w:anchor="_Toc228456456" w:history="1">
        <w:r w:rsidRPr="00D435CE">
          <w:rPr>
            <w:rStyle w:val="Hyperlink"/>
            <w:rFonts w:ascii="Arial\" w:hAnsi="Arial\"/>
            <w:noProof/>
            <w:lang w:val="en-GB"/>
          </w:rPr>
          <w:t>Executive Summary</w:t>
        </w:r>
        <w:r w:rsidRPr="00D435CE">
          <w:rPr>
            <w:rFonts w:ascii="Arial\" w:hAnsi="Arial\"/>
            <w:noProof/>
            <w:webHidden/>
          </w:rPr>
          <w:tab/>
        </w:r>
        <w:r w:rsidRPr="00D435CE">
          <w:rPr>
            <w:rFonts w:ascii="Arial\" w:hAnsi="Arial\"/>
            <w:noProof/>
            <w:webHidden/>
          </w:rPr>
          <w:fldChar w:fldCharType="begin"/>
        </w:r>
        <w:r w:rsidRPr="00D435CE">
          <w:rPr>
            <w:rFonts w:ascii="Arial\" w:hAnsi="Arial\"/>
            <w:noProof/>
            <w:webHidden/>
          </w:rPr>
          <w:instrText xml:space="preserve"> PAGEREF _Toc228456456 \h </w:instrText>
        </w:r>
        <w:r w:rsidRPr="00D435CE">
          <w:rPr>
            <w:rFonts w:ascii="Arial\" w:hAnsi="Arial\"/>
            <w:noProof/>
            <w:webHidden/>
          </w:rPr>
        </w:r>
        <w:r w:rsidRPr="00D435CE">
          <w:rPr>
            <w:rFonts w:ascii="Arial\" w:hAnsi="Arial\"/>
            <w:noProof/>
            <w:webHidden/>
          </w:rPr>
          <w:fldChar w:fldCharType="separate"/>
        </w:r>
        <w:r w:rsidR="008B6E87">
          <w:rPr>
            <w:rFonts w:ascii="Arial\" w:hAnsi="Arial\"/>
            <w:noProof/>
            <w:webHidden/>
          </w:rPr>
          <w:t>2</w:t>
        </w:r>
        <w:r w:rsidRPr="00D435CE">
          <w:rPr>
            <w:rFonts w:ascii="Arial\" w:hAnsi="Arial\"/>
            <w:noProof/>
            <w:webHidden/>
          </w:rPr>
          <w:fldChar w:fldCharType="end"/>
        </w:r>
      </w:hyperlink>
    </w:p>
    <w:p w14:paraId="4B7FDB5F" w14:textId="04404A39" w:rsidR="00D435CE" w:rsidRPr="00D435CE" w:rsidRDefault="00D435CE">
      <w:pPr>
        <w:pStyle w:val="TOC2"/>
        <w:tabs>
          <w:tab w:val="right" w:leader="dot" w:pos="9016"/>
        </w:tabs>
        <w:rPr>
          <w:rFonts w:ascii="Arial\" w:eastAsiaTheme="minorEastAsia" w:hAnsi="Arial\"/>
          <w:noProof/>
          <w:kern w:val="2"/>
          <w:szCs w:val="24"/>
          <w:lang w:val="en-GB" w:eastAsia="en-GB"/>
          <w14:ligatures w14:val="standardContextual"/>
        </w:rPr>
      </w:pPr>
      <w:hyperlink w:anchor="_Toc228456457" w:history="1">
        <w:r w:rsidRPr="00D435CE">
          <w:rPr>
            <w:rStyle w:val="Hyperlink"/>
            <w:rFonts w:ascii="Arial\" w:hAnsi="Arial\"/>
            <w:noProof/>
            <w:lang w:val="en-GB"/>
          </w:rPr>
          <w:t>Audiovisual Media Services Directive (AVMSD)</w:t>
        </w:r>
        <w:r w:rsidRPr="00D435CE">
          <w:rPr>
            <w:rFonts w:ascii="Arial\" w:hAnsi="Arial\"/>
            <w:noProof/>
            <w:webHidden/>
          </w:rPr>
          <w:tab/>
        </w:r>
        <w:r w:rsidRPr="00D435CE">
          <w:rPr>
            <w:rFonts w:ascii="Arial\" w:hAnsi="Arial\"/>
            <w:noProof/>
            <w:webHidden/>
          </w:rPr>
          <w:fldChar w:fldCharType="begin"/>
        </w:r>
        <w:r w:rsidRPr="00D435CE">
          <w:rPr>
            <w:rFonts w:ascii="Arial\" w:hAnsi="Arial\"/>
            <w:noProof/>
            <w:webHidden/>
          </w:rPr>
          <w:instrText xml:space="preserve"> PAGEREF _Toc228456457 \h </w:instrText>
        </w:r>
        <w:r w:rsidRPr="00D435CE">
          <w:rPr>
            <w:rFonts w:ascii="Arial\" w:hAnsi="Arial\"/>
            <w:noProof/>
            <w:webHidden/>
          </w:rPr>
        </w:r>
        <w:r w:rsidRPr="00D435CE">
          <w:rPr>
            <w:rFonts w:ascii="Arial\" w:hAnsi="Arial\"/>
            <w:noProof/>
            <w:webHidden/>
          </w:rPr>
          <w:fldChar w:fldCharType="separate"/>
        </w:r>
        <w:r w:rsidR="008B6E87">
          <w:rPr>
            <w:rFonts w:ascii="Arial\" w:hAnsi="Arial\"/>
            <w:noProof/>
            <w:webHidden/>
          </w:rPr>
          <w:t>3</w:t>
        </w:r>
        <w:r w:rsidRPr="00D435CE">
          <w:rPr>
            <w:rFonts w:ascii="Arial\" w:hAnsi="Arial\"/>
            <w:noProof/>
            <w:webHidden/>
          </w:rPr>
          <w:fldChar w:fldCharType="end"/>
        </w:r>
      </w:hyperlink>
    </w:p>
    <w:p w14:paraId="030F9B8A" w14:textId="1E40840C" w:rsidR="00D435CE" w:rsidRPr="00D435CE" w:rsidRDefault="00D435CE">
      <w:pPr>
        <w:pStyle w:val="TOC2"/>
        <w:tabs>
          <w:tab w:val="right" w:leader="dot" w:pos="9016"/>
        </w:tabs>
        <w:rPr>
          <w:rFonts w:ascii="Arial\" w:eastAsiaTheme="minorEastAsia" w:hAnsi="Arial\"/>
          <w:noProof/>
          <w:kern w:val="2"/>
          <w:szCs w:val="24"/>
          <w:lang w:val="en-GB" w:eastAsia="en-GB"/>
          <w14:ligatures w14:val="standardContextual"/>
        </w:rPr>
      </w:pPr>
      <w:hyperlink w:anchor="_Toc228456458" w:history="1">
        <w:r w:rsidRPr="00D435CE">
          <w:rPr>
            <w:rStyle w:val="Hyperlink"/>
            <w:rFonts w:ascii="Arial\" w:hAnsi="Arial\"/>
            <w:noProof/>
            <w:lang w:val="en-GB"/>
          </w:rPr>
          <w:t>Harmonised accessibility requirements</w:t>
        </w:r>
        <w:r w:rsidRPr="00D435CE">
          <w:rPr>
            <w:rFonts w:ascii="Arial\" w:hAnsi="Arial\"/>
            <w:noProof/>
            <w:webHidden/>
          </w:rPr>
          <w:tab/>
        </w:r>
        <w:r w:rsidRPr="00D435CE">
          <w:rPr>
            <w:rFonts w:ascii="Arial\" w:hAnsi="Arial\"/>
            <w:noProof/>
            <w:webHidden/>
          </w:rPr>
          <w:fldChar w:fldCharType="begin"/>
        </w:r>
        <w:r w:rsidRPr="00D435CE">
          <w:rPr>
            <w:rFonts w:ascii="Arial\" w:hAnsi="Arial\"/>
            <w:noProof/>
            <w:webHidden/>
          </w:rPr>
          <w:instrText xml:space="preserve"> PAGEREF _Toc228456458 \h </w:instrText>
        </w:r>
        <w:r w:rsidRPr="00D435CE">
          <w:rPr>
            <w:rFonts w:ascii="Arial\" w:hAnsi="Arial\"/>
            <w:noProof/>
            <w:webHidden/>
          </w:rPr>
        </w:r>
        <w:r w:rsidRPr="00D435CE">
          <w:rPr>
            <w:rFonts w:ascii="Arial\" w:hAnsi="Arial\"/>
            <w:noProof/>
            <w:webHidden/>
          </w:rPr>
          <w:fldChar w:fldCharType="separate"/>
        </w:r>
        <w:r w:rsidR="008B6E87">
          <w:rPr>
            <w:rFonts w:ascii="Arial\" w:hAnsi="Arial\"/>
            <w:noProof/>
            <w:webHidden/>
          </w:rPr>
          <w:t>5</w:t>
        </w:r>
        <w:r w:rsidRPr="00D435CE">
          <w:rPr>
            <w:rFonts w:ascii="Arial\" w:hAnsi="Arial\"/>
            <w:noProof/>
            <w:webHidden/>
          </w:rPr>
          <w:fldChar w:fldCharType="end"/>
        </w:r>
      </w:hyperlink>
    </w:p>
    <w:p w14:paraId="08CEB050" w14:textId="771B6B3E" w:rsidR="00D435CE" w:rsidRPr="00D435CE" w:rsidRDefault="00D435CE">
      <w:pPr>
        <w:pStyle w:val="TOC2"/>
        <w:tabs>
          <w:tab w:val="right" w:leader="dot" w:pos="9016"/>
        </w:tabs>
        <w:rPr>
          <w:rFonts w:ascii="Arial\" w:eastAsiaTheme="minorEastAsia" w:hAnsi="Arial\"/>
          <w:noProof/>
          <w:kern w:val="2"/>
          <w:szCs w:val="24"/>
          <w:lang w:val="en-GB" w:eastAsia="en-GB"/>
          <w14:ligatures w14:val="standardContextual"/>
        </w:rPr>
      </w:pPr>
      <w:hyperlink w:anchor="_Toc228456459" w:history="1">
        <w:r w:rsidRPr="00D435CE">
          <w:rPr>
            <w:rStyle w:val="Hyperlink"/>
            <w:rFonts w:ascii="Arial\" w:hAnsi="Arial\"/>
            <w:noProof/>
          </w:rPr>
          <w:t>Quality considerations in the provision of access services</w:t>
        </w:r>
        <w:r w:rsidRPr="00D435CE">
          <w:rPr>
            <w:rFonts w:ascii="Arial\" w:hAnsi="Arial\"/>
            <w:noProof/>
            <w:webHidden/>
          </w:rPr>
          <w:tab/>
        </w:r>
        <w:r w:rsidRPr="00D435CE">
          <w:rPr>
            <w:rFonts w:ascii="Arial\" w:hAnsi="Arial\"/>
            <w:noProof/>
            <w:webHidden/>
          </w:rPr>
          <w:fldChar w:fldCharType="begin"/>
        </w:r>
        <w:r w:rsidRPr="00D435CE">
          <w:rPr>
            <w:rFonts w:ascii="Arial\" w:hAnsi="Arial\"/>
            <w:noProof/>
            <w:webHidden/>
          </w:rPr>
          <w:instrText xml:space="preserve"> PAGEREF _Toc228456459 \h </w:instrText>
        </w:r>
        <w:r w:rsidRPr="00D435CE">
          <w:rPr>
            <w:rFonts w:ascii="Arial\" w:hAnsi="Arial\"/>
            <w:noProof/>
            <w:webHidden/>
          </w:rPr>
        </w:r>
        <w:r w:rsidRPr="00D435CE">
          <w:rPr>
            <w:rFonts w:ascii="Arial\" w:hAnsi="Arial\"/>
            <w:noProof/>
            <w:webHidden/>
          </w:rPr>
          <w:fldChar w:fldCharType="separate"/>
        </w:r>
        <w:r w:rsidR="008B6E87">
          <w:rPr>
            <w:rFonts w:ascii="Arial\" w:hAnsi="Arial\"/>
            <w:noProof/>
            <w:webHidden/>
          </w:rPr>
          <w:t>6</w:t>
        </w:r>
        <w:r w:rsidRPr="00D435CE">
          <w:rPr>
            <w:rFonts w:ascii="Arial\" w:hAnsi="Arial\"/>
            <w:noProof/>
            <w:webHidden/>
          </w:rPr>
          <w:fldChar w:fldCharType="end"/>
        </w:r>
      </w:hyperlink>
    </w:p>
    <w:p w14:paraId="7C4EA2DC" w14:textId="59562FCC" w:rsidR="00D435CE" w:rsidRPr="00D435CE" w:rsidRDefault="00D435CE">
      <w:pPr>
        <w:pStyle w:val="TOC2"/>
        <w:tabs>
          <w:tab w:val="right" w:leader="dot" w:pos="9016"/>
        </w:tabs>
        <w:rPr>
          <w:rFonts w:ascii="Arial\" w:eastAsiaTheme="minorEastAsia" w:hAnsi="Arial\"/>
          <w:noProof/>
          <w:kern w:val="2"/>
          <w:szCs w:val="24"/>
          <w:lang w:val="en-GB" w:eastAsia="en-GB"/>
          <w14:ligatures w14:val="standardContextual"/>
        </w:rPr>
      </w:pPr>
      <w:hyperlink w:anchor="_Toc228456460" w:history="1">
        <w:r w:rsidRPr="00D435CE">
          <w:rPr>
            <w:rStyle w:val="Hyperlink"/>
            <w:rFonts w:ascii="Arial\" w:hAnsi="Arial\" w:cs="Arial"/>
            <w:noProof/>
          </w:rPr>
          <w:t>Diversity of content made accessible</w:t>
        </w:r>
        <w:r w:rsidRPr="00D435CE">
          <w:rPr>
            <w:rFonts w:ascii="Arial\" w:hAnsi="Arial\"/>
            <w:noProof/>
            <w:webHidden/>
          </w:rPr>
          <w:tab/>
        </w:r>
        <w:r w:rsidRPr="00D435CE">
          <w:rPr>
            <w:rFonts w:ascii="Arial\" w:hAnsi="Arial\"/>
            <w:noProof/>
            <w:webHidden/>
          </w:rPr>
          <w:fldChar w:fldCharType="begin"/>
        </w:r>
        <w:r w:rsidRPr="00D435CE">
          <w:rPr>
            <w:rFonts w:ascii="Arial\" w:hAnsi="Arial\"/>
            <w:noProof/>
            <w:webHidden/>
          </w:rPr>
          <w:instrText xml:space="preserve"> PAGEREF _Toc228456460 \h </w:instrText>
        </w:r>
        <w:r w:rsidRPr="00D435CE">
          <w:rPr>
            <w:rFonts w:ascii="Arial\" w:hAnsi="Arial\"/>
            <w:noProof/>
            <w:webHidden/>
          </w:rPr>
        </w:r>
        <w:r w:rsidRPr="00D435CE">
          <w:rPr>
            <w:rFonts w:ascii="Arial\" w:hAnsi="Arial\"/>
            <w:noProof/>
            <w:webHidden/>
          </w:rPr>
          <w:fldChar w:fldCharType="separate"/>
        </w:r>
        <w:r w:rsidR="008B6E87">
          <w:rPr>
            <w:rFonts w:ascii="Arial\" w:hAnsi="Arial\"/>
            <w:noProof/>
            <w:webHidden/>
          </w:rPr>
          <w:t>7</w:t>
        </w:r>
        <w:r w:rsidRPr="00D435CE">
          <w:rPr>
            <w:rFonts w:ascii="Arial\" w:hAnsi="Arial\"/>
            <w:noProof/>
            <w:webHidden/>
          </w:rPr>
          <w:fldChar w:fldCharType="end"/>
        </w:r>
      </w:hyperlink>
    </w:p>
    <w:p w14:paraId="6FCAD2C9" w14:textId="417F0A3A" w:rsidR="00D435CE" w:rsidRPr="00D435CE" w:rsidRDefault="00D435CE">
      <w:pPr>
        <w:pStyle w:val="TOC2"/>
        <w:tabs>
          <w:tab w:val="right" w:leader="dot" w:pos="9016"/>
        </w:tabs>
        <w:rPr>
          <w:rFonts w:ascii="Arial\" w:eastAsiaTheme="minorEastAsia" w:hAnsi="Arial\"/>
          <w:noProof/>
          <w:kern w:val="2"/>
          <w:szCs w:val="24"/>
          <w:lang w:val="en-GB" w:eastAsia="en-GB"/>
          <w14:ligatures w14:val="standardContextual"/>
        </w:rPr>
      </w:pPr>
      <w:hyperlink w:anchor="_Toc228456461" w:history="1">
        <w:r w:rsidRPr="00D435CE">
          <w:rPr>
            <w:rStyle w:val="Hyperlink"/>
            <w:rFonts w:ascii="Arial\" w:hAnsi="Arial\" w:cs="Arial"/>
            <w:noProof/>
          </w:rPr>
          <w:t>Video-sharing platforms, social media and online news portals</w:t>
        </w:r>
        <w:r w:rsidRPr="00D435CE">
          <w:rPr>
            <w:rFonts w:ascii="Arial\" w:hAnsi="Arial\"/>
            <w:noProof/>
            <w:webHidden/>
          </w:rPr>
          <w:tab/>
        </w:r>
        <w:r w:rsidRPr="00D435CE">
          <w:rPr>
            <w:rFonts w:ascii="Arial\" w:hAnsi="Arial\"/>
            <w:noProof/>
            <w:webHidden/>
          </w:rPr>
          <w:fldChar w:fldCharType="begin"/>
        </w:r>
        <w:r w:rsidRPr="00D435CE">
          <w:rPr>
            <w:rFonts w:ascii="Arial\" w:hAnsi="Arial\"/>
            <w:noProof/>
            <w:webHidden/>
          </w:rPr>
          <w:instrText xml:space="preserve"> PAGEREF _Toc228456461 \h </w:instrText>
        </w:r>
        <w:r w:rsidRPr="00D435CE">
          <w:rPr>
            <w:rFonts w:ascii="Arial\" w:hAnsi="Arial\"/>
            <w:noProof/>
            <w:webHidden/>
          </w:rPr>
        </w:r>
        <w:r w:rsidRPr="00D435CE">
          <w:rPr>
            <w:rFonts w:ascii="Arial\" w:hAnsi="Arial\"/>
            <w:noProof/>
            <w:webHidden/>
          </w:rPr>
          <w:fldChar w:fldCharType="separate"/>
        </w:r>
        <w:r w:rsidR="008B6E87">
          <w:rPr>
            <w:rFonts w:ascii="Arial\" w:hAnsi="Arial\"/>
            <w:noProof/>
            <w:webHidden/>
          </w:rPr>
          <w:t>7</w:t>
        </w:r>
        <w:r w:rsidRPr="00D435CE">
          <w:rPr>
            <w:rFonts w:ascii="Arial\" w:hAnsi="Arial\"/>
            <w:noProof/>
            <w:webHidden/>
          </w:rPr>
          <w:fldChar w:fldCharType="end"/>
        </w:r>
      </w:hyperlink>
    </w:p>
    <w:p w14:paraId="53056A45" w14:textId="50D6815E" w:rsidR="00D435CE" w:rsidRPr="00D435CE" w:rsidRDefault="00D435CE">
      <w:pPr>
        <w:pStyle w:val="TOC2"/>
        <w:tabs>
          <w:tab w:val="right" w:leader="dot" w:pos="9016"/>
        </w:tabs>
        <w:rPr>
          <w:rFonts w:ascii="Arial\" w:eastAsiaTheme="minorEastAsia" w:hAnsi="Arial\"/>
          <w:noProof/>
          <w:kern w:val="2"/>
          <w:szCs w:val="24"/>
          <w:lang w:val="en-GB" w:eastAsia="en-GB"/>
          <w14:ligatures w14:val="standardContextual"/>
        </w:rPr>
      </w:pPr>
      <w:hyperlink w:anchor="_Toc228456462" w:history="1">
        <w:r w:rsidRPr="00D435CE">
          <w:rPr>
            <w:rStyle w:val="Hyperlink"/>
            <w:rFonts w:ascii="Arial\" w:hAnsi="Arial\" w:cs="Arial"/>
            <w:noProof/>
          </w:rPr>
          <w:t>Provision of content in easy-to-understand formats</w:t>
        </w:r>
        <w:r w:rsidRPr="00D435CE">
          <w:rPr>
            <w:rFonts w:ascii="Arial\" w:hAnsi="Arial\"/>
            <w:noProof/>
            <w:webHidden/>
          </w:rPr>
          <w:tab/>
        </w:r>
        <w:r w:rsidRPr="00D435CE">
          <w:rPr>
            <w:rFonts w:ascii="Arial\" w:hAnsi="Arial\"/>
            <w:noProof/>
            <w:webHidden/>
          </w:rPr>
          <w:fldChar w:fldCharType="begin"/>
        </w:r>
        <w:r w:rsidRPr="00D435CE">
          <w:rPr>
            <w:rFonts w:ascii="Arial\" w:hAnsi="Arial\"/>
            <w:noProof/>
            <w:webHidden/>
          </w:rPr>
          <w:instrText xml:space="preserve"> PAGEREF _Toc228456462 \h </w:instrText>
        </w:r>
        <w:r w:rsidRPr="00D435CE">
          <w:rPr>
            <w:rFonts w:ascii="Arial\" w:hAnsi="Arial\"/>
            <w:noProof/>
            <w:webHidden/>
          </w:rPr>
        </w:r>
        <w:r w:rsidRPr="00D435CE">
          <w:rPr>
            <w:rFonts w:ascii="Arial\" w:hAnsi="Arial\"/>
            <w:noProof/>
            <w:webHidden/>
          </w:rPr>
          <w:fldChar w:fldCharType="separate"/>
        </w:r>
        <w:r w:rsidR="008B6E87">
          <w:rPr>
            <w:rFonts w:ascii="Arial\" w:hAnsi="Arial\"/>
            <w:noProof/>
            <w:webHidden/>
          </w:rPr>
          <w:t>8</w:t>
        </w:r>
        <w:r w:rsidRPr="00D435CE">
          <w:rPr>
            <w:rFonts w:ascii="Arial\" w:hAnsi="Arial\"/>
            <w:noProof/>
            <w:webHidden/>
          </w:rPr>
          <w:fldChar w:fldCharType="end"/>
        </w:r>
      </w:hyperlink>
    </w:p>
    <w:p w14:paraId="11CABFA5" w14:textId="0B0935F6" w:rsidR="00D435CE" w:rsidRPr="00D435CE" w:rsidRDefault="00D435CE">
      <w:pPr>
        <w:pStyle w:val="TOC2"/>
        <w:tabs>
          <w:tab w:val="right" w:leader="dot" w:pos="9016"/>
        </w:tabs>
        <w:rPr>
          <w:rFonts w:ascii="Arial\" w:eastAsiaTheme="minorEastAsia" w:hAnsi="Arial\"/>
          <w:noProof/>
          <w:kern w:val="2"/>
          <w:szCs w:val="24"/>
          <w:lang w:val="en-GB" w:eastAsia="en-GB"/>
          <w14:ligatures w14:val="standardContextual"/>
        </w:rPr>
      </w:pPr>
      <w:hyperlink w:anchor="_Toc228456463" w:history="1">
        <w:r w:rsidRPr="00D435CE">
          <w:rPr>
            <w:rStyle w:val="Hyperlink"/>
            <w:rFonts w:ascii="Arial\" w:hAnsi="Arial\" w:cs="Arial"/>
            <w:noProof/>
          </w:rPr>
          <w:t>Accessibility of emergency information</w:t>
        </w:r>
        <w:r w:rsidRPr="00D435CE">
          <w:rPr>
            <w:rFonts w:ascii="Arial\" w:hAnsi="Arial\"/>
            <w:noProof/>
            <w:webHidden/>
          </w:rPr>
          <w:tab/>
        </w:r>
        <w:r w:rsidRPr="00D435CE">
          <w:rPr>
            <w:rFonts w:ascii="Arial\" w:hAnsi="Arial\"/>
            <w:noProof/>
            <w:webHidden/>
          </w:rPr>
          <w:fldChar w:fldCharType="begin"/>
        </w:r>
        <w:r w:rsidRPr="00D435CE">
          <w:rPr>
            <w:rFonts w:ascii="Arial\" w:hAnsi="Arial\"/>
            <w:noProof/>
            <w:webHidden/>
          </w:rPr>
          <w:instrText xml:space="preserve"> PAGEREF _Toc228456463 \h </w:instrText>
        </w:r>
        <w:r w:rsidRPr="00D435CE">
          <w:rPr>
            <w:rFonts w:ascii="Arial\" w:hAnsi="Arial\"/>
            <w:noProof/>
            <w:webHidden/>
          </w:rPr>
        </w:r>
        <w:r w:rsidRPr="00D435CE">
          <w:rPr>
            <w:rFonts w:ascii="Arial\" w:hAnsi="Arial\"/>
            <w:noProof/>
            <w:webHidden/>
          </w:rPr>
          <w:fldChar w:fldCharType="separate"/>
        </w:r>
        <w:r w:rsidR="008B6E87">
          <w:rPr>
            <w:rFonts w:ascii="Arial\" w:hAnsi="Arial\"/>
            <w:noProof/>
            <w:webHidden/>
          </w:rPr>
          <w:t>9</w:t>
        </w:r>
        <w:r w:rsidRPr="00D435CE">
          <w:rPr>
            <w:rFonts w:ascii="Arial\" w:hAnsi="Arial\"/>
            <w:noProof/>
            <w:webHidden/>
          </w:rPr>
          <w:fldChar w:fldCharType="end"/>
        </w:r>
      </w:hyperlink>
    </w:p>
    <w:p w14:paraId="2A26E9F8" w14:textId="59405942" w:rsidR="00D435CE" w:rsidRPr="00D435CE" w:rsidRDefault="00D435CE">
      <w:pPr>
        <w:pStyle w:val="TOC2"/>
        <w:tabs>
          <w:tab w:val="right" w:leader="dot" w:pos="9016"/>
        </w:tabs>
        <w:rPr>
          <w:rFonts w:ascii="Arial\" w:eastAsiaTheme="minorEastAsia" w:hAnsi="Arial\"/>
          <w:noProof/>
          <w:kern w:val="2"/>
          <w:szCs w:val="24"/>
          <w:lang w:val="en-GB" w:eastAsia="en-GB"/>
          <w14:ligatures w14:val="standardContextual"/>
        </w:rPr>
      </w:pPr>
      <w:hyperlink w:anchor="_Toc228456464" w:history="1">
        <w:r w:rsidRPr="00D435CE">
          <w:rPr>
            <w:rStyle w:val="Hyperlink"/>
            <w:rFonts w:ascii="Arial\" w:hAnsi="Arial\" w:cs="Arial"/>
            <w:noProof/>
            <w:lang w:val="en-GB"/>
          </w:rPr>
          <w:t>Stronger cooperation with organisation of persons with disabilities</w:t>
        </w:r>
        <w:r w:rsidRPr="00D435CE">
          <w:rPr>
            <w:rFonts w:ascii="Arial\" w:hAnsi="Arial\"/>
            <w:noProof/>
            <w:webHidden/>
          </w:rPr>
          <w:tab/>
        </w:r>
        <w:r w:rsidRPr="00D435CE">
          <w:rPr>
            <w:rFonts w:ascii="Arial\" w:hAnsi="Arial\"/>
            <w:noProof/>
            <w:webHidden/>
          </w:rPr>
          <w:fldChar w:fldCharType="begin"/>
        </w:r>
        <w:r w:rsidRPr="00D435CE">
          <w:rPr>
            <w:rFonts w:ascii="Arial\" w:hAnsi="Arial\"/>
            <w:noProof/>
            <w:webHidden/>
          </w:rPr>
          <w:instrText xml:space="preserve"> PAGEREF _Toc228456464 \h </w:instrText>
        </w:r>
        <w:r w:rsidRPr="00D435CE">
          <w:rPr>
            <w:rFonts w:ascii="Arial\" w:hAnsi="Arial\"/>
            <w:noProof/>
            <w:webHidden/>
          </w:rPr>
        </w:r>
        <w:r w:rsidRPr="00D435CE">
          <w:rPr>
            <w:rFonts w:ascii="Arial\" w:hAnsi="Arial\"/>
            <w:noProof/>
            <w:webHidden/>
          </w:rPr>
          <w:fldChar w:fldCharType="separate"/>
        </w:r>
        <w:r w:rsidR="008B6E87">
          <w:rPr>
            <w:rFonts w:ascii="Arial\" w:hAnsi="Arial\"/>
            <w:noProof/>
            <w:webHidden/>
          </w:rPr>
          <w:t>10</w:t>
        </w:r>
        <w:r w:rsidRPr="00D435CE">
          <w:rPr>
            <w:rFonts w:ascii="Arial\" w:hAnsi="Arial\"/>
            <w:noProof/>
            <w:webHidden/>
          </w:rPr>
          <w:fldChar w:fldCharType="end"/>
        </w:r>
      </w:hyperlink>
    </w:p>
    <w:p w14:paraId="31EA9E72" w14:textId="531E7AE7" w:rsidR="00D435CE" w:rsidRPr="00D435CE" w:rsidRDefault="00D435CE">
      <w:pPr>
        <w:pStyle w:val="TOC2"/>
        <w:tabs>
          <w:tab w:val="right" w:leader="dot" w:pos="9016"/>
        </w:tabs>
        <w:rPr>
          <w:rFonts w:ascii="Arial\" w:eastAsiaTheme="minorEastAsia" w:hAnsi="Arial\"/>
          <w:noProof/>
          <w:kern w:val="2"/>
          <w:szCs w:val="24"/>
          <w:lang w:val="en-GB" w:eastAsia="en-GB"/>
          <w14:ligatures w14:val="standardContextual"/>
        </w:rPr>
      </w:pPr>
      <w:hyperlink w:anchor="_Toc228456465" w:history="1">
        <w:r w:rsidRPr="00D435CE">
          <w:rPr>
            <w:rStyle w:val="Hyperlink"/>
            <w:rFonts w:ascii="Arial\" w:hAnsi="Arial\"/>
            <w:noProof/>
            <w:lang w:val="en-GB"/>
          </w:rPr>
          <w:t>Audiovisual Accessibility beyond access services</w:t>
        </w:r>
        <w:r w:rsidRPr="00D435CE">
          <w:rPr>
            <w:rFonts w:ascii="Arial\" w:hAnsi="Arial\"/>
            <w:noProof/>
            <w:webHidden/>
          </w:rPr>
          <w:tab/>
        </w:r>
        <w:r w:rsidRPr="00D435CE">
          <w:rPr>
            <w:rFonts w:ascii="Arial\" w:hAnsi="Arial\"/>
            <w:noProof/>
            <w:webHidden/>
          </w:rPr>
          <w:fldChar w:fldCharType="begin"/>
        </w:r>
        <w:r w:rsidRPr="00D435CE">
          <w:rPr>
            <w:rFonts w:ascii="Arial\" w:hAnsi="Arial\"/>
            <w:noProof/>
            <w:webHidden/>
          </w:rPr>
          <w:instrText xml:space="preserve"> PAGEREF _Toc228456465 \h </w:instrText>
        </w:r>
        <w:r w:rsidRPr="00D435CE">
          <w:rPr>
            <w:rFonts w:ascii="Arial\" w:hAnsi="Arial\"/>
            <w:noProof/>
            <w:webHidden/>
          </w:rPr>
        </w:r>
        <w:r w:rsidRPr="00D435CE">
          <w:rPr>
            <w:rFonts w:ascii="Arial\" w:hAnsi="Arial\"/>
            <w:noProof/>
            <w:webHidden/>
          </w:rPr>
          <w:fldChar w:fldCharType="separate"/>
        </w:r>
        <w:r w:rsidR="008B6E87">
          <w:rPr>
            <w:rFonts w:ascii="Arial\" w:hAnsi="Arial\"/>
            <w:noProof/>
            <w:webHidden/>
          </w:rPr>
          <w:t>10</w:t>
        </w:r>
        <w:r w:rsidRPr="00D435CE">
          <w:rPr>
            <w:rFonts w:ascii="Arial\" w:hAnsi="Arial\"/>
            <w:noProof/>
            <w:webHidden/>
          </w:rPr>
          <w:fldChar w:fldCharType="end"/>
        </w:r>
      </w:hyperlink>
    </w:p>
    <w:p w14:paraId="10CD3C9B" w14:textId="4F5FB12A" w:rsidR="00D435CE" w:rsidRPr="00D435CE" w:rsidRDefault="00D435CE">
      <w:pPr>
        <w:pStyle w:val="TOC1"/>
        <w:tabs>
          <w:tab w:val="right" w:leader="dot" w:pos="9016"/>
        </w:tabs>
        <w:rPr>
          <w:rFonts w:ascii="Arial\" w:eastAsiaTheme="minorEastAsia" w:hAnsi="Arial\"/>
          <w:noProof/>
          <w:kern w:val="2"/>
          <w:szCs w:val="24"/>
          <w:lang w:val="en-GB" w:eastAsia="en-GB"/>
          <w14:ligatures w14:val="standardContextual"/>
        </w:rPr>
      </w:pPr>
      <w:hyperlink w:anchor="_Toc228456466" w:history="1">
        <w:r w:rsidRPr="00D435CE">
          <w:rPr>
            <w:rStyle w:val="Hyperlink"/>
            <w:rFonts w:ascii="Arial\" w:hAnsi="Arial\"/>
            <w:noProof/>
          </w:rPr>
          <w:t>Document credits</w:t>
        </w:r>
        <w:r w:rsidRPr="00D435CE">
          <w:rPr>
            <w:rFonts w:ascii="Arial\" w:hAnsi="Arial\"/>
            <w:noProof/>
            <w:webHidden/>
          </w:rPr>
          <w:tab/>
        </w:r>
        <w:r w:rsidRPr="00D435CE">
          <w:rPr>
            <w:rFonts w:ascii="Arial\" w:hAnsi="Arial\"/>
            <w:noProof/>
            <w:webHidden/>
          </w:rPr>
          <w:fldChar w:fldCharType="begin"/>
        </w:r>
        <w:r w:rsidRPr="00D435CE">
          <w:rPr>
            <w:rFonts w:ascii="Arial\" w:hAnsi="Arial\"/>
            <w:noProof/>
            <w:webHidden/>
          </w:rPr>
          <w:instrText xml:space="preserve"> PAGEREF _Toc228456466 \h </w:instrText>
        </w:r>
        <w:r w:rsidRPr="00D435CE">
          <w:rPr>
            <w:rFonts w:ascii="Arial\" w:hAnsi="Arial\"/>
            <w:noProof/>
            <w:webHidden/>
          </w:rPr>
        </w:r>
        <w:r w:rsidRPr="00D435CE">
          <w:rPr>
            <w:rFonts w:ascii="Arial\" w:hAnsi="Arial\"/>
            <w:noProof/>
            <w:webHidden/>
          </w:rPr>
          <w:fldChar w:fldCharType="separate"/>
        </w:r>
        <w:r w:rsidR="008B6E87">
          <w:rPr>
            <w:rFonts w:ascii="Arial\" w:hAnsi="Arial\"/>
            <w:noProof/>
            <w:webHidden/>
          </w:rPr>
          <w:t>11</w:t>
        </w:r>
        <w:r w:rsidRPr="00D435CE">
          <w:rPr>
            <w:rFonts w:ascii="Arial\" w:hAnsi="Arial\"/>
            <w:noProof/>
            <w:webHidden/>
          </w:rPr>
          <w:fldChar w:fldCharType="end"/>
        </w:r>
      </w:hyperlink>
    </w:p>
    <w:p w14:paraId="588D3280" w14:textId="2C9ABAD6" w:rsidR="001E0F08" w:rsidRPr="00CF3B4C" w:rsidRDefault="00A9576D" w:rsidP="00282B80">
      <w:pPr>
        <w:pStyle w:val="Heading1"/>
        <w:rPr>
          <w:rFonts w:cs="Arial"/>
        </w:rPr>
      </w:pPr>
      <w:r w:rsidRPr="009314DF">
        <w:rPr>
          <w:rFonts w:cs="Arial"/>
        </w:rPr>
        <w:fldChar w:fldCharType="end"/>
      </w:r>
      <w:bookmarkStart w:id="1" w:name="_Toc228456455"/>
      <w:r w:rsidR="001E0F08" w:rsidRPr="00CF3B4C">
        <w:rPr>
          <w:rFonts w:cs="Arial"/>
        </w:rPr>
        <w:t>Introduction</w:t>
      </w:r>
      <w:bookmarkEnd w:id="1"/>
    </w:p>
    <w:p w14:paraId="70F30724" w14:textId="3C116A6C" w:rsidR="00282B80" w:rsidRPr="00CF3B4C" w:rsidRDefault="00282B80" w:rsidP="00282B80">
      <w:pPr>
        <w:pStyle w:val="Heading3"/>
        <w:rPr>
          <w:rFonts w:cs="Arial"/>
          <w:lang w:val="en-GB"/>
        </w:rPr>
      </w:pPr>
      <w:r w:rsidRPr="00CF3B4C">
        <w:rPr>
          <w:rFonts w:cs="Arial"/>
          <w:lang w:val="en-GB"/>
        </w:rPr>
        <w:t>The European Disability Forum</w:t>
      </w:r>
    </w:p>
    <w:p w14:paraId="06C637A5" w14:textId="155F7CE2" w:rsidR="001E0F08" w:rsidRPr="00CF3B4C" w:rsidRDefault="00282B80" w:rsidP="00CF3B4C">
      <w:pPr>
        <w:spacing w:line="360" w:lineRule="auto"/>
        <w:rPr>
          <w:rFonts w:ascii="Arial" w:hAnsi="Arial" w:cs="Arial"/>
          <w:lang w:val="en-GB"/>
        </w:rPr>
      </w:pPr>
      <w:r w:rsidRPr="00CF3B4C">
        <w:rPr>
          <w:rFonts w:ascii="Arial" w:hAnsi="Arial" w:cs="Arial"/>
          <w:lang w:val="en-GB"/>
        </w:rPr>
        <w:t xml:space="preserve">The European Disability Forum is an independent NGO that </w:t>
      </w:r>
      <w:r w:rsidR="001630BB" w:rsidRPr="00CF3B4C">
        <w:rPr>
          <w:rFonts w:ascii="Arial" w:hAnsi="Arial" w:cs="Arial"/>
          <w:lang w:val="en-GB"/>
        </w:rPr>
        <w:t xml:space="preserve">advocates for the rights of </w:t>
      </w:r>
      <w:r w:rsidRPr="00CF3B4C">
        <w:rPr>
          <w:rFonts w:ascii="Arial" w:hAnsi="Arial" w:cs="Arial"/>
          <w:lang w:val="en-GB"/>
        </w:rPr>
        <w:t>100 million Europeans with disabilities. EDF is a unique platform which brings together representative organisation of persons with disabilities from across Europe. EDF is run by persons with disabilities and their families. We are a strong, united voice of persons with disabilities in Europe.</w:t>
      </w:r>
    </w:p>
    <w:p w14:paraId="6061FC13" w14:textId="5CC3BA74" w:rsidR="00282B80" w:rsidRPr="00CF3B4C" w:rsidRDefault="00282B80" w:rsidP="00CF3B4C">
      <w:pPr>
        <w:pStyle w:val="Heading3"/>
        <w:spacing w:line="360" w:lineRule="auto"/>
        <w:rPr>
          <w:rFonts w:cs="Arial"/>
          <w:lang w:val="en-GB"/>
        </w:rPr>
      </w:pPr>
      <w:r w:rsidRPr="00CF3B4C">
        <w:rPr>
          <w:rFonts w:cs="Arial"/>
          <w:lang w:val="en-GB"/>
        </w:rPr>
        <w:t>Acknowledgements</w:t>
      </w:r>
    </w:p>
    <w:p w14:paraId="6346862D" w14:textId="2CA3BD2B" w:rsidR="007919A3" w:rsidRPr="000D5C25" w:rsidRDefault="00CF3B4C" w:rsidP="00CF3B4C">
      <w:pPr>
        <w:spacing w:line="360" w:lineRule="auto"/>
        <w:rPr>
          <w:rFonts w:ascii="Arial" w:hAnsi="Arial" w:cs="Arial"/>
          <w:lang w:val="en-GB"/>
        </w:rPr>
      </w:pPr>
      <w:r>
        <w:rPr>
          <w:rFonts w:ascii="Arial" w:hAnsi="Arial" w:cs="Arial"/>
          <w:lang w:val="en-GB"/>
        </w:rPr>
        <w:t>This paper was prepared</w:t>
      </w:r>
      <w:r w:rsidR="00FF3D9E">
        <w:rPr>
          <w:rFonts w:ascii="Arial" w:hAnsi="Arial" w:cs="Arial"/>
          <w:lang w:val="en-GB"/>
        </w:rPr>
        <w:t xml:space="preserve"> by EDF Secretariat</w:t>
      </w:r>
      <w:r>
        <w:rPr>
          <w:rFonts w:ascii="Arial" w:hAnsi="Arial" w:cs="Arial"/>
          <w:lang w:val="en-GB"/>
        </w:rPr>
        <w:t xml:space="preserve"> with the support of EDF’s Members and Experts. </w:t>
      </w:r>
    </w:p>
    <w:p w14:paraId="5F2DC615" w14:textId="55C8A389" w:rsidR="00282B80" w:rsidRDefault="00282B80" w:rsidP="00282B80">
      <w:pPr>
        <w:pStyle w:val="Heading2"/>
        <w:rPr>
          <w:lang w:val="en-GB"/>
        </w:rPr>
      </w:pPr>
      <w:bookmarkStart w:id="2" w:name="_Toc228456456"/>
      <w:r w:rsidRPr="00692016">
        <w:rPr>
          <w:lang w:val="en-GB"/>
        </w:rPr>
        <w:t>Executive Summary</w:t>
      </w:r>
      <w:bookmarkEnd w:id="2"/>
    </w:p>
    <w:p w14:paraId="3BA67B51" w14:textId="2361A7A2" w:rsidR="00CF3B4C" w:rsidRDefault="00CF3B4C" w:rsidP="00CF3B4C">
      <w:pPr>
        <w:spacing w:line="360" w:lineRule="auto"/>
        <w:rPr>
          <w:rFonts w:ascii="Arial" w:hAnsi="Arial" w:cs="Arial"/>
          <w:lang w:val="en-GB"/>
        </w:rPr>
      </w:pPr>
      <w:r w:rsidRPr="00CF3B4C">
        <w:rPr>
          <w:rFonts w:ascii="Arial" w:hAnsi="Arial" w:cs="Arial"/>
          <w:lang w:val="en-GB"/>
        </w:rPr>
        <w:t>The European Commission will revise the Audiovisual Media Services Directive (AVMSD) at the end of 2026.</w:t>
      </w:r>
      <w:r>
        <w:rPr>
          <w:rFonts w:ascii="Arial" w:hAnsi="Arial" w:cs="Arial"/>
          <w:lang w:val="en-GB"/>
        </w:rPr>
        <w:t xml:space="preserve"> </w:t>
      </w:r>
      <w:r w:rsidR="007919A3">
        <w:rPr>
          <w:rFonts w:ascii="Arial" w:hAnsi="Arial" w:cs="Arial"/>
          <w:lang w:val="en-GB"/>
        </w:rPr>
        <w:t xml:space="preserve">While this directive </w:t>
      </w:r>
      <w:r w:rsidR="00FF3D9E">
        <w:rPr>
          <w:rFonts w:ascii="Arial" w:hAnsi="Arial" w:cs="Arial"/>
          <w:lang w:val="en-GB"/>
        </w:rPr>
        <w:t>has had a positive impact on the disability community,</w:t>
      </w:r>
      <w:r w:rsidR="007919A3">
        <w:rPr>
          <w:rFonts w:ascii="Arial" w:hAnsi="Arial" w:cs="Arial"/>
          <w:lang w:val="en-GB"/>
        </w:rPr>
        <w:t xml:space="preserve"> </w:t>
      </w:r>
      <w:r w:rsidR="00FF3D9E">
        <w:rPr>
          <w:rFonts w:ascii="Arial" w:hAnsi="Arial" w:cs="Arial"/>
          <w:lang w:val="en-GB"/>
        </w:rPr>
        <w:t>several gaps continue to limit its effectiveness</w:t>
      </w:r>
      <w:r w:rsidR="007919A3">
        <w:rPr>
          <w:rFonts w:ascii="Arial" w:hAnsi="Arial" w:cs="Arial"/>
          <w:lang w:val="en-GB"/>
        </w:rPr>
        <w:t xml:space="preserve">. </w:t>
      </w:r>
      <w:r w:rsidR="00CB6F4A">
        <w:rPr>
          <w:rFonts w:ascii="Arial" w:hAnsi="Arial" w:cs="Arial"/>
          <w:lang w:val="en-GB"/>
        </w:rPr>
        <w:t xml:space="preserve"> </w:t>
      </w:r>
      <w:r w:rsidR="007919A3">
        <w:rPr>
          <w:rFonts w:ascii="Arial" w:hAnsi="Arial" w:cs="Arial"/>
          <w:lang w:val="en-GB"/>
        </w:rPr>
        <w:t xml:space="preserve">To </w:t>
      </w:r>
      <w:r>
        <w:rPr>
          <w:rFonts w:ascii="Arial" w:hAnsi="Arial" w:cs="Arial"/>
          <w:lang w:val="en-GB"/>
        </w:rPr>
        <w:t>truly advance accessibility for people with disabilities</w:t>
      </w:r>
      <w:r w:rsidR="007919A3">
        <w:rPr>
          <w:rFonts w:ascii="Arial" w:hAnsi="Arial" w:cs="Arial"/>
          <w:lang w:val="en-GB"/>
        </w:rPr>
        <w:t>, the upcoming revision should:</w:t>
      </w:r>
    </w:p>
    <w:p w14:paraId="2EC9180C" w14:textId="761A5C80" w:rsidR="00551231" w:rsidRDefault="00551231" w:rsidP="007919A3">
      <w:pPr>
        <w:pStyle w:val="ListParagraph"/>
        <w:numPr>
          <w:ilvl w:val="0"/>
          <w:numId w:val="9"/>
        </w:numPr>
        <w:spacing w:line="360" w:lineRule="auto"/>
        <w:rPr>
          <w:rFonts w:ascii="Arial" w:hAnsi="Arial" w:cs="Arial"/>
          <w:lang w:val="en-GB"/>
        </w:rPr>
      </w:pPr>
      <w:r>
        <w:rPr>
          <w:rFonts w:ascii="Arial" w:hAnsi="Arial" w:cs="Arial"/>
          <w:lang w:val="en-GB"/>
        </w:rPr>
        <w:lastRenderedPageBreak/>
        <w:t xml:space="preserve">Strengthen </w:t>
      </w:r>
      <w:r w:rsidR="0036702A">
        <w:rPr>
          <w:rFonts w:ascii="Arial" w:hAnsi="Arial" w:cs="Arial"/>
          <w:lang w:val="en-GB"/>
        </w:rPr>
        <w:t xml:space="preserve">the wording of </w:t>
      </w:r>
      <w:r>
        <w:rPr>
          <w:rFonts w:ascii="Arial" w:hAnsi="Arial" w:cs="Arial"/>
          <w:lang w:val="en-GB"/>
        </w:rPr>
        <w:t xml:space="preserve">paragraph 1 of article 7 to ensure that all </w:t>
      </w:r>
      <w:r w:rsidR="00E74858">
        <w:rPr>
          <w:rFonts w:ascii="Arial" w:hAnsi="Arial" w:cs="Arial"/>
          <w:lang w:val="en-GB"/>
        </w:rPr>
        <w:t xml:space="preserve">audiovisual media service providers, this is public and commercial TV channels and video-on-demand platforms, </w:t>
      </w:r>
      <w:r w:rsidR="0036702A">
        <w:rPr>
          <w:rFonts w:ascii="Arial" w:hAnsi="Arial" w:cs="Arial"/>
          <w:lang w:val="en-GB"/>
        </w:rPr>
        <w:t>continuously make their services accessible to persons with disabilities.</w:t>
      </w:r>
    </w:p>
    <w:p w14:paraId="514B35B5" w14:textId="4D11F9D6" w:rsidR="007919A3" w:rsidRPr="00E67A23" w:rsidRDefault="007919A3" w:rsidP="007919A3">
      <w:pPr>
        <w:pStyle w:val="ListParagraph"/>
        <w:numPr>
          <w:ilvl w:val="0"/>
          <w:numId w:val="9"/>
        </w:numPr>
        <w:spacing w:line="360" w:lineRule="auto"/>
        <w:rPr>
          <w:rFonts w:ascii="Arial" w:hAnsi="Arial" w:cs="Arial"/>
          <w:lang w:val="en-GB"/>
        </w:rPr>
      </w:pPr>
      <w:r w:rsidRPr="00E67A23">
        <w:rPr>
          <w:rFonts w:ascii="Arial" w:hAnsi="Arial" w:cs="Arial"/>
          <w:lang w:val="en-GB"/>
        </w:rPr>
        <w:t>Establish harmonised accessibility requirements</w:t>
      </w:r>
      <w:r w:rsidR="00E67A23" w:rsidRPr="00E67A23">
        <w:rPr>
          <w:rFonts w:ascii="Arial" w:hAnsi="Arial" w:cs="Arial"/>
          <w:lang w:val="en-GB"/>
        </w:rPr>
        <w:t xml:space="preserve"> </w:t>
      </w:r>
      <w:r w:rsidR="00E801AF">
        <w:rPr>
          <w:rFonts w:ascii="Arial" w:hAnsi="Arial" w:cs="Arial"/>
          <w:lang w:val="en-GB"/>
        </w:rPr>
        <w:t>for the different access services</w:t>
      </w:r>
      <w:r w:rsidR="00592DE1">
        <w:rPr>
          <w:rFonts w:ascii="Arial" w:hAnsi="Arial" w:cs="Arial"/>
          <w:lang w:val="en-GB"/>
        </w:rPr>
        <w:t>,</w:t>
      </w:r>
      <w:r w:rsidR="00E801AF">
        <w:rPr>
          <w:rFonts w:ascii="Arial" w:hAnsi="Arial" w:cs="Arial"/>
          <w:lang w:val="en-GB"/>
        </w:rPr>
        <w:t xml:space="preserve"> </w:t>
      </w:r>
      <w:r w:rsidR="00E67A23" w:rsidRPr="00E67A23">
        <w:rPr>
          <w:rFonts w:ascii="Arial" w:hAnsi="Arial" w:cs="Arial"/>
          <w:lang w:val="en-GB"/>
        </w:rPr>
        <w:t xml:space="preserve">supported by </w:t>
      </w:r>
      <w:r w:rsidR="00E67A23" w:rsidRPr="00E67A23">
        <w:rPr>
          <w:rFonts w:ascii="Arial" w:hAnsi="Arial" w:cs="Arial"/>
        </w:rPr>
        <w:t xml:space="preserve">European Standard </w:t>
      </w:r>
      <w:r w:rsidR="002F521D">
        <w:rPr>
          <w:rFonts w:ascii="Arial" w:hAnsi="Arial" w:cs="Arial"/>
        </w:rPr>
        <w:t>to ensure quality</w:t>
      </w:r>
      <w:r w:rsidR="00E06E7F">
        <w:rPr>
          <w:rFonts w:ascii="Arial" w:hAnsi="Arial" w:cs="Arial"/>
        </w:rPr>
        <w:t xml:space="preserve">. </w:t>
      </w:r>
    </w:p>
    <w:p w14:paraId="31C6A000" w14:textId="3DE2E717" w:rsidR="00E06E7F" w:rsidRDefault="00E06E7F" w:rsidP="00E06E7F">
      <w:pPr>
        <w:pStyle w:val="ListParagraph"/>
        <w:numPr>
          <w:ilvl w:val="0"/>
          <w:numId w:val="9"/>
        </w:numPr>
        <w:spacing w:line="360" w:lineRule="auto"/>
        <w:rPr>
          <w:rFonts w:ascii="Arial" w:hAnsi="Arial" w:cs="Arial"/>
          <w:lang w:val="en-GB"/>
        </w:rPr>
      </w:pPr>
      <w:r>
        <w:rPr>
          <w:rFonts w:ascii="Arial" w:hAnsi="Arial" w:cs="Arial"/>
          <w:lang w:val="en-GB"/>
        </w:rPr>
        <w:t>Address the inaccessibility of video-sharing platforms, social media and online news</w:t>
      </w:r>
      <w:r w:rsidR="008E1D06">
        <w:rPr>
          <w:rFonts w:ascii="Arial" w:hAnsi="Arial" w:cs="Arial"/>
          <w:lang w:val="en-GB"/>
        </w:rPr>
        <w:t xml:space="preserve"> platforms</w:t>
      </w:r>
      <w:r w:rsidR="00177CB6">
        <w:rPr>
          <w:rFonts w:ascii="Arial" w:hAnsi="Arial" w:cs="Arial"/>
          <w:lang w:val="en-GB"/>
        </w:rPr>
        <w:t xml:space="preserve">, and ensure accessible content to AVMS providers concerned by </w:t>
      </w:r>
      <w:r w:rsidR="00A00A38">
        <w:rPr>
          <w:rFonts w:ascii="Arial" w:hAnsi="Arial" w:cs="Arial"/>
          <w:lang w:val="en-GB"/>
        </w:rPr>
        <w:t>article 7</w:t>
      </w:r>
      <w:r>
        <w:rPr>
          <w:rFonts w:ascii="Arial" w:hAnsi="Arial" w:cs="Arial"/>
          <w:lang w:val="en-GB"/>
        </w:rPr>
        <w:t>.</w:t>
      </w:r>
    </w:p>
    <w:p w14:paraId="1C84DA26" w14:textId="51A8285C" w:rsidR="008D0C2E" w:rsidRDefault="000D26FF" w:rsidP="00E06E7F">
      <w:pPr>
        <w:pStyle w:val="ListParagraph"/>
        <w:numPr>
          <w:ilvl w:val="0"/>
          <w:numId w:val="9"/>
        </w:numPr>
        <w:spacing w:line="360" w:lineRule="auto"/>
        <w:rPr>
          <w:rFonts w:ascii="Arial" w:hAnsi="Arial" w:cs="Arial"/>
          <w:lang w:val="en-GB"/>
        </w:rPr>
      </w:pPr>
      <w:r>
        <w:rPr>
          <w:rFonts w:ascii="Arial" w:hAnsi="Arial" w:cs="Arial"/>
          <w:lang w:val="en-GB"/>
        </w:rPr>
        <w:t xml:space="preserve">Clarify obligations to provide emergency information in accessible formats. </w:t>
      </w:r>
    </w:p>
    <w:p w14:paraId="01F2D8FB" w14:textId="482340FB" w:rsidR="008E1D06" w:rsidRDefault="006E192E" w:rsidP="008E1D06">
      <w:pPr>
        <w:pStyle w:val="ListParagraph"/>
        <w:numPr>
          <w:ilvl w:val="0"/>
          <w:numId w:val="9"/>
        </w:numPr>
        <w:spacing w:line="360" w:lineRule="auto"/>
        <w:rPr>
          <w:rFonts w:ascii="Arial" w:hAnsi="Arial" w:cs="Arial"/>
          <w:lang w:val="en-GB"/>
        </w:rPr>
      </w:pPr>
      <w:r>
        <w:rPr>
          <w:rFonts w:ascii="Arial" w:hAnsi="Arial" w:cs="Arial"/>
          <w:lang w:val="en-GB"/>
        </w:rPr>
        <w:t>Strengthen</w:t>
      </w:r>
      <w:r w:rsidR="008E1D06">
        <w:rPr>
          <w:rFonts w:ascii="Arial" w:hAnsi="Arial" w:cs="Arial"/>
          <w:lang w:val="en-GB"/>
        </w:rPr>
        <w:t xml:space="preserve"> </w:t>
      </w:r>
      <w:r w:rsidR="00D91D4D">
        <w:rPr>
          <w:rFonts w:ascii="Arial" w:hAnsi="Arial" w:cs="Arial"/>
          <w:lang w:val="en-GB"/>
        </w:rPr>
        <w:t>reporting obligations under Article 7 to also include</w:t>
      </w:r>
      <w:r w:rsidR="00E918B6">
        <w:rPr>
          <w:rFonts w:ascii="Arial" w:hAnsi="Arial" w:cs="Arial"/>
          <w:lang w:val="en-GB"/>
        </w:rPr>
        <w:t xml:space="preserve"> the development of accessibility action plans, the point of contact and accessibility of emergency information. </w:t>
      </w:r>
      <w:r w:rsidR="008E1D06">
        <w:rPr>
          <w:rFonts w:ascii="Arial" w:hAnsi="Arial" w:cs="Arial"/>
          <w:lang w:val="en-GB"/>
        </w:rPr>
        <w:t xml:space="preserve"> </w:t>
      </w:r>
    </w:p>
    <w:p w14:paraId="7E10D2F4" w14:textId="27CF1946" w:rsidR="007919A3" w:rsidRDefault="007919A3" w:rsidP="007919A3">
      <w:pPr>
        <w:pStyle w:val="ListParagraph"/>
        <w:numPr>
          <w:ilvl w:val="0"/>
          <w:numId w:val="9"/>
        </w:numPr>
        <w:spacing w:line="360" w:lineRule="auto"/>
        <w:rPr>
          <w:rFonts w:ascii="Arial" w:hAnsi="Arial" w:cs="Arial"/>
          <w:lang w:val="en-GB"/>
        </w:rPr>
      </w:pPr>
      <w:r>
        <w:rPr>
          <w:rFonts w:ascii="Arial" w:hAnsi="Arial" w:cs="Arial"/>
          <w:lang w:val="en-GB"/>
        </w:rPr>
        <w:t xml:space="preserve">Ensure the diversity of </w:t>
      </w:r>
      <w:r w:rsidR="00FF3D9E">
        <w:rPr>
          <w:rFonts w:ascii="Arial" w:hAnsi="Arial" w:cs="Arial"/>
          <w:lang w:val="en-GB"/>
        </w:rPr>
        <w:t>accessible content</w:t>
      </w:r>
    </w:p>
    <w:p w14:paraId="38C7999A" w14:textId="4A0F872C" w:rsidR="007919A3" w:rsidRDefault="007919A3" w:rsidP="007919A3">
      <w:pPr>
        <w:pStyle w:val="ListParagraph"/>
        <w:numPr>
          <w:ilvl w:val="0"/>
          <w:numId w:val="9"/>
        </w:numPr>
        <w:spacing w:line="360" w:lineRule="auto"/>
        <w:rPr>
          <w:rFonts w:ascii="Arial" w:hAnsi="Arial" w:cs="Arial"/>
          <w:lang w:val="en-GB"/>
        </w:rPr>
      </w:pPr>
      <w:r>
        <w:rPr>
          <w:rFonts w:ascii="Arial" w:hAnsi="Arial" w:cs="Arial"/>
          <w:lang w:val="en-GB"/>
        </w:rPr>
        <w:t>Introduce the provision of audiovisual media content in easy-to-understand formats.</w:t>
      </w:r>
    </w:p>
    <w:p w14:paraId="797CD7A3" w14:textId="720C54F2" w:rsidR="007919A3" w:rsidRPr="007919A3" w:rsidRDefault="007919A3" w:rsidP="007919A3">
      <w:pPr>
        <w:pStyle w:val="ListParagraph"/>
        <w:numPr>
          <w:ilvl w:val="0"/>
          <w:numId w:val="9"/>
        </w:numPr>
        <w:spacing w:line="360" w:lineRule="auto"/>
        <w:rPr>
          <w:rFonts w:ascii="Arial" w:hAnsi="Arial" w:cs="Arial"/>
          <w:lang w:val="en-GB"/>
        </w:rPr>
      </w:pPr>
      <w:r>
        <w:rPr>
          <w:rFonts w:ascii="Arial" w:hAnsi="Arial" w:cs="Arial"/>
          <w:lang w:val="en-GB"/>
        </w:rPr>
        <w:t xml:space="preserve">Strengthen cooperation </w:t>
      </w:r>
      <w:r w:rsidR="00A20EF9">
        <w:rPr>
          <w:rFonts w:ascii="Arial" w:hAnsi="Arial" w:cs="Arial"/>
          <w:lang w:val="en-GB"/>
        </w:rPr>
        <w:t xml:space="preserve">of audiovisual media service providers and regulators </w:t>
      </w:r>
      <w:r>
        <w:rPr>
          <w:rFonts w:ascii="Arial" w:hAnsi="Arial" w:cs="Arial"/>
          <w:lang w:val="en-GB"/>
        </w:rPr>
        <w:t xml:space="preserve">with organisations of persons with disabilities. </w:t>
      </w:r>
    </w:p>
    <w:p w14:paraId="2CFD1649" w14:textId="08CFCB9C" w:rsidR="00282B80" w:rsidRPr="00221B02" w:rsidRDefault="00B22F14" w:rsidP="00335ECA">
      <w:pPr>
        <w:pStyle w:val="Heading2"/>
        <w:spacing w:before="0"/>
        <w:rPr>
          <w:lang w:val="en-GB"/>
        </w:rPr>
      </w:pPr>
      <w:bookmarkStart w:id="3" w:name="_Toc228456457"/>
      <w:r w:rsidRPr="00221B02">
        <w:rPr>
          <w:lang w:val="en-GB"/>
        </w:rPr>
        <w:t>A</w:t>
      </w:r>
      <w:r w:rsidR="00A0378F" w:rsidRPr="00221B02">
        <w:rPr>
          <w:lang w:val="en-GB"/>
        </w:rPr>
        <w:t>udiovisual Media Services Directive (AVMSD)</w:t>
      </w:r>
      <w:bookmarkEnd w:id="3"/>
    </w:p>
    <w:p w14:paraId="2E36E370" w14:textId="2F22D248" w:rsidR="0042102E" w:rsidRDefault="0042102E" w:rsidP="00E84BA0">
      <w:pPr>
        <w:spacing w:line="360" w:lineRule="auto"/>
        <w:jc w:val="both"/>
        <w:rPr>
          <w:rFonts w:ascii="Arial" w:hAnsi="Arial" w:cs="Arial"/>
          <w:lang w:val="en-GB"/>
        </w:rPr>
      </w:pPr>
      <w:r w:rsidRPr="00A0378F">
        <w:rPr>
          <w:rFonts w:ascii="Arial" w:hAnsi="Arial" w:cs="Arial"/>
          <w:lang w:val="en-GB"/>
        </w:rPr>
        <w:t>T</w:t>
      </w:r>
      <w:r w:rsidR="00FF3D9E" w:rsidRPr="00FF3D9E">
        <w:rPr>
          <w:rFonts w:ascii="Arial" w:hAnsi="Arial" w:cs="Arial"/>
        </w:rPr>
        <w:t xml:space="preserve">he Audiovisual Media Services Directive (AVMSD) requires Member States to adopt measures to ensure </w:t>
      </w:r>
      <w:r w:rsidR="002D45C0">
        <w:rPr>
          <w:rFonts w:ascii="Arial" w:hAnsi="Arial" w:cs="Arial"/>
        </w:rPr>
        <w:t xml:space="preserve">that audiovisual media service providers </w:t>
      </w:r>
      <w:r w:rsidR="0086051A">
        <w:rPr>
          <w:rFonts w:ascii="Arial" w:hAnsi="Arial" w:cs="Arial"/>
        </w:rPr>
        <w:t>make their services “</w:t>
      </w:r>
      <w:r w:rsidR="0086051A" w:rsidRPr="0086051A">
        <w:rPr>
          <w:rFonts w:ascii="Arial" w:hAnsi="Arial" w:cs="Arial"/>
        </w:rPr>
        <w:t>continuously and progressively more accessible</w:t>
      </w:r>
      <w:r w:rsidR="0086051A">
        <w:rPr>
          <w:rFonts w:ascii="Arial" w:hAnsi="Arial" w:cs="Arial"/>
        </w:rPr>
        <w:t>” to persons with disabilities</w:t>
      </w:r>
      <w:r w:rsidR="00FF3D9E" w:rsidRPr="00FF3D9E">
        <w:rPr>
          <w:rFonts w:ascii="Arial" w:hAnsi="Arial" w:cs="Arial"/>
        </w:rPr>
        <w:t xml:space="preserve"> (Article 7</w:t>
      </w:r>
      <w:r w:rsidR="006E192E">
        <w:rPr>
          <w:rFonts w:ascii="Arial" w:hAnsi="Arial" w:cs="Arial"/>
        </w:rPr>
        <w:t>.1</w:t>
      </w:r>
      <w:r w:rsidR="00FF3D9E" w:rsidRPr="00FF3D9E">
        <w:rPr>
          <w:rFonts w:ascii="Arial" w:hAnsi="Arial" w:cs="Arial"/>
        </w:rPr>
        <w:t>)</w:t>
      </w:r>
    </w:p>
    <w:p w14:paraId="0719C820" w14:textId="61C068CA" w:rsidR="00E84BA0" w:rsidRDefault="00F053F8" w:rsidP="00E84BA0">
      <w:pPr>
        <w:spacing w:line="360" w:lineRule="auto"/>
        <w:jc w:val="both"/>
        <w:rPr>
          <w:rFonts w:ascii="Arial" w:hAnsi="Arial" w:cs="Arial"/>
        </w:rPr>
      </w:pPr>
      <w:r>
        <w:rPr>
          <w:rFonts w:ascii="Arial" w:hAnsi="Arial" w:cs="Arial"/>
          <w:lang w:val="en-GB"/>
        </w:rPr>
        <w:t xml:space="preserve">The means to achieve this is through </w:t>
      </w:r>
      <w:r w:rsidR="00903B8B">
        <w:rPr>
          <w:rFonts w:ascii="Arial" w:hAnsi="Arial" w:cs="Arial"/>
          <w:lang w:val="en-GB"/>
        </w:rPr>
        <w:t xml:space="preserve">the provision of </w:t>
      </w:r>
      <w:r w:rsidR="00E84BA0">
        <w:rPr>
          <w:rFonts w:ascii="Arial" w:hAnsi="Arial" w:cs="Arial"/>
        </w:rPr>
        <w:t xml:space="preserve">access </w:t>
      </w:r>
      <w:r w:rsidR="008701F4">
        <w:rPr>
          <w:rFonts w:ascii="Arial" w:hAnsi="Arial" w:cs="Arial"/>
        </w:rPr>
        <w:t xml:space="preserve">services </w:t>
      </w:r>
      <w:r w:rsidR="00E84BA0">
        <w:rPr>
          <w:rFonts w:ascii="Arial" w:hAnsi="Arial" w:cs="Arial"/>
        </w:rPr>
        <w:t xml:space="preserve">to the audiovisual </w:t>
      </w:r>
      <w:r w:rsidR="00EC7488">
        <w:rPr>
          <w:rFonts w:ascii="Arial" w:hAnsi="Arial" w:cs="Arial"/>
        </w:rPr>
        <w:t xml:space="preserve">media </w:t>
      </w:r>
      <w:r w:rsidR="00E84BA0">
        <w:rPr>
          <w:rFonts w:ascii="Arial" w:hAnsi="Arial" w:cs="Arial"/>
        </w:rPr>
        <w:t>content</w:t>
      </w:r>
      <w:r w:rsidR="00D06CD7">
        <w:rPr>
          <w:rFonts w:ascii="Arial" w:hAnsi="Arial" w:cs="Arial"/>
        </w:rPr>
        <w:t xml:space="preserve"> such as </w:t>
      </w:r>
      <w:r w:rsidR="00E84BA0" w:rsidRPr="00E84BA0">
        <w:rPr>
          <w:rFonts w:ascii="Arial" w:hAnsi="Arial" w:cs="Arial"/>
        </w:rPr>
        <w:t>audio</w:t>
      </w:r>
      <w:r w:rsidR="006E575F">
        <w:rPr>
          <w:rFonts w:ascii="Arial" w:hAnsi="Arial" w:cs="Arial"/>
        </w:rPr>
        <w:t xml:space="preserve"> </w:t>
      </w:r>
      <w:r w:rsidR="00E84BA0" w:rsidRPr="00E84BA0">
        <w:rPr>
          <w:rFonts w:ascii="Arial" w:hAnsi="Arial" w:cs="Arial"/>
        </w:rPr>
        <w:t>description, sign language</w:t>
      </w:r>
      <w:r w:rsidR="006E575F">
        <w:rPr>
          <w:rFonts w:ascii="Arial" w:hAnsi="Arial" w:cs="Arial"/>
        </w:rPr>
        <w:t xml:space="preserve"> interpretation</w:t>
      </w:r>
      <w:r w:rsidR="00E84BA0" w:rsidRPr="00E84BA0">
        <w:rPr>
          <w:rFonts w:ascii="Arial" w:hAnsi="Arial" w:cs="Arial"/>
        </w:rPr>
        <w:t>, subtitles for the deaf and hard of hearing and spoken subtitles</w:t>
      </w:r>
      <w:r>
        <w:rPr>
          <w:rFonts w:ascii="Arial" w:hAnsi="Arial" w:cs="Arial"/>
        </w:rPr>
        <w:t xml:space="preserve"> (Recital 23)</w:t>
      </w:r>
      <w:r w:rsidR="00D06CD7">
        <w:rPr>
          <w:rFonts w:ascii="Arial" w:hAnsi="Arial" w:cs="Arial"/>
        </w:rPr>
        <w:t xml:space="preserve">. </w:t>
      </w:r>
    </w:p>
    <w:p w14:paraId="0276F8AE" w14:textId="2C65BA9C" w:rsidR="00FF3D9E" w:rsidRPr="00FF3D9E" w:rsidRDefault="00FF3D9E" w:rsidP="00FF3D9E">
      <w:pPr>
        <w:spacing w:line="360" w:lineRule="auto"/>
        <w:jc w:val="both"/>
        <w:rPr>
          <w:rFonts w:ascii="Arial" w:hAnsi="Arial" w:cs="Arial"/>
          <w:lang w:val="en-GB"/>
        </w:rPr>
      </w:pPr>
      <w:r w:rsidRPr="00FF3D9E">
        <w:rPr>
          <w:rFonts w:ascii="Arial" w:hAnsi="Arial" w:cs="Arial"/>
          <w:lang w:val="en-GB"/>
        </w:rPr>
        <w:t>However, the AVMSD grants a high degree of flexibility to Member States. Compared to other EU accessibility legislation, which establish specific and harmonised accessibility requirements across the EU, the AVMSD lacks the following essential elements:</w:t>
      </w:r>
    </w:p>
    <w:p w14:paraId="7DA19F6E" w14:textId="6CB10B89" w:rsidR="008701F4" w:rsidRPr="00FF3D9E" w:rsidRDefault="008701F4" w:rsidP="00FF3D9E">
      <w:pPr>
        <w:pStyle w:val="ListParagraph"/>
        <w:numPr>
          <w:ilvl w:val="0"/>
          <w:numId w:val="10"/>
        </w:numPr>
        <w:spacing w:line="360" w:lineRule="auto"/>
        <w:jc w:val="both"/>
        <w:rPr>
          <w:rFonts w:ascii="Arial" w:hAnsi="Arial" w:cs="Arial"/>
        </w:rPr>
      </w:pPr>
      <w:r w:rsidRPr="00FF3D9E">
        <w:rPr>
          <w:rFonts w:ascii="Arial" w:hAnsi="Arial" w:cs="Arial"/>
          <w:lang w:val="en-GB"/>
        </w:rPr>
        <w:t xml:space="preserve">Specific targets </w:t>
      </w:r>
      <w:r w:rsidR="00FF3D9E">
        <w:rPr>
          <w:rFonts w:ascii="Arial" w:hAnsi="Arial" w:cs="Arial"/>
          <w:lang w:val="en-GB"/>
        </w:rPr>
        <w:t>regarding the</w:t>
      </w:r>
      <w:r w:rsidRPr="00FF3D9E">
        <w:rPr>
          <w:rFonts w:ascii="Arial" w:hAnsi="Arial" w:cs="Arial"/>
          <w:lang w:val="en-GB"/>
        </w:rPr>
        <w:t xml:space="preserve"> percentage of accessible audiovisual content.</w:t>
      </w:r>
    </w:p>
    <w:p w14:paraId="51F1CE8F" w14:textId="34F7137F" w:rsidR="008701F4" w:rsidRDefault="00FF3D9E" w:rsidP="008701F4">
      <w:pPr>
        <w:pStyle w:val="ListParagraph"/>
        <w:numPr>
          <w:ilvl w:val="0"/>
          <w:numId w:val="3"/>
        </w:numPr>
        <w:spacing w:line="360" w:lineRule="auto"/>
        <w:jc w:val="both"/>
        <w:rPr>
          <w:rFonts w:ascii="Arial" w:hAnsi="Arial" w:cs="Arial"/>
          <w:lang w:val="en-GB"/>
        </w:rPr>
      </w:pPr>
      <w:r>
        <w:rPr>
          <w:rFonts w:ascii="Arial" w:hAnsi="Arial" w:cs="Arial"/>
          <w:lang w:val="en-GB"/>
        </w:rPr>
        <w:lastRenderedPageBreak/>
        <w:t>Clear</w:t>
      </w:r>
      <w:r w:rsidR="008701F4">
        <w:rPr>
          <w:rFonts w:ascii="Arial" w:hAnsi="Arial" w:cs="Arial"/>
          <w:lang w:val="en-GB"/>
        </w:rPr>
        <w:t xml:space="preserve"> timelines to achieve th</w:t>
      </w:r>
      <w:r w:rsidR="00EC7488">
        <w:rPr>
          <w:rFonts w:ascii="Arial" w:hAnsi="Arial" w:cs="Arial"/>
          <w:lang w:val="en-GB"/>
        </w:rPr>
        <w:t>ese targets</w:t>
      </w:r>
      <w:r w:rsidR="00645CD3">
        <w:rPr>
          <w:rFonts w:ascii="Arial" w:hAnsi="Arial" w:cs="Arial"/>
          <w:lang w:val="en-GB"/>
        </w:rPr>
        <w:t xml:space="preserve"> </w:t>
      </w:r>
      <w:r w:rsidR="00EE5174">
        <w:rPr>
          <w:rFonts w:ascii="Arial" w:hAnsi="Arial" w:cs="Arial"/>
          <w:lang w:val="en-GB"/>
        </w:rPr>
        <w:t xml:space="preserve">with </w:t>
      </w:r>
      <w:r w:rsidR="00645CD3">
        <w:rPr>
          <w:rFonts w:ascii="Arial" w:hAnsi="Arial" w:cs="Arial"/>
          <w:lang w:val="en-GB"/>
        </w:rPr>
        <w:t>increase</w:t>
      </w:r>
      <w:r w:rsidR="00EE5174">
        <w:rPr>
          <w:rFonts w:ascii="Arial" w:hAnsi="Arial" w:cs="Arial"/>
          <w:lang w:val="en-GB"/>
        </w:rPr>
        <w:t>s</w:t>
      </w:r>
      <w:r w:rsidR="00645CD3">
        <w:rPr>
          <w:rFonts w:ascii="Arial" w:hAnsi="Arial" w:cs="Arial"/>
          <w:lang w:val="en-GB"/>
        </w:rPr>
        <w:t xml:space="preserve"> over time</w:t>
      </w:r>
      <w:r w:rsidR="00912B69">
        <w:rPr>
          <w:rFonts w:ascii="Arial" w:hAnsi="Arial" w:cs="Arial"/>
          <w:lang w:val="en-GB"/>
        </w:rPr>
        <w:t>, taking into account</w:t>
      </w:r>
      <w:r w:rsidR="006E4142">
        <w:rPr>
          <w:rFonts w:ascii="Arial" w:hAnsi="Arial" w:cs="Arial"/>
          <w:lang w:val="en-GB"/>
        </w:rPr>
        <w:t xml:space="preserve"> the starting point of each Member States</w:t>
      </w:r>
      <w:r w:rsidR="00645CD3">
        <w:rPr>
          <w:rFonts w:ascii="Arial" w:hAnsi="Arial" w:cs="Arial"/>
          <w:lang w:val="en-GB"/>
        </w:rPr>
        <w:t xml:space="preserve">. </w:t>
      </w:r>
    </w:p>
    <w:p w14:paraId="036B5DE1" w14:textId="77777777" w:rsidR="008177A6" w:rsidRDefault="008177A6" w:rsidP="008701F4">
      <w:pPr>
        <w:pStyle w:val="ListParagraph"/>
        <w:numPr>
          <w:ilvl w:val="0"/>
          <w:numId w:val="3"/>
        </w:numPr>
        <w:spacing w:line="360" w:lineRule="auto"/>
        <w:jc w:val="both"/>
        <w:rPr>
          <w:rFonts w:ascii="Arial" w:hAnsi="Arial" w:cs="Arial"/>
          <w:lang w:val="en-GB"/>
        </w:rPr>
      </w:pPr>
      <w:r>
        <w:rPr>
          <w:rFonts w:ascii="Arial" w:hAnsi="Arial" w:cs="Arial"/>
          <w:lang w:val="en-GB"/>
        </w:rPr>
        <w:t xml:space="preserve">Quality standards for access services </w:t>
      </w:r>
    </w:p>
    <w:p w14:paraId="65525574" w14:textId="28208A6E" w:rsidR="008701F4" w:rsidRDefault="008701F4" w:rsidP="008701F4">
      <w:pPr>
        <w:pStyle w:val="ListParagraph"/>
        <w:numPr>
          <w:ilvl w:val="0"/>
          <w:numId w:val="3"/>
        </w:numPr>
        <w:spacing w:line="360" w:lineRule="auto"/>
        <w:jc w:val="both"/>
        <w:rPr>
          <w:rFonts w:ascii="Arial" w:hAnsi="Arial" w:cs="Arial"/>
          <w:lang w:val="en-GB"/>
        </w:rPr>
      </w:pPr>
      <w:r>
        <w:rPr>
          <w:rFonts w:ascii="Arial" w:hAnsi="Arial" w:cs="Arial"/>
          <w:lang w:val="en-GB"/>
        </w:rPr>
        <w:t xml:space="preserve">Definitions of access services </w:t>
      </w:r>
      <w:r w:rsidR="00FF3D9E">
        <w:rPr>
          <w:rFonts w:ascii="Arial" w:hAnsi="Arial" w:cs="Arial"/>
          <w:lang w:val="en-GB"/>
        </w:rPr>
        <w:t xml:space="preserve">for </w:t>
      </w:r>
      <w:r>
        <w:rPr>
          <w:rFonts w:ascii="Arial" w:hAnsi="Arial" w:cs="Arial"/>
          <w:lang w:val="en-GB"/>
        </w:rPr>
        <w:t>audiovisual content.</w:t>
      </w:r>
    </w:p>
    <w:p w14:paraId="178A4E53" w14:textId="03A21A9C" w:rsidR="008701F4" w:rsidRPr="008177A6" w:rsidRDefault="0074520E" w:rsidP="008177A6">
      <w:pPr>
        <w:pStyle w:val="ListParagraph"/>
        <w:numPr>
          <w:ilvl w:val="0"/>
          <w:numId w:val="3"/>
        </w:numPr>
        <w:spacing w:line="360" w:lineRule="auto"/>
        <w:jc w:val="both"/>
        <w:rPr>
          <w:rFonts w:ascii="Arial" w:hAnsi="Arial" w:cs="Arial"/>
          <w:lang w:val="en-GB"/>
        </w:rPr>
      </w:pPr>
      <w:r>
        <w:rPr>
          <w:rFonts w:ascii="Arial" w:hAnsi="Arial" w:cs="Arial"/>
          <w:lang w:val="en-GB"/>
        </w:rPr>
        <w:t>Accessibility r</w:t>
      </w:r>
      <w:r w:rsidR="00D30F0B">
        <w:rPr>
          <w:rFonts w:ascii="Arial" w:hAnsi="Arial" w:cs="Arial"/>
          <w:lang w:val="en-GB"/>
        </w:rPr>
        <w:t>equirements for video-sharing</w:t>
      </w:r>
      <w:r w:rsidR="00D97AC5">
        <w:rPr>
          <w:rFonts w:ascii="Arial" w:hAnsi="Arial" w:cs="Arial"/>
          <w:lang w:val="en-GB"/>
        </w:rPr>
        <w:t xml:space="preserve">, </w:t>
      </w:r>
      <w:r w:rsidR="00D30F0B">
        <w:rPr>
          <w:rFonts w:ascii="Arial" w:hAnsi="Arial" w:cs="Arial"/>
          <w:lang w:val="en-GB"/>
        </w:rPr>
        <w:t>social media platforms</w:t>
      </w:r>
      <w:r w:rsidR="00D97AC5">
        <w:rPr>
          <w:rFonts w:ascii="Arial" w:hAnsi="Arial" w:cs="Arial"/>
          <w:lang w:val="en-GB"/>
        </w:rPr>
        <w:t xml:space="preserve"> and online news platforms. </w:t>
      </w:r>
      <w:r w:rsidR="006917A6">
        <w:rPr>
          <w:rFonts w:ascii="Arial" w:hAnsi="Arial" w:cs="Arial"/>
          <w:lang w:val="en-GB"/>
        </w:rPr>
        <w:t xml:space="preserve"> </w:t>
      </w:r>
    </w:p>
    <w:p w14:paraId="24C50D19" w14:textId="771E6902" w:rsidR="00A0378F" w:rsidRDefault="008701F4" w:rsidP="00A0378F">
      <w:pPr>
        <w:pStyle w:val="ListParagraph"/>
        <w:numPr>
          <w:ilvl w:val="0"/>
          <w:numId w:val="3"/>
        </w:numPr>
        <w:spacing w:line="360" w:lineRule="auto"/>
        <w:jc w:val="both"/>
        <w:rPr>
          <w:rFonts w:ascii="Arial" w:hAnsi="Arial" w:cs="Arial"/>
          <w:lang w:val="en-GB"/>
        </w:rPr>
      </w:pPr>
      <w:r>
        <w:rPr>
          <w:rFonts w:ascii="Arial" w:hAnsi="Arial" w:cs="Arial"/>
          <w:lang w:val="en-GB"/>
        </w:rPr>
        <w:t>Obligation</w:t>
      </w:r>
      <w:r w:rsidR="00FF3D9E">
        <w:rPr>
          <w:rFonts w:ascii="Arial" w:hAnsi="Arial" w:cs="Arial"/>
          <w:lang w:val="en-GB"/>
        </w:rPr>
        <w:t>s</w:t>
      </w:r>
      <w:r>
        <w:rPr>
          <w:rFonts w:ascii="Arial" w:hAnsi="Arial" w:cs="Arial"/>
          <w:lang w:val="en-GB"/>
        </w:rPr>
        <w:t xml:space="preserve"> to involve persons with disabilities.</w:t>
      </w:r>
      <w:r w:rsidR="00A0378F" w:rsidRPr="00A0378F">
        <w:rPr>
          <w:rFonts w:ascii="Arial" w:hAnsi="Arial" w:cs="Arial"/>
          <w:lang w:val="en-GB"/>
        </w:rPr>
        <w:t xml:space="preserve"> </w:t>
      </w:r>
    </w:p>
    <w:p w14:paraId="77426620" w14:textId="6817318D" w:rsidR="00EC7488" w:rsidRDefault="00A0378F" w:rsidP="00A0378F">
      <w:pPr>
        <w:spacing w:line="360" w:lineRule="auto"/>
        <w:rPr>
          <w:rFonts w:ascii="Arial" w:hAnsi="Arial" w:cs="Arial"/>
          <w:lang w:val="en-GB"/>
        </w:rPr>
      </w:pPr>
      <w:r w:rsidRPr="00EC7488">
        <w:rPr>
          <w:rFonts w:ascii="Arial" w:hAnsi="Arial" w:cs="Arial"/>
          <w:b/>
          <w:bCs/>
          <w:lang w:val="en-GB"/>
        </w:rPr>
        <w:t xml:space="preserve">This </w:t>
      </w:r>
      <w:r w:rsidR="00D06CD7" w:rsidRPr="00EC7488">
        <w:rPr>
          <w:rFonts w:ascii="Arial" w:hAnsi="Arial" w:cs="Arial"/>
          <w:b/>
          <w:bCs/>
          <w:lang w:val="en-GB"/>
        </w:rPr>
        <w:t xml:space="preserve">situation </w:t>
      </w:r>
      <w:r w:rsidR="00FF3D9E">
        <w:rPr>
          <w:rFonts w:ascii="Arial" w:hAnsi="Arial" w:cs="Arial"/>
          <w:b/>
          <w:bCs/>
          <w:lang w:val="en-GB"/>
        </w:rPr>
        <w:t>has resulted in divergent</w:t>
      </w:r>
      <w:r w:rsidRPr="00EC7488">
        <w:rPr>
          <w:rFonts w:ascii="Arial" w:hAnsi="Arial" w:cs="Arial"/>
          <w:b/>
          <w:bCs/>
          <w:lang w:val="en-GB"/>
        </w:rPr>
        <w:t xml:space="preserve"> approaches to media accessibility which, in EDF </w:t>
      </w:r>
      <w:r w:rsidR="00FF3D9E">
        <w:rPr>
          <w:rFonts w:ascii="Arial" w:hAnsi="Arial" w:cs="Arial"/>
          <w:b/>
          <w:bCs/>
          <w:lang w:val="en-GB"/>
        </w:rPr>
        <w:t>view</w:t>
      </w:r>
      <w:r w:rsidRPr="00EC7488">
        <w:rPr>
          <w:rFonts w:ascii="Arial" w:hAnsi="Arial" w:cs="Arial"/>
          <w:b/>
          <w:bCs/>
          <w:lang w:val="en-GB"/>
        </w:rPr>
        <w:t xml:space="preserve">, </w:t>
      </w:r>
      <w:r w:rsidR="00FF3D9E">
        <w:rPr>
          <w:rFonts w:ascii="Arial" w:hAnsi="Arial" w:cs="Arial"/>
          <w:b/>
          <w:bCs/>
          <w:lang w:val="en-GB"/>
        </w:rPr>
        <w:t>limit</w:t>
      </w:r>
      <w:r w:rsidRPr="00EC7488">
        <w:rPr>
          <w:rFonts w:ascii="Arial" w:hAnsi="Arial" w:cs="Arial"/>
          <w:b/>
          <w:bCs/>
          <w:lang w:val="en-GB"/>
        </w:rPr>
        <w:t xml:space="preserve"> the Directive</w:t>
      </w:r>
      <w:r w:rsidR="00FF3D9E">
        <w:rPr>
          <w:rFonts w:ascii="Arial" w:hAnsi="Arial" w:cs="Arial"/>
          <w:b/>
          <w:bCs/>
          <w:lang w:val="en-GB"/>
        </w:rPr>
        <w:t>’s</w:t>
      </w:r>
      <w:r w:rsidR="00462283">
        <w:rPr>
          <w:rFonts w:ascii="Arial" w:hAnsi="Arial" w:cs="Arial"/>
          <w:b/>
          <w:bCs/>
          <w:lang w:val="en-GB"/>
        </w:rPr>
        <w:t xml:space="preserve"> impact</w:t>
      </w:r>
      <w:r w:rsidRPr="00EC7488">
        <w:rPr>
          <w:rFonts w:ascii="Arial" w:hAnsi="Arial" w:cs="Arial"/>
          <w:b/>
          <w:bCs/>
          <w:lang w:val="en-GB"/>
        </w:rPr>
        <w:t xml:space="preserve"> </w:t>
      </w:r>
      <w:r w:rsidR="00FF3D9E">
        <w:rPr>
          <w:rFonts w:ascii="Arial" w:hAnsi="Arial" w:cs="Arial"/>
          <w:b/>
          <w:bCs/>
          <w:lang w:val="en-GB"/>
        </w:rPr>
        <w:t>on</w:t>
      </w:r>
      <w:r w:rsidRPr="00EC7488">
        <w:rPr>
          <w:rFonts w:ascii="Arial" w:hAnsi="Arial" w:cs="Arial"/>
          <w:b/>
          <w:bCs/>
          <w:lang w:val="en-GB"/>
        </w:rPr>
        <w:t xml:space="preserve"> the disability community</w:t>
      </w:r>
      <w:r w:rsidRPr="00A0378F">
        <w:rPr>
          <w:rFonts w:ascii="Arial" w:hAnsi="Arial" w:cs="Arial"/>
          <w:lang w:val="en-GB"/>
        </w:rPr>
        <w:t xml:space="preserve">. </w:t>
      </w:r>
    </w:p>
    <w:p w14:paraId="1FC0A512" w14:textId="2646EDFA" w:rsidR="00A0378F" w:rsidRPr="00A0378F" w:rsidRDefault="00FF3D9E" w:rsidP="00A0378F">
      <w:pPr>
        <w:spacing w:line="360" w:lineRule="auto"/>
        <w:rPr>
          <w:rFonts w:ascii="Arial" w:eastAsia="Aptos" w:hAnsi="Arial" w:cs="Arial"/>
          <w:i/>
          <w:iCs/>
          <w:kern w:val="2"/>
          <w14:ligatures w14:val="standardContextual"/>
        </w:rPr>
      </w:pPr>
      <w:r>
        <w:rPr>
          <w:rFonts w:ascii="Arial" w:eastAsia="Aptos" w:hAnsi="Arial" w:cs="Arial"/>
          <w:kern w:val="2"/>
          <w:lang w:val="en-GB"/>
          <w14:ligatures w14:val="standardContextual"/>
        </w:rPr>
        <w:t xml:space="preserve">Some </w:t>
      </w:r>
      <w:r w:rsidR="00A0378F" w:rsidRPr="00A0378F">
        <w:rPr>
          <w:rFonts w:ascii="Arial" w:eastAsia="Aptos" w:hAnsi="Arial" w:cs="Arial"/>
          <w:kern w:val="2"/>
          <w14:ligatures w14:val="standardContextual"/>
        </w:rPr>
        <w:t xml:space="preserve">of these fears were already </w:t>
      </w:r>
      <w:r>
        <w:rPr>
          <w:rFonts w:ascii="Arial" w:eastAsia="Aptos" w:hAnsi="Arial" w:cs="Arial"/>
          <w:kern w:val="2"/>
          <w14:ligatures w14:val="standardContextual"/>
        </w:rPr>
        <w:t>highlighted</w:t>
      </w:r>
      <w:r w:rsidR="00A0378F" w:rsidRPr="00A0378F">
        <w:rPr>
          <w:rFonts w:ascii="Arial" w:eastAsia="Aptos" w:hAnsi="Arial" w:cs="Arial"/>
          <w:kern w:val="2"/>
          <w14:ligatures w14:val="standardContextual"/>
        </w:rPr>
        <w:t xml:space="preserve"> in </w:t>
      </w:r>
      <w:hyperlink r:id="rId13" w:history="1">
        <w:r w:rsidR="00A0378F" w:rsidRPr="00A0378F">
          <w:rPr>
            <w:rFonts w:ascii="Arial" w:eastAsia="Aptos" w:hAnsi="Arial" w:cs="Arial"/>
            <w:color w:val="467886"/>
            <w:kern w:val="2"/>
            <w:u w:val="single"/>
            <w14:ligatures w14:val="standardContextual"/>
          </w:rPr>
          <w:t>2021 ERGA report on Article 7.1</w:t>
        </w:r>
      </w:hyperlink>
      <w:r>
        <w:rPr>
          <w:rFonts w:ascii="Arial" w:eastAsia="Aptos" w:hAnsi="Arial" w:cs="Arial"/>
          <w:kern w:val="2"/>
          <w14:ligatures w14:val="standardContextual"/>
        </w:rPr>
        <w:t>. They</w:t>
      </w:r>
      <w:r w:rsidR="00A0378F" w:rsidRPr="00A0378F">
        <w:rPr>
          <w:rFonts w:ascii="Arial" w:eastAsia="Aptos" w:hAnsi="Arial" w:cs="Arial"/>
          <w:kern w:val="2"/>
          <w14:ligatures w14:val="standardContextual"/>
        </w:rPr>
        <w:t xml:space="preserve"> have </w:t>
      </w:r>
      <w:r>
        <w:rPr>
          <w:rFonts w:ascii="Arial" w:eastAsia="Aptos" w:hAnsi="Arial" w:cs="Arial"/>
          <w:kern w:val="2"/>
          <w14:ligatures w14:val="standardContextual"/>
        </w:rPr>
        <w:t xml:space="preserve">since been </w:t>
      </w:r>
      <w:r w:rsidR="00A0378F" w:rsidRPr="00A0378F">
        <w:rPr>
          <w:rFonts w:ascii="Arial" w:eastAsia="Aptos" w:hAnsi="Arial" w:cs="Arial"/>
          <w:kern w:val="2"/>
          <w14:ligatures w14:val="standardContextual"/>
        </w:rPr>
        <w:t xml:space="preserve">confirmed by </w:t>
      </w:r>
      <w:r>
        <w:rPr>
          <w:rFonts w:ascii="Arial" w:eastAsia="Aptos" w:hAnsi="Arial" w:cs="Arial"/>
          <w:kern w:val="2"/>
          <w14:ligatures w14:val="standardContextual"/>
        </w:rPr>
        <w:t xml:space="preserve">more </w:t>
      </w:r>
      <w:r w:rsidR="00A0378F" w:rsidRPr="00A0378F">
        <w:rPr>
          <w:rFonts w:ascii="Arial" w:eastAsia="Aptos" w:hAnsi="Arial" w:cs="Arial"/>
          <w:kern w:val="2"/>
          <w14:ligatures w14:val="standardContextual"/>
        </w:rPr>
        <w:t xml:space="preserve">recent reports, including that of the </w:t>
      </w:r>
      <w:hyperlink r:id="rId14" w:history="1">
        <w:r w:rsidR="00A0378F" w:rsidRPr="00A0378F">
          <w:rPr>
            <w:rFonts w:ascii="Arial" w:eastAsia="Aptos" w:hAnsi="Arial" w:cs="Arial"/>
            <w:color w:val="467886"/>
            <w:kern w:val="2"/>
            <w:u w:val="single"/>
            <w14:ligatures w14:val="standardContextual"/>
          </w:rPr>
          <w:t>Commission (2024)</w:t>
        </w:r>
      </w:hyperlink>
      <w:r w:rsidR="00A0378F" w:rsidRPr="00A0378F">
        <w:rPr>
          <w:rFonts w:ascii="Arial" w:eastAsia="Aptos" w:hAnsi="Arial" w:cs="Arial"/>
          <w:kern w:val="2"/>
          <w14:ligatures w14:val="standardContextual"/>
        </w:rPr>
        <w:t xml:space="preserve"> and the </w:t>
      </w:r>
      <w:hyperlink r:id="rId15" w:history="1">
        <w:r w:rsidR="00A0378F" w:rsidRPr="00A0378F">
          <w:rPr>
            <w:rFonts w:ascii="Arial" w:eastAsia="Aptos" w:hAnsi="Arial" w:cs="Arial"/>
            <w:color w:val="467886"/>
            <w:kern w:val="2"/>
            <w:u w:val="single"/>
            <w14:ligatures w14:val="standardContextual"/>
          </w:rPr>
          <w:t>European Audiovisual Observatory (2023)</w:t>
        </w:r>
      </w:hyperlink>
      <w:r w:rsidR="00A0378F" w:rsidRPr="00A0378F">
        <w:rPr>
          <w:rFonts w:ascii="Arial" w:eastAsia="Aptos" w:hAnsi="Arial" w:cs="Arial"/>
          <w:kern w:val="2"/>
          <w14:ligatures w14:val="standardContextual"/>
        </w:rPr>
        <w:t xml:space="preserve">. </w:t>
      </w:r>
      <w:r w:rsidR="00EC7488">
        <w:rPr>
          <w:rFonts w:ascii="Arial" w:eastAsia="Aptos" w:hAnsi="Arial" w:cs="Arial"/>
          <w:kern w:val="2"/>
          <w14:ligatures w14:val="standardContextual"/>
        </w:rPr>
        <w:t xml:space="preserve"> </w:t>
      </w:r>
      <w:r w:rsidR="00A0378F" w:rsidRPr="00A0378F">
        <w:rPr>
          <w:rFonts w:ascii="Arial" w:eastAsia="Aptos" w:hAnsi="Arial" w:cs="Arial"/>
          <w:kern w:val="2"/>
          <w14:ligatures w14:val="standardContextual"/>
        </w:rPr>
        <w:t xml:space="preserve">More recently, in </w:t>
      </w:r>
      <w:hyperlink r:id="rId16" w:history="1">
        <w:r w:rsidR="00A0378F" w:rsidRPr="00A0378F">
          <w:rPr>
            <w:rFonts w:ascii="Arial" w:eastAsia="Aptos" w:hAnsi="Arial" w:cs="Arial"/>
            <w:color w:val="467886"/>
            <w:kern w:val="2"/>
            <w:u w:val="single"/>
            <w14:ligatures w14:val="standardContextual"/>
          </w:rPr>
          <w:t>its 2025 concluding observations to the EU</w:t>
        </w:r>
      </w:hyperlink>
      <w:r w:rsidR="00A0378F" w:rsidRPr="00A0378F">
        <w:rPr>
          <w:rFonts w:ascii="Arial" w:eastAsia="Aptos" w:hAnsi="Arial" w:cs="Arial"/>
          <w:kern w:val="2"/>
          <w14:ligatures w14:val="standardContextual"/>
        </w:rPr>
        <w:t xml:space="preserve">, the UNCRPD Committee concluded that </w:t>
      </w:r>
      <w:r w:rsidR="00A0378F" w:rsidRPr="00A0378F">
        <w:rPr>
          <w:rFonts w:ascii="Arial" w:eastAsia="Aptos" w:hAnsi="Arial" w:cs="Arial"/>
          <w:i/>
          <w:iCs/>
          <w:kern w:val="2"/>
          <w14:ligatures w14:val="standardContextual"/>
        </w:rPr>
        <w:t xml:space="preserve">‘The Audiovisual Media Services Directive lacks timelines and targets for implementation and does not ensure the accessibility of video-sharing platforms, social media and the audiovisual sections of news websites’. </w:t>
      </w:r>
    </w:p>
    <w:p w14:paraId="46B2BB72" w14:textId="2A132171" w:rsidR="006F2BD1" w:rsidRDefault="00765487" w:rsidP="00581AA7">
      <w:pPr>
        <w:widowControl w:val="0"/>
        <w:spacing w:line="360" w:lineRule="auto"/>
        <w:rPr>
          <w:rFonts w:ascii="Arial" w:hAnsi="Arial" w:cs="Arial"/>
        </w:rPr>
      </w:pPr>
      <w:r>
        <w:rPr>
          <w:rFonts w:ascii="Arial" w:hAnsi="Arial" w:cs="Arial"/>
        </w:rPr>
        <w:t xml:space="preserve">In the last years there have been important changes in the way people consume audiovisual services. While linear television – where accessibility obligations are traditionally stronger - is still relevant, </w:t>
      </w:r>
      <w:r w:rsidR="006F2BD1">
        <w:rPr>
          <w:rFonts w:ascii="Arial" w:hAnsi="Arial" w:cs="Arial"/>
        </w:rPr>
        <w:t>an increasing amount of people</w:t>
      </w:r>
      <w:r>
        <w:rPr>
          <w:rFonts w:ascii="Arial" w:hAnsi="Arial" w:cs="Arial"/>
        </w:rPr>
        <w:t xml:space="preserve"> access audiovisual media content through </w:t>
      </w:r>
      <w:r w:rsidR="006F2BD1">
        <w:rPr>
          <w:rFonts w:ascii="Arial" w:hAnsi="Arial" w:cs="Arial"/>
        </w:rPr>
        <w:t>video-on-demand platforms</w:t>
      </w:r>
      <w:r>
        <w:rPr>
          <w:rFonts w:ascii="Arial" w:hAnsi="Arial" w:cs="Arial"/>
        </w:rPr>
        <w:t>, video-</w:t>
      </w:r>
      <w:r w:rsidR="006F2BD1">
        <w:rPr>
          <w:rFonts w:ascii="Arial" w:hAnsi="Arial" w:cs="Arial"/>
        </w:rPr>
        <w:t>sharing</w:t>
      </w:r>
      <w:r>
        <w:rPr>
          <w:rFonts w:ascii="Arial" w:hAnsi="Arial" w:cs="Arial"/>
        </w:rPr>
        <w:t xml:space="preserve"> platforms, websites of newspapers and social media. </w:t>
      </w:r>
    </w:p>
    <w:p w14:paraId="60E2C026" w14:textId="6144B694" w:rsidR="006F2BD1" w:rsidRDefault="00315BE5" w:rsidP="00581AA7">
      <w:pPr>
        <w:widowControl w:val="0"/>
        <w:spacing w:line="360" w:lineRule="auto"/>
        <w:rPr>
          <w:rFonts w:ascii="Arial" w:hAnsi="Arial" w:cs="Arial"/>
        </w:rPr>
      </w:pPr>
      <w:r>
        <w:rPr>
          <w:rFonts w:ascii="Arial" w:hAnsi="Arial" w:cs="Arial"/>
        </w:rPr>
        <w:t>While vide-sharing platforms and social media promote mainly user generated content, t</w:t>
      </w:r>
      <w:r w:rsidR="006F2BD1">
        <w:rPr>
          <w:rFonts w:ascii="Arial" w:hAnsi="Arial" w:cs="Arial"/>
        </w:rPr>
        <w:t>raditional broadcasters and other big organizations</w:t>
      </w:r>
      <w:r>
        <w:rPr>
          <w:rFonts w:ascii="Arial" w:hAnsi="Arial" w:cs="Arial"/>
        </w:rPr>
        <w:t xml:space="preserve"> – subject to accessibility obligations in other areas - </w:t>
      </w:r>
      <w:r w:rsidR="006F2BD1">
        <w:rPr>
          <w:rFonts w:ascii="Arial" w:hAnsi="Arial" w:cs="Arial"/>
        </w:rPr>
        <w:t>also use the</w:t>
      </w:r>
      <w:r w:rsidR="00404826">
        <w:rPr>
          <w:rFonts w:ascii="Arial" w:hAnsi="Arial" w:cs="Arial"/>
        </w:rPr>
        <w:t>m</w:t>
      </w:r>
      <w:r w:rsidR="006F2BD1">
        <w:rPr>
          <w:rFonts w:ascii="Arial" w:hAnsi="Arial" w:cs="Arial"/>
        </w:rPr>
        <w:t xml:space="preserve"> to make their content available. Unfortunately, existing EU legal framework fails to address this reality</w:t>
      </w:r>
      <w:r w:rsidR="006F2BD1">
        <w:rPr>
          <w:rStyle w:val="FootnoteReference"/>
          <w:rFonts w:ascii="Arial" w:hAnsi="Arial" w:cs="Arial"/>
        </w:rPr>
        <w:footnoteReference w:id="1"/>
      </w:r>
      <w:r w:rsidR="006F2BD1">
        <w:rPr>
          <w:rFonts w:ascii="Arial" w:hAnsi="Arial" w:cs="Arial"/>
        </w:rPr>
        <w:t>, leaving certain audiovisual content outside of their scope</w:t>
      </w:r>
      <w:r>
        <w:rPr>
          <w:rFonts w:ascii="Arial" w:hAnsi="Arial" w:cs="Arial"/>
        </w:rPr>
        <w:t xml:space="preserve">, irrespective of who publishes it. </w:t>
      </w:r>
    </w:p>
    <w:p w14:paraId="2BBC7C14" w14:textId="6546E564" w:rsidR="00A0378F" w:rsidRDefault="00A0378F" w:rsidP="00581AA7">
      <w:pPr>
        <w:widowControl w:val="0"/>
        <w:spacing w:line="360" w:lineRule="auto"/>
        <w:rPr>
          <w:rFonts w:ascii="Arial" w:hAnsi="Arial" w:cs="Arial"/>
        </w:rPr>
      </w:pPr>
      <w:r>
        <w:rPr>
          <w:rFonts w:ascii="Arial" w:hAnsi="Arial" w:cs="Arial"/>
        </w:rPr>
        <w:t>The European Commission is currently evaluating the implementation of the AVMSD</w:t>
      </w:r>
      <w:r w:rsidR="00FF3D9E">
        <w:rPr>
          <w:rFonts w:ascii="Arial" w:hAnsi="Arial" w:cs="Arial"/>
        </w:rPr>
        <w:t xml:space="preserve"> and plans </w:t>
      </w:r>
      <w:r>
        <w:rPr>
          <w:rFonts w:ascii="Arial" w:hAnsi="Arial" w:cs="Arial"/>
        </w:rPr>
        <w:t xml:space="preserve">to present a proposal for </w:t>
      </w:r>
      <w:r w:rsidR="00FF3D9E">
        <w:rPr>
          <w:rFonts w:ascii="Arial" w:hAnsi="Arial" w:cs="Arial"/>
        </w:rPr>
        <w:t xml:space="preserve">its </w:t>
      </w:r>
      <w:r>
        <w:rPr>
          <w:rFonts w:ascii="Arial" w:hAnsi="Arial" w:cs="Arial"/>
        </w:rPr>
        <w:t xml:space="preserve">revision </w:t>
      </w:r>
      <w:r w:rsidR="00FF3D9E">
        <w:rPr>
          <w:rFonts w:ascii="Arial" w:hAnsi="Arial" w:cs="Arial"/>
        </w:rPr>
        <w:t>by</w:t>
      </w:r>
      <w:r>
        <w:rPr>
          <w:rFonts w:ascii="Arial" w:hAnsi="Arial" w:cs="Arial"/>
        </w:rPr>
        <w:t xml:space="preserve"> the end of 2026</w:t>
      </w:r>
      <w:r w:rsidRPr="00CB6F4A">
        <w:rPr>
          <w:rFonts w:ascii="Arial" w:hAnsi="Arial" w:cs="Arial"/>
        </w:rPr>
        <w:t xml:space="preserve">. EDF supports </w:t>
      </w:r>
      <w:r w:rsidR="00FF3D9E">
        <w:rPr>
          <w:rFonts w:ascii="Arial" w:hAnsi="Arial" w:cs="Arial"/>
        </w:rPr>
        <w:t>a comprehensive</w:t>
      </w:r>
      <w:r w:rsidRPr="00CB6F4A">
        <w:rPr>
          <w:rFonts w:ascii="Arial" w:hAnsi="Arial" w:cs="Arial"/>
        </w:rPr>
        <w:t xml:space="preserve"> revision of the AVMSD</w:t>
      </w:r>
      <w:r w:rsidR="00D62185">
        <w:rPr>
          <w:rFonts w:ascii="Arial" w:hAnsi="Arial" w:cs="Arial"/>
        </w:rPr>
        <w:t xml:space="preserve">, </w:t>
      </w:r>
      <w:r w:rsidR="003D2D37">
        <w:rPr>
          <w:rFonts w:ascii="Arial" w:hAnsi="Arial" w:cs="Arial"/>
        </w:rPr>
        <w:t>including</w:t>
      </w:r>
      <w:r w:rsidR="00D62185">
        <w:rPr>
          <w:rFonts w:ascii="Arial" w:hAnsi="Arial" w:cs="Arial"/>
        </w:rPr>
        <w:t xml:space="preserve"> Article 7.1,</w:t>
      </w:r>
      <w:r w:rsidRPr="00CB6F4A">
        <w:rPr>
          <w:rFonts w:ascii="Arial" w:hAnsi="Arial" w:cs="Arial"/>
        </w:rPr>
        <w:t xml:space="preserve"> </w:t>
      </w:r>
      <w:r w:rsidR="00834BAB">
        <w:rPr>
          <w:rFonts w:ascii="Arial" w:hAnsi="Arial" w:cs="Arial"/>
        </w:rPr>
        <w:t>that</w:t>
      </w:r>
      <w:r w:rsidR="00FF3D9E">
        <w:rPr>
          <w:rFonts w:ascii="Arial" w:hAnsi="Arial" w:cs="Arial"/>
        </w:rPr>
        <w:t xml:space="preserve"> </w:t>
      </w:r>
      <w:r w:rsidRPr="00CB6F4A">
        <w:rPr>
          <w:rFonts w:ascii="Arial" w:hAnsi="Arial" w:cs="Arial"/>
        </w:rPr>
        <w:t>advances accessibility for people with disabilities</w:t>
      </w:r>
      <w:r w:rsidRPr="00EC7488">
        <w:rPr>
          <w:rFonts w:ascii="Arial" w:hAnsi="Arial" w:cs="Arial"/>
          <w:b/>
          <w:bCs/>
        </w:rPr>
        <w:t>.</w:t>
      </w:r>
      <w:r>
        <w:rPr>
          <w:rFonts w:ascii="Arial" w:hAnsi="Arial" w:cs="Arial"/>
        </w:rPr>
        <w:t xml:space="preserve"> </w:t>
      </w:r>
      <w:r w:rsidR="002D602B">
        <w:rPr>
          <w:rFonts w:ascii="Arial" w:hAnsi="Arial" w:cs="Arial"/>
        </w:rPr>
        <w:t xml:space="preserve">The upcoming revision should address the </w:t>
      </w:r>
      <w:r w:rsidR="00FF3D9E">
        <w:rPr>
          <w:rFonts w:ascii="Arial" w:hAnsi="Arial" w:cs="Arial"/>
        </w:rPr>
        <w:lastRenderedPageBreak/>
        <w:t>following points:</w:t>
      </w:r>
    </w:p>
    <w:p w14:paraId="2A7E10F9" w14:textId="3A480131" w:rsidR="00D06CD7" w:rsidRDefault="00A0378F" w:rsidP="00581AA7">
      <w:pPr>
        <w:pStyle w:val="Heading2"/>
        <w:spacing w:before="0"/>
        <w:rPr>
          <w:lang w:val="en-GB"/>
        </w:rPr>
      </w:pPr>
      <w:bookmarkStart w:id="4" w:name="_Toc228456458"/>
      <w:r w:rsidRPr="00A0378F">
        <w:rPr>
          <w:lang w:val="en-GB"/>
        </w:rPr>
        <w:t>Harmonised accessibility requirements</w:t>
      </w:r>
      <w:bookmarkEnd w:id="4"/>
      <w:r w:rsidRPr="00A0378F">
        <w:rPr>
          <w:lang w:val="en-GB"/>
        </w:rPr>
        <w:t xml:space="preserve"> </w:t>
      </w:r>
    </w:p>
    <w:p w14:paraId="5480F0F1" w14:textId="6C13C80D" w:rsidR="00D06CD7" w:rsidRPr="00581AA7" w:rsidRDefault="00581AA7" w:rsidP="00581AA7">
      <w:pPr>
        <w:widowControl w:val="0"/>
        <w:spacing w:line="360" w:lineRule="auto"/>
        <w:rPr>
          <w:rFonts w:ascii="Arial" w:hAnsi="Arial" w:cs="Arial"/>
          <w:lang w:val="en-GB"/>
        </w:rPr>
      </w:pPr>
      <w:r w:rsidRPr="00581AA7">
        <w:rPr>
          <w:rFonts w:ascii="Arial" w:hAnsi="Arial" w:cs="Arial"/>
          <w:lang w:val="en-GB"/>
        </w:rPr>
        <w:t>Due to the lack of harmonised accessibility requirements</w:t>
      </w:r>
      <w:r>
        <w:rPr>
          <w:rFonts w:ascii="Arial" w:hAnsi="Arial" w:cs="Arial"/>
          <w:lang w:val="en-GB"/>
        </w:rPr>
        <w:t xml:space="preserve"> in the AVMSD</w:t>
      </w:r>
      <w:r w:rsidRPr="00581AA7">
        <w:rPr>
          <w:rFonts w:ascii="Arial" w:hAnsi="Arial" w:cs="Arial"/>
          <w:lang w:val="en-GB"/>
        </w:rPr>
        <w:t>, a</w:t>
      </w:r>
      <w:r w:rsidR="00D06CD7" w:rsidRPr="00581AA7">
        <w:rPr>
          <w:rFonts w:ascii="Arial" w:hAnsi="Arial" w:cs="Arial"/>
          <w:lang w:val="en-GB"/>
        </w:rPr>
        <w:t>vailable data</w:t>
      </w:r>
      <w:r>
        <w:rPr>
          <w:rFonts w:ascii="Arial" w:hAnsi="Arial" w:cs="Arial"/>
          <w:lang w:val="en-GB"/>
        </w:rPr>
        <w:t xml:space="preserve"> shows that:</w:t>
      </w:r>
    </w:p>
    <w:p w14:paraId="2F7E09AC" w14:textId="06FECD47" w:rsidR="00D06CD7" w:rsidRDefault="00581AA7" w:rsidP="00581AA7">
      <w:pPr>
        <w:pStyle w:val="ListParagraph"/>
        <w:widowControl w:val="0"/>
        <w:numPr>
          <w:ilvl w:val="0"/>
          <w:numId w:val="8"/>
        </w:numPr>
        <w:spacing w:line="360" w:lineRule="auto"/>
        <w:rPr>
          <w:rFonts w:ascii="Arial" w:hAnsi="Arial" w:cs="Arial"/>
          <w:lang w:val="en-GB"/>
        </w:rPr>
      </w:pPr>
      <w:r w:rsidRPr="00581AA7">
        <w:rPr>
          <w:rFonts w:ascii="Arial" w:hAnsi="Arial" w:cs="Arial"/>
          <w:b/>
          <w:bCs/>
          <w:lang w:val="en-GB"/>
        </w:rPr>
        <w:t xml:space="preserve">Few </w:t>
      </w:r>
      <w:r w:rsidR="00D06CD7" w:rsidRPr="00581AA7">
        <w:rPr>
          <w:rFonts w:ascii="Arial" w:hAnsi="Arial" w:cs="Arial"/>
          <w:b/>
          <w:bCs/>
          <w:lang w:val="en-GB"/>
        </w:rPr>
        <w:t xml:space="preserve">Member States have </w:t>
      </w:r>
      <w:r w:rsidR="00951CF9">
        <w:rPr>
          <w:rFonts w:ascii="Arial" w:hAnsi="Arial" w:cs="Arial"/>
          <w:b/>
          <w:bCs/>
          <w:lang w:val="en-GB"/>
        </w:rPr>
        <w:t>established</w:t>
      </w:r>
      <w:r w:rsidRPr="00581AA7">
        <w:rPr>
          <w:rFonts w:ascii="Arial" w:hAnsi="Arial" w:cs="Arial"/>
          <w:b/>
          <w:bCs/>
          <w:lang w:val="en-GB"/>
        </w:rPr>
        <w:t xml:space="preserve"> </w:t>
      </w:r>
      <w:r>
        <w:rPr>
          <w:rFonts w:ascii="Arial" w:hAnsi="Arial" w:cs="Arial"/>
          <w:b/>
          <w:bCs/>
          <w:lang w:val="en-GB"/>
        </w:rPr>
        <w:t xml:space="preserve">mandatory </w:t>
      </w:r>
      <w:r w:rsidRPr="00581AA7">
        <w:rPr>
          <w:rFonts w:ascii="Arial" w:hAnsi="Arial" w:cs="Arial"/>
          <w:b/>
          <w:bCs/>
          <w:lang w:val="en-GB"/>
        </w:rPr>
        <w:t>quota systems</w:t>
      </w:r>
      <w:r w:rsidR="005D2D41" w:rsidRPr="00581AA7">
        <w:rPr>
          <w:rFonts w:ascii="Arial" w:hAnsi="Arial" w:cs="Arial"/>
          <w:lang w:val="en-GB"/>
        </w:rPr>
        <w:t xml:space="preserve">. </w:t>
      </w:r>
      <w:hyperlink r:id="rId17" w:history="1">
        <w:r w:rsidRPr="00DB136B">
          <w:rPr>
            <w:rStyle w:val="Hyperlink"/>
            <w:rFonts w:ascii="Arial" w:hAnsi="Arial" w:cs="Arial"/>
            <w:lang w:val="en-GB"/>
          </w:rPr>
          <w:t xml:space="preserve">According to the </w:t>
        </w:r>
        <w:r w:rsidR="001C4CF9" w:rsidRPr="00DB136B">
          <w:rPr>
            <w:rStyle w:val="Hyperlink"/>
            <w:rFonts w:ascii="Arial" w:hAnsi="Arial" w:cs="Arial"/>
            <w:lang w:val="en-GB"/>
          </w:rPr>
          <w:t>Audiovisual Media Observatory</w:t>
        </w:r>
        <w:r w:rsidRPr="00DB136B">
          <w:rPr>
            <w:rStyle w:val="Hyperlink"/>
            <w:rFonts w:ascii="Arial" w:hAnsi="Arial" w:cs="Arial"/>
            <w:lang w:val="en-GB"/>
          </w:rPr>
          <w:t xml:space="preserve"> report,</w:t>
        </w:r>
      </w:hyperlink>
      <w:r w:rsidRPr="00581AA7">
        <w:rPr>
          <w:rFonts w:ascii="Arial" w:hAnsi="Arial" w:cs="Arial"/>
          <w:lang w:val="en-GB"/>
        </w:rPr>
        <w:t xml:space="preserve"> only 1</w:t>
      </w:r>
      <w:r w:rsidR="00E10353">
        <w:rPr>
          <w:rFonts w:ascii="Arial" w:hAnsi="Arial" w:cs="Arial"/>
          <w:lang w:val="en-GB"/>
        </w:rPr>
        <w:t>6</w:t>
      </w:r>
      <w:r w:rsidRPr="00581AA7">
        <w:rPr>
          <w:rFonts w:ascii="Arial" w:hAnsi="Arial" w:cs="Arial"/>
          <w:lang w:val="en-GB"/>
        </w:rPr>
        <w:t xml:space="preserve"> Member States (MS) reported the introduction of obligations </w:t>
      </w:r>
      <w:r w:rsidR="00951CF9">
        <w:rPr>
          <w:rFonts w:ascii="Arial" w:hAnsi="Arial" w:cs="Arial"/>
          <w:lang w:val="en-GB"/>
        </w:rPr>
        <w:t>requiring</w:t>
      </w:r>
      <w:r w:rsidRPr="00581AA7">
        <w:rPr>
          <w:rFonts w:ascii="Arial" w:hAnsi="Arial" w:cs="Arial"/>
          <w:lang w:val="en-GB"/>
        </w:rPr>
        <w:t xml:space="preserve"> a certain proportion of programs accessible</w:t>
      </w:r>
      <w:r w:rsidR="00E10353">
        <w:rPr>
          <w:rStyle w:val="FootnoteReference"/>
          <w:rFonts w:ascii="Arial" w:hAnsi="Arial" w:cs="Arial"/>
          <w:lang w:val="en-GB"/>
        </w:rPr>
        <w:footnoteReference w:id="2"/>
      </w:r>
      <w:r w:rsidRPr="00581AA7">
        <w:rPr>
          <w:rFonts w:ascii="Arial" w:hAnsi="Arial" w:cs="Arial"/>
          <w:lang w:val="en-GB"/>
        </w:rPr>
        <w:t>.</w:t>
      </w:r>
    </w:p>
    <w:p w14:paraId="67A966CC" w14:textId="77777777" w:rsidR="00581AA7" w:rsidRPr="00581AA7" w:rsidRDefault="00581AA7" w:rsidP="00581AA7">
      <w:pPr>
        <w:pStyle w:val="ListParagraph"/>
        <w:widowControl w:val="0"/>
        <w:spacing w:line="360" w:lineRule="auto"/>
        <w:rPr>
          <w:rFonts w:ascii="Arial" w:hAnsi="Arial" w:cs="Arial"/>
          <w:sz w:val="8"/>
          <w:szCs w:val="6"/>
          <w:lang w:val="en-GB"/>
        </w:rPr>
      </w:pPr>
    </w:p>
    <w:p w14:paraId="3DD276E6" w14:textId="456096C8" w:rsidR="00581AA7" w:rsidRPr="00581AA7" w:rsidRDefault="00951CF9" w:rsidP="00581AA7">
      <w:pPr>
        <w:pStyle w:val="ListParagraph"/>
        <w:widowControl w:val="0"/>
        <w:numPr>
          <w:ilvl w:val="0"/>
          <w:numId w:val="8"/>
        </w:numPr>
        <w:spacing w:line="360" w:lineRule="auto"/>
        <w:rPr>
          <w:rFonts w:ascii="Arial" w:hAnsi="Arial" w:cs="Arial"/>
          <w:lang w:val="en-GB"/>
        </w:rPr>
      </w:pPr>
      <w:r>
        <w:rPr>
          <w:rFonts w:ascii="Arial" w:hAnsi="Arial" w:cs="Arial"/>
          <w:b/>
          <w:bCs/>
          <w:lang w:val="en-GB"/>
        </w:rPr>
        <w:t>Accessibility obligations vary depending</w:t>
      </w:r>
      <w:r w:rsidR="005D2D41" w:rsidRPr="00581AA7">
        <w:rPr>
          <w:rFonts w:ascii="Arial" w:hAnsi="Arial" w:cs="Arial"/>
          <w:b/>
          <w:bCs/>
          <w:lang w:val="en-GB"/>
        </w:rPr>
        <w:t xml:space="preserve"> on the type of media </w:t>
      </w:r>
      <w:r>
        <w:rPr>
          <w:rFonts w:ascii="Arial" w:hAnsi="Arial" w:cs="Arial"/>
          <w:b/>
          <w:bCs/>
          <w:lang w:val="en-GB"/>
        </w:rPr>
        <w:t xml:space="preserve">service </w:t>
      </w:r>
      <w:r w:rsidR="005D2D41" w:rsidRPr="00581AA7">
        <w:rPr>
          <w:rFonts w:ascii="Arial" w:hAnsi="Arial" w:cs="Arial"/>
          <w:b/>
          <w:bCs/>
          <w:lang w:val="en-GB"/>
        </w:rPr>
        <w:t>provider</w:t>
      </w:r>
      <w:r w:rsidR="00581AA7" w:rsidRPr="00581AA7">
        <w:rPr>
          <w:rStyle w:val="FootnoteReference"/>
          <w:rFonts w:ascii="Arial" w:hAnsi="Arial" w:cs="Arial"/>
          <w:lang w:val="en-GB"/>
        </w:rPr>
        <w:footnoteReference w:id="3"/>
      </w:r>
      <w:r w:rsidR="00581AA7" w:rsidRPr="00581AA7">
        <w:rPr>
          <w:rFonts w:ascii="Arial" w:hAnsi="Arial" w:cs="Arial"/>
          <w:lang w:val="en-GB"/>
        </w:rPr>
        <w:t>.</w:t>
      </w:r>
      <w:r w:rsidR="002D6CBD" w:rsidRPr="00581AA7">
        <w:rPr>
          <w:rFonts w:ascii="Arial" w:hAnsi="Arial" w:cs="Arial"/>
          <w:lang w:val="en-GB"/>
        </w:rPr>
        <w:t xml:space="preserve"> In general, they </w:t>
      </w:r>
      <w:r>
        <w:rPr>
          <w:rFonts w:ascii="Arial" w:hAnsi="Arial" w:cs="Arial"/>
          <w:lang w:val="en-GB"/>
        </w:rPr>
        <w:t>are</w:t>
      </w:r>
      <w:r w:rsidR="002D6CBD" w:rsidRPr="00581AA7">
        <w:rPr>
          <w:rFonts w:ascii="Arial" w:hAnsi="Arial" w:cs="Arial"/>
          <w:lang w:val="en-GB"/>
        </w:rPr>
        <w:t xml:space="preserve"> higher for</w:t>
      </w:r>
      <w:r>
        <w:rPr>
          <w:rFonts w:ascii="Arial" w:hAnsi="Arial" w:cs="Arial"/>
          <w:lang w:val="en-GB"/>
        </w:rPr>
        <w:t xml:space="preserve"> - </w:t>
      </w:r>
      <w:r w:rsidR="002D6CBD" w:rsidRPr="00581AA7">
        <w:rPr>
          <w:rFonts w:ascii="Arial" w:hAnsi="Arial" w:cs="Arial"/>
          <w:lang w:val="en-GB"/>
        </w:rPr>
        <w:t>or only applicable</w:t>
      </w:r>
      <w:r>
        <w:rPr>
          <w:rFonts w:ascii="Arial" w:hAnsi="Arial" w:cs="Arial"/>
          <w:lang w:val="en-GB"/>
        </w:rPr>
        <w:t xml:space="preserve"> </w:t>
      </w:r>
      <w:r w:rsidR="002D6CBD" w:rsidRPr="00581AA7">
        <w:rPr>
          <w:rFonts w:ascii="Arial" w:hAnsi="Arial" w:cs="Arial"/>
          <w:lang w:val="en-GB"/>
        </w:rPr>
        <w:t>to</w:t>
      </w:r>
      <w:r>
        <w:rPr>
          <w:rFonts w:ascii="Arial" w:hAnsi="Arial" w:cs="Arial"/>
          <w:lang w:val="en-GB"/>
        </w:rPr>
        <w:t xml:space="preserve"> - </w:t>
      </w:r>
      <w:r w:rsidR="002D6CBD" w:rsidRPr="00581AA7">
        <w:rPr>
          <w:rFonts w:ascii="Arial" w:hAnsi="Arial" w:cs="Arial"/>
          <w:lang w:val="en-GB"/>
        </w:rPr>
        <w:t xml:space="preserve">public broadcasters, while obligations for private broadcasters and video-on-demand platforms are weaker or </w:t>
      </w:r>
      <w:r>
        <w:rPr>
          <w:rFonts w:ascii="Arial" w:hAnsi="Arial" w:cs="Arial"/>
          <w:lang w:val="en-GB"/>
        </w:rPr>
        <w:t>non-</w:t>
      </w:r>
      <w:r w:rsidR="002D6CBD" w:rsidRPr="00581AA7">
        <w:rPr>
          <w:rFonts w:ascii="Arial" w:hAnsi="Arial" w:cs="Arial"/>
          <w:lang w:val="en-GB"/>
        </w:rPr>
        <w:t>existent</w:t>
      </w:r>
      <w:r w:rsidR="00335ECA">
        <w:rPr>
          <w:rStyle w:val="FootnoteReference"/>
          <w:rFonts w:ascii="Arial" w:hAnsi="Arial" w:cs="Arial"/>
          <w:lang w:val="en-GB"/>
        </w:rPr>
        <w:footnoteReference w:id="4"/>
      </w:r>
      <w:r w:rsidR="00581AA7">
        <w:rPr>
          <w:rFonts w:ascii="Arial" w:hAnsi="Arial" w:cs="Arial"/>
          <w:lang w:val="en-GB"/>
        </w:rPr>
        <w:t xml:space="preserve">. </w:t>
      </w:r>
      <w:r w:rsidR="002D6CBD" w:rsidRPr="00581AA7">
        <w:rPr>
          <w:rFonts w:ascii="Arial" w:hAnsi="Arial" w:cs="Arial"/>
          <w:lang w:val="en-GB"/>
        </w:rPr>
        <w:t xml:space="preserve"> </w:t>
      </w:r>
    </w:p>
    <w:p w14:paraId="535D4FFD" w14:textId="77777777" w:rsidR="00581AA7" w:rsidRPr="00581AA7" w:rsidRDefault="00581AA7" w:rsidP="00581AA7">
      <w:pPr>
        <w:pStyle w:val="ListParagraph"/>
        <w:widowControl w:val="0"/>
        <w:spacing w:line="360" w:lineRule="auto"/>
        <w:rPr>
          <w:rFonts w:ascii="Arial" w:hAnsi="Arial" w:cs="Arial"/>
          <w:sz w:val="12"/>
          <w:szCs w:val="10"/>
          <w:lang w:val="en-GB"/>
        </w:rPr>
      </w:pPr>
    </w:p>
    <w:p w14:paraId="199C05E2" w14:textId="4615B9C9" w:rsidR="00F7162A" w:rsidRPr="003474F0" w:rsidRDefault="00D06CD7" w:rsidP="003474F0">
      <w:pPr>
        <w:pStyle w:val="ListParagraph"/>
        <w:widowControl w:val="0"/>
        <w:numPr>
          <w:ilvl w:val="0"/>
          <w:numId w:val="8"/>
        </w:numPr>
        <w:spacing w:line="360" w:lineRule="auto"/>
        <w:rPr>
          <w:rFonts w:ascii="Arial" w:hAnsi="Arial" w:cs="Arial"/>
          <w:lang w:val="en-GB"/>
        </w:rPr>
      </w:pPr>
      <w:r w:rsidRPr="00581AA7">
        <w:rPr>
          <w:rFonts w:ascii="Arial" w:hAnsi="Arial" w:cs="Arial"/>
          <w:b/>
          <w:bCs/>
          <w:lang w:val="en-GB"/>
        </w:rPr>
        <w:t>L</w:t>
      </w:r>
      <w:r w:rsidR="007917CF" w:rsidRPr="00581AA7">
        <w:rPr>
          <w:rFonts w:ascii="Arial" w:hAnsi="Arial" w:cs="Arial"/>
          <w:b/>
          <w:bCs/>
          <w:lang w:val="en-GB"/>
        </w:rPr>
        <w:t>ack of equity in the use of different access services</w:t>
      </w:r>
      <w:r w:rsidR="00581AA7" w:rsidRPr="00581AA7">
        <w:rPr>
          <w:rStyle w:val="FootnoteReference"/>
          <w:rFonts w:ascii="Arial" w:eastAsia="Aptos" w:hAnsi="Arial" w:cs="Arial"/>
          <w:kern w:val="2"/>
          <w:lang w:val="en-GB"/>
          <w14:ligatures w14:val="standardContextual"/>
        </w:rPr>
        <w:footnoteReference w:id="5"/>
      </w:r>
      <w:r w:rsidR="007917CF" w:rsidRPr="00581AA7">
        <w:rPr>
          <w:rFonts w:ascii="Arial" w:hAnsi="Arial" w:cs="Arial"/>
          <w:lang w:val="en-GB"/>
        </w:rPr>
        <w:t>.</w:t>
      </w:r>
      <w:r w:rsidR="002D6CBD" w:rsidRPr="00581AA7">
        <w:rPr>
          <w:rFonts w:ascii="Arial" w:hAnsi="Arial" w:cs="Arial"/>
          <w:lang w:val="en-GB"/>
        </w:rPr>
        <w:t xml:space="preserve"> </w:t>
      </w:r>
      <w:r w:rsidR="007917CF" w:rsidRPr="00581AA7">
        <w:rPr>
          <w:rFonts w:ascii="Arial" w:eastAsia="Aptos" w:hAnsi="Arial" w:cs="Arial"/>
          <w:kern w:val="2"/>
          <w:lang w:val="en-GB"/>
          <w14:ligatures w14:val="standardContextual"/>
        </w:rPr>
        <w:t>C</w:t>
      </w:r>
      <w:r w:rsidR="002D6CBD" w:rsidRPr="00581AA7">
        <w:rPr>
          <w:rFonts w:ascii="Arial" w:eastAsia="Aptos" w:hAnsi="Arial" w:cs="Arial"/>
          <w:kern w:val="2"/>
          <w:lang w:val="en-GB"/>
          <w14:ligatures w14:val="standardContextual"/>
        </w:rPr>
        <w:t xml:space="preserve">ertain access services are prioritized over others, discriminating among different disability groups. </w:t>
      </w:r>
      <w:r w:rsidR="00EC7488">
        <w:rPr>
          <w:rFonts w:ascii="Arial" w:eastAsia="Aptos" w:hAnsi="Arial" w:cs="Arial"/>
          <w:kern w:val="2"/>
          <w:lang w:val="en-GB"/>
          <w14:ligatures w14:val="standardContextual"/>
        </w:rPr>
        <w:t xml:space="preserve">In general, </w:t>
      </w:r>
      <w:r w:rsidR="007A422E">
        <w:rPr>
          <w:rFonts w:ascii="Arial" w:eastAsia="Aptos" w:hAnsi="Arial" w:cs="Arial"/>
          <w:kern w:val="2"/>
          <w:lang w:val="en-GB"/>
          <w14:ligatures w14:val="standardContextual"/>
        </w:rPr>
        <w:t xml:space="preserve">pre-recorded </w:t>
      </w:r>
      <w:r w:rsidR="00EC7488">
        <w:rPr>
          <w:rFonts w:ascii="Arial" w:eastAsia="Aptos" w:hAnsi="Arial" w:cs="Arial"/>
          <w:kern w:val="2"/>
          <w:lang w:val="en-GB"/>
          <w14:ligatures w14:val="standardContextual"/>
        </w:rPr>
        <w:t>s</w:t>
      </w:r>
      <w:r w:rsidR="002D6CBD" w:rsidRPr="00581AA7">
        <w:rPr>
          <w:rFonts w:ascii="Arial" w:eastAsia="Aptos" w:hAnsi="Arial" w:cs="Arial"/>
          <w:kern w:val="2"/>
          <w:lang w:val="en-GB"/>
          <w14:ligatures w14:val="standardContextual"/>
        </w:rPr>
        <w:t xml:space="preserve">ubtitling is more prevalent </w:t>
      </w:r>
      <w:r w:rsidR="00951CF9">
        <w:rPr>
          <w:rFonts w:ascii="Arial" w:eastAsia="Aptos" w:hAnsi="Arial" w:cs="Arial"/>
          <w:kern w:val="2"/>
          <w:lang w:val="en-GB"/>
          <w14:ligatures w14:val="standardContextual"/>
        </w:rPr>
        <w:t xml:space="preserve">than </w:t>
      </w:r>
      <w:r w:rsidR="002D6CBD" w:rsidRPr="00581AA7">
        <w:rPr>
          <w:rFonts w:ascii="Arial" w:eastAsia="Aptos" w:hAnsi="Arial" w:cs="Arial"/>
          <w:kern w:val="2"/>
          <w:lang w:val="en-GB"/>
          <w14:ligatures w14:val="standardContextual"/>
        </w:rPr>
        <w:t>audio description</w:t>
      </w:r>
      <w:r w:rsidR="00D4520F">
        <w:rPr>
          <w:rFonts w:ascii="Arial" w:eastAsia="Aptos" w:hAnsi="Arial" w:cs="Arial"/>
          <w:kern w:val="2"/>
          <w:lang w:val="en-GB"/>
          <w14:ligatures w14:val="standardContextual"/>
        </w:rPr>
        <w:t xml:space="preserve">, </w:t>
      </w:r>
      <w:r w:rsidR="002D6CBD" w:rsidRPr="00581AA7">
        <w:rPr>
          <w:rFonts w:ascii="Arial" w:eastAsia="Aptos" w:hAnsi="Arial" w:cs="Arial"/>
          <w:kern w:val="2"/>
          <w:lang w:val="en-GB"/>
          <w14:ligatures w14:val="standardContextual"/>
        </w:rPr>
        <w:t>sign language</w:t>
      </w:r>
      <w:r w:rsidR="00D4520F">
        <w:rPr>
          <w:rFonts w:ascii="Arial" w:eastAsia="Aptos" w:hAnsi="Arial" w:cs="Arial"/>
          <w:kern w:val="2"/>
          <w:lang w:val="en-GB"/>
          <w14:ligatures w14:val="standardContextual"/>
        </w:rPr>
        <w:t xml:space="preserve"> interpretation</w:t>
      </w:r>
      <w:r w:rsidR="007A422E">
        <w:rPr>
          <w:rFonts w:ascii="Arial" w:eastAsia="Aptos" w:hAnsi="Arial" w:cs="Arial"/>
          <w:kern w:val="2"/>
          <w:lang w:val="en-GB"/>
          <w14:ligatures w14:val="standardContextual"/>
        </w:rPr>
        <w:t>,</w:t>
      </w:r>
      <w:r w:rsidR="00D4520F">
        <w:rPr>
          <w:rFonts w:ascii="Arial" w:eastAsia="Aptos" w:hAnsi="Arial" w:cs="Arial"/>
          <w:kern w:val="2"/>
          <w:lang w:val="en-GB"/>
          <w14:ligatures w14:val="standardContextual"/>
        </w:rPr>
        <w:t xml:space="preserve"> </w:t>
      </w:r>
      <w:r w:rsidR="007A422E">
        <w:rPr>
          <w:rFonts w:ascii="Arial" w:eastAsia="Aptos" w:hAnsi="Arial" w:cs="Arial"/>
          <w:kern w:val="2"/>
          <w:lang w:val="en-GB"/>
          <w14:ligatures w14:val="standardContextual"/>
        </w:rPr>
        <w:t>live subtitl</w:t>
      </w:r>
      <w:r w:rsidR="004A21F1">
        <w:rPr>
          <w:rFonts w:ascii="Arial" w:eastAsia="Aptos" w:hAnsi="Arial" w:cs="Arial"/>
          <w:kern w:val="2"/>
          <w:lang w:val="en-GB"/>
          <w14:ligatures w14:val="standardContextual"/>
        </w:rPr>
        <w:t>ing</w:t>
      </w:r>
      <w:r w:rsidR="007A422E">
        <w:rPr>
          <w:rFonts w:ascii="Arial" w:eastAsia="Aptos" w:hAnsi="Arial" w:cs="Arial"/>
          <w:kern w:val="2"/>
          <w:lang w:val="en-GB"/>
          <w14:ligatures w14:val="standardContextual"/>
        </w:rPr>
        <w:t xml:space="preserve"> and </w:t>
      </w:r>
      <w:r w:rsidR="00D4520F">
        <w:rPr>
          <w:rFonts w:ascii="Arial" w:eastAsia="Aptos" w:hAnsi="Arial" w:cs="Arial"/>
          <w:kern w:val="2"/>
          <w:lang w:val="en-GB"/>
          <w14:ligatures w14:val="standardContextual"/>
        </w:rPr>
        <w:t xml:space="preserve">spoken subtitles. </w:t>
      </w:r>
    </w:p>
    <w:p w14:paraId="113E2EF4" w14:textId="6BF51B9B" w:rsidR="00F7162A" w:rsidRDefault="00CD10F3" w:rsidP="00F7162A">
      <w:pPr>
        <w:pStyle w:val="Heading3"/>
        <w:rPr>
          <w:lang w:val="en-GB"/>
        </w:rPr>
      </w:pPr>
      <w:r>
        <w:rPr>
          <w:lang w:val="en-GB"/>
        </w:rPr>
        <w:t xml:space="preserve">EDF recommendation </w:t>
      </w:r>
      <w:r w:rsidR="00F7162A">
        <w:rPr>
          <w:lang w:val="en-GB"/>
        </w:rPr>
        <w:t>for the AVMSD revision (I)</w:t>
      </w:r>
    </w:p>
    <w:p w14:paraId="0B5316F2" w14:textId="355A641B" w:rsidR="00F7162A" w:rsidRDefault="008056D0" w:rsidP="00F7162A">
      <w:pPr>
        <w:spacing w:line="360" w:lineRule="auto"/>
        <w:jc w:val="both"/>
        <w:rPr>
          <w:rFonts w:ascii="Arial" w:hAnsi="Arial" w:cs="Arial"/>
          <w:lang w:val="en-GB"/>
        </w:rPr>
      </w:pPr>
      <w:r w:rsidRPr="008056D0">
        <w:rPr>
          <w:rFonts w:ascii="Arial" w:hAnsi="Arial" w:cs="Arial"/>
          <w:lang w:val="en-GB"/>
        </w:rPr>
        <w:t xml:space="preserve">The AVMSD </w:t>
      </w:r>
      <w:r w:rsidR="000F2D4B">
        <w:rPr>
          <w:rFonts w:ascii="Arial" w:hAnsi="Arial" w:cs="Arial"/>
          <w:lang w:val="en-GB"/>
        </w:rPr>
        <w:t xml:space="preserve">must stop </w:t>
      </w:r>
      <w:r w:rsidRPr="008056D0">
        <w:rPr>
          <w:rFonts w:ascii="Arial" w:hAnsi="Arial" w:cs="Arial"/>
          <w:lang w:val="en-GB"/>
        </w:rPr>
        <w:t>rely</w:t>
      </w:r>
      <w:r w:rsidR="000F2D4B">
        <w:rPr>
          <w:rFonts w:ascii="Arial" w:hAnsi="Arial" w:cs="Arial"/>
          <w:lang w:val="en-GB"/>
        </w:rPr>
        <w:t>ing</w:t>
      </w:r>
      <w:r w:rsidRPr="008056D0">
        <w:rPr>
          <w:rFonts w:ascii="Arial" w:hAnsi="Arial" w:cs="Arial"/>
          <w:lang w:val="en-GB"/>
        </w:rPr>
        <w:t xml:space="preserve"> on general duties of progressive improvement</w:t>
      </w:r>
      <w:r w:rsidR="00F6417D">
        <w:rPr>
          <w:rFonts w:ascii="Arial" w:hAnsi="Arial" w:cs="Arial"/>
          <w:lang w:val="en-GB"/>
        </w:rPr>
        <w:t xml:space="preserve"> and should promote </w:t>
      </w:r>
      <w:r w:rsidR="007A746B">
        <w:rPr>
          <w:rFonts w:ascii="Arial" w:hAnsi="Arial" w:cs="Arial"/>
          <w:lang w:val="en-GB"/>
        </w:rPr>
        <w:t>measurable and enforce</w:t>
      </w:r>
      <w:r w:rsidR="003322EB">
        <w:rPr>
          <w:rFonts w:ascii="Arial" w:hAnsi="Arial" w:cs="Arial"/>
          <w:lang w:val="en-GB"/>
        </w:rPr>
        <w:t xml:space="preserve">able </w:t>
      </w:r>
      <w:r w:rsidR="00A144A3">
        <w:rPr>
          <w:rFonts w:ascii="Arial" w:hAnsi="Arial" w:cs="Arial"/>
          <w:lang w:val="en-GB"/>
        </w:rPr>
        <w:t>minimum</w:t>
      </w:r>
      <w:r w:rsidR="007A746B">
        <w:rPr>
          <w:rFonts w:ascii="Arial" w:hAnsi="Arial" w:cs="Arial"/>
          <w:lang w:val="en-GB"/>
        </w:rPr>
        <w:t xml:space="preserve"> accessibility obligations, including </w:t>
      </w:r>
      <w:r w:rsidR="001D2C01">
        <w:rPr>
          <w:rFonts w:ascii="Arial" w:hAnsi="Arial" w:cs="Arial"/>
          <w:lang w:val="en-GB"/>
        </w:rPr>
        <w:t xml:space="preserve">concrete targets specifying with clear timelines the percentage of audiovisual content to be made accessible </w:t>
      </w:r>
      <w:r w:rsidR="00A144A3">
        <w:rPr>
          <w:rFonts w:ascii="Arial" w:hAnsi="Arial" w:cs="Arial"/>
          <w:lang w:val="en-GB"/>
        </w:rPr>
        <w:t>for each type of access service</w:t>
      </w:r>
      <w:r w:rsidR="004626EA">
        <w:rPr>
          <w:rFonts w:ascii="Arial" w:hAnsi="Arial" w:cs="Arial"/>
          <w:lang w:val="en-GB"/>
        </w:rPr>
        <w:t xml:space="preserve">. </w:t>
      </w:r>
      <w:r w:rsidR="004626EA" w:rsidRPr="00EC7488">
        <w:rPr>
          <w:rFonts w:ascii="Arial" w:hAnsi="Arial" w:cs="Arial"/>
          <w:lang w:val="en-GB"/>
        </w:rPr>
        <w:t xml:space="preserve">These targets should </w:t>
      </w:r>
      <w:r w:rsidR="004626EA">
        <w:rPr>
          <w:rFonts w:ascii="Arial" w:hAnsi="Arial" w:cs="Arial"/>
          <w:lang w:val="en-GB"/>
        </w:rPr>
        <w:t>take into account the level of media accessibility in each Member State</w:t>
      </w:r>
      <w:r w:rsidR="005B266E">
        <w:rPr>
          <w:rFonts w:ascii="Arial" w:hAnsi="Arial" w:cs="Arial"/>
          <w:lang w:val="en-GB"/>
        </w:rPr>
        <w:t xml:space="preserve"> and increase over time. </w:t>
      </w:r>
    </w:p>
    <w:p w14:paraId="3CBCE751" w14:textId="39DBC430" w:rsidR="00AC0F1E" w:rsidRPr="004626EA" w:rsidRDefault="00DA682D" w:rsidP="00F7162A">
      <w:pPr>
        <w:spacing w:line="360" w:lineRule="auto"/>
        <w:jc w:val="both"/>
        <w:rPr>
          <w:rFonts w:ascii="Arial" w:hAnsi="Arial" w:cs="Arial"/>
          <w:lang w:val="en-GB"/>
        </w:rPr>
      </w:pPr>
      <w:r>
        <w:rPr>
          <w:rFonts w:ascii="Arial" w:hAnsi="Arial" w:cs="Arial"/>
        </w:rPr>
        <w:lastRenderedPageBreak/>
        <w:t>In addition, t</w:t>
      </w:r>
      <w:r w:rsidR="00AC0F1E" w:rsidRPr="00AC0F1E">
        <w:rPr>
          <w:rFonts w:ascii="Arial" w:hAnsi="Arial" w:cs="Arial"/>
        </w:rPr>
        <w:t xml:space="preserve">he revised AVMSD should ensure a balanced legal framework for all access services so that compliance does not become overly dependent on </w:t>
      </w:r>
      <w:r w:rsidR="002C00AD">
        <w:rPr>
          <w:rFonts w:ascii="Arial" w:hAnsi="Arial" w:cs="Arial"/>
        </w:rPr>
        <w:t>one access service alone</w:t>
      </w:r>
      <w:r w:rsidR="00AC0F1E" w:rsidRPr="00AC0F1E">
        <w:rPr>
          <w:rFonts w:ascii="Arial" w:hAnsi="Arial" w:cs="Arial"/>
        </w:rPr>
        <w:t>. A regulatory model that delivers accessibility primarily for one disability group, while leaving other groups with limited or inconsistent access, should be regarded as insufficient</w:t>
      </w:r>
      <w:r w:rsidR="00564DE7">
        <w:rPr>
          <w:rFonts w:ascii="Arial" w:hAnsi="Arial" w:cs="Arial"/>
        </w:rPr>
        <w:t xml:space="preserve">. </w:t>
      </w:r>
    </w:p>
    <w:p w14:paraId="1AA79F4F" w14:textId="6CE24BA1" w:rsidR="007917CF" w:rsidRDefault="007917CF" w:rsidP="007917CF">
      <w:pPr>
        <w:pStyle w:val="Heading2"/>
      </w:pPr>
      <w:bookmarkStart w:id="5" w:name="_Toc228456459"/>
      <w:r>
        <w:t xml:space="preserve">Quality </w:t>
      </w:r>
      <w:r w:rsidR="00CB6F4A">
        <w:t>considerations in the provision of access services</w:t>
      </w:r>
      <w:bookmarkEnd w:id="5"/>
    </w:p>
    <w:p w14:paraId="68807E5C" w14:textId="571D1796" w:rsidR="00B63E8B" w:rsidRDefault="00951CF9" w:rsidP="000D5C25">
      <w:pPr>
        <w:widowControl w:val="0"/>
        <w:spacing w:line="360" w:lineRule="auto"/>
        <w:rPr>
          <w:rFonts w:ascii="Arial" w:eastAsia="Aptos" w:hAnsi="Arial" w:cs="Arial"/>
          <w:kern w:val="2"/>
          <w14:ligatures w14:val="standardContextual"/>
        </w:rPr>
      </w:pPr>
      <w:r w:rsidRPr="00951CF9">
        <w:rPr>
          <w:rFonts w:ascii="Arial" w:eastAsia="Aptos" w:hAnsi="Arial" w:cs="Arial"/>
          <w:kern w:val="2"/>
          <w14:ligatures w14:val="standardContextual"/>
        </w:rPr>
        <w:t xml:space="preserve">The mere provision of access services does not automatically guarantee accessibility. For example, subtitles that are not specifically designed for deaf and hard-of-hearing persons, audio description that is not delivered by trained professionals, or a sign language interpreter </w:t>
      </w:r>
      <w:r w:rsidR="001D3D70">
        <w:rPr>
          <w:rFonts w:ascii="Arial" w:eastAsia="Aptos" w:hAnsi="Arial" w:cs="Arial"/>
          <w:kern w:val="2"/>
          <w14:ligatures w14:val="standardContextual"/>
        </w:rPr>
        <w:t xml:space="preserve">that is not qualified </w:t>
      </w:r>
      <w:r w:rsidRPr="00951CF9">
        <w:rPr>
          <w:rFonts w:ascii="Arial" w:eastAsia="Aptos" w:hAnsi="Arial" w:cs="Arial"/>
          <w:kern w:val="2"/>
          <w14:ligatures w14:val="standardContextual"/>
        </w:rPr>
        <w:t>may fail to ensure effective access.</w:t>
      </w:r>
      <w:r w:rsidR="00765487">
        <w:rPr>
          <w:rFonts w:ascii="Arial" w:eastAsia="Aptos" w:hAnsi="Arial" w:cs="Arial"/>
          <w:kern w:val="2"/>
          <w14:ligatures w14:val="standardContextual"/>
        </w:rPr>
        <w:t xml:space="preserve"> </w:t>
      </w:r>
      <w:r w:rsidR="00E43B93">
        <w:rPr>
          <w:rFonts w:ascii="Arial" w:eastAsia="Aptos" w:hAnsi="Arial" w:cs="Arial"/>
          <w:kern w:val="2"/>
          <w14:ligatures w14:val="standardContextual"/>
        </w:rPr>
        <w:t xml:space="preserve"> </w:t>
      </w:r>
      <w:r w:rsidR="00896130">
        <w:rPr>
          <w:rFonts w:ascii="Arial" w:eastAsia="Aptos" w:hAnsi="Arial" w:cs="Arial"/>
          <w:kern w:val="2"/>
          <w14:ligatures w14:val="standardContextual"/>
        </w:rPr>
        <w:t>In addition,</w:t>
      </w:r>
      <w:r w:rsidR="009952CB">
        <w:rPr>
          <w:rFonts w:ascii="Arial" w:eastAsia="Aptos" w:hAnsi="Arial" w:cs="Arial"/>
          <w:kern w:val="2"/>
          <w14:ligatures w14:val="standardContextual"/>
        </w:rPr>
        <w:t xml:space="preserve"> </w:t>
      </w:r>
      <w:r w:rsidR="000C4B6C">
        <w:rPr>
          <w:rFonts w:ascii="Arial" w:eastAsia="Aptos" w:hAnsi="Arial" w:cs="Arial"/>
          <w:kern w:val="2"/>
          <w14:ligatures w14:val="standardContextual"/>
        </w:rPr>
        <w:t xml:space="preserve">both opportunities and challenges arise with the use of </w:t>
      </w:r>
      <w:r w:rsidR="009952CB">
        <w:rPr>
          <w:rFonts w:ascii="Arial" w:eastAsia="Aptos" w:hAnsi="Arial" w:cs="Arial"/>
          <w:kern w:val="2"/>
          <w14:ligatures w14:val="standardContextual"/>
        </w:rPr>
        <w:t xml:space="preserve">Artificial Intelligence (AI) </w:t>
      </w:r>
      <w:r w:rsidR="000C4B6C">
        <w:rPr>
          <w:rFonts w:ascii="Arial" w:eastAsia="Aptos" w:hAnsi="Arial" w:cs="Arial"/>
          <w:kern w:val="2"/>
          <w14:ligatures w14:val="standardContextual"/>
        </w:rPr>
        <w:t>for the</w:t>
      </w:r>
      <w:r w:rsidR="009952CB">
        <w:rPr>
          <w:rFonts w:ascii="Arial" w:eastAsia="Aptos" w:hAnsi="Arial" w:cs="Arial"/>
          <w:kern w:val="2"/>
          <w14:ligatures w14:val="standardContextual"/>
        </w:rPr>
        <w:t xml:space="preserve"> prov</w:t>
      </w:r>
      <w:r w:rsidR="000C4B6C">
        <w:rPr>
          <w:rFonts w:ascii="Arial" w:eastAsia="Aptos" w:hAnsi="Arial" w:cs="Arial"/>
          <w:kern w:val="2"/>
          <w14:ligatures w14:val="standardContextual"/>
        </w:rPr>
        <w:t>ision of</w:t>
      </w:r>
      <w:r w:rsidR="009952CB">
        <w:rPr>
          <w:rFonts w:ascii="Arial" w:eastAsia="Aptos" w:hAnsi="Arial" w:cs="Arial"/>
          <w:kern w:val="2"/>
          <w14:ligatures w14:val="standardContextual"/>
        </w:rPr>
        <w:t xml:space="preserve"> accessibility (</w:t>
      </w:r>
      <w:r w:rsidR="007E5313">
        <w:rPr>
          <w:rFonts w:ascii="Arial" w:eastAsia="Aptos" w:hAnsi="Arial" w:cs="Arial"/>
          <w:kern w:val="2"/>
          <w14:ligatures w14:val="standardContextual"/>
        </w:rPr>
        <w:t xml:space="preserve">for example, </w:t>
      </w:r>
      <w:proofErr w:type="gramStart"/>
      <w:r w:rsidR="009952CB">
        <w:rPr>
          <w:rFonts w:ascii="Arial" w:eastAsia="Aptos" w:hAnsi="Arial" w:cs="Arial"/>
          <w:kern w:val="2"/>
          <w14:ligatures w14:val="standardContextual"/>
        </w:rPr>
        <w:t>to produce</w:t>
      </w:r>
      <w:proofErr w:type="gramEnd"/>
      <w:r w:rsidR="009952CB">
        <w:rPr>
          <w:rFonts w:ascii="Arial" w:eastAsia="Aptos" w:hAnsi="Arial" w:cs="Arial"/>
          <w:kern w:val="2"/>
          <w14:ligatures w14:val="standardContextual"/>
        </w:rPr>
        <w:t xml:space="preserve"> </w:t>
      </w:r>
      <w:r w:rsidR="00896130">
        <w:rPr>
          <w:rFonts w:ascii="Arial" w:eastAsia="Aptos" w:hAnsi="Arial" w:cs="Arial"/>
          <w:kern w:val="2"/>
          <w14:ligatures w14:val="standardContextual"/>
        </w:rPr>
        <w:t>automatic</w:t>
      </w:r>
      <w:r w:rsidR="007E5313">
        <w:rPr>
          <w:rFonts w:ascii="Arial" w:eastAsia="Aptos" w:hAnsi="Arial" w:cs="Arial"/>
          <w:kern w:val="2"/>
          <w14:ligatures w14:val="standardContextual"/>
        </w:rPr>
        <w:t xml:space="preserve"> </w:t>
      </w:r>
      <w:r w:rsidR="00476AEA">
        <w:rPr>
          <w:rFonts w:ascii="Arial" w:eastAsia="Aptos" w:hAnsi="Arial" w:cs="Arial"/>
          <w:kern w:val="2"/>
          <w14:ligatures w14:val="standardContextual"/>
        </w:rPr>
        <w:t>captions</w:t>
      </w:r>
      <w:r w:rsidR="009952CB">
        <w:rPr>
          <w:rFonts w:ascii="Arial" w:eastAsia="Aptos" w:hAnsi="Arial" w:cs="Arial"/>
          <w:kern w:val="2"/>
          <w14:ligatures w14:val="standardContextual"/>
        </w:rPr>
        <w:t xml:space="preserve">). </w:t>
      </w:r>
      <w:r w:rsidR="00440069">
        <w:rPr>
          <w:rFonts w:ascii="Arial" w:eastAsia="Aptos" w:hAnsi="Arial" w:cs="Arial"/>
          <w:kern w:val="2"/>
          <w14:ligatures w14:val="standardContextual"/>
        </w:rPr>
        <w:t xml:space="preserve"> </w:t>
      </w:r>
      <w:r w:rsidR="00093414">
        <w:rPr>
          <w:rFonts w:ascii="Arial" w:eastAsia="Aptos" w:hAnsi="Arial" w:cs="Arial"/>
          <w:kern w:val="2"/>
          <w14:ligatures w14:val="standardContextual"/>
        </w:rPr>
        <w:t>When it comes to access services</w:t>
      </w:r>
      <w:r w:rsidR="00FA74B3">
        <w:rPr>
          <w:rFonts w:ascii="Arial" w:eastAsia="Aptos" w:hAnsi="Arial" w:cs="Arial"/>
          <w:kern w:val="2"/>
          <w14:ligatures w14:val="standardContextual"/>
        </w:rPr>
        <w:t>,</w:t>
      </w:r>
      <w:r w:rsidR="00B63E8B">
        <w:rPr>
          <w:rFonts w:ascii="Arial" w:eastAsia="Aptos" w:hAnsi="Arial" w:cs="Arial"/>
          <w:kern w:val="2"/>
          <w14:ligatures w14:val="standardContextual"/>
        </w:rPr>
        <w:t xml:space="preserve"> </w:t>
      </w:r>
      <w:r w:rsidR="00093414">
        <w:rPr>
          <w:rFonts w:ascii="Arial" w:eastAsia="Aptos" w:hAnsi="Arial" w:cs="Arial"/>
          <w:kern w:val="2"/>
          <w14:ligatures w14:val="standardContextual"/>
        </w:rPr>
        <w:t>quality</w:t>
      </w:r>
      <w:r w:rsidR="00440069">
        <w:rPr>
          <w:rFonts w:ascii="Arial" w:eastAsia="Aptos" w:hAnsi="Arial" w:cs="Arial"/>
          <w:kern w:val="2"/>
          <w14:ligatures w14:val="standardContextual"/>
        </w:rPr>
        <w:t xml:space="preserve"> considerations ensure that the content is as accessible as possible to the end-user. </w:t>
      </w:r>
    </w:p>
    <w:p w14:paraId="642BF7A6" w14:textId="26AEEAD4" w:rsidR="009952CB" w:rsidRDefault="007917CF" w:rsidP="00581AA7">
      <w:pPr>
        <w:widowControl w:val="0"/>
        <w:spacing w:line="360" w:lineRule="auto"/>
        <w:rPr>
          <w:rFonts w:ascii="Arial" w:eastAsia="Aptos" w:hAnsi="Arial" w:cs="Arial"/>
          <w:kern w:val="2"/>
          <w14:ligatures w14:val="standardContextual"/>
        </w:rPr>
      </w:pPr>
      <w:hyperlink r:id="rId18" w:history="1">
        <w:r w:rsidRPr="00177E5D">
          <w:rPr>
            <w:rStyle w:val="Hyperlink"/>
            <w:rFonts w:ascii="Arial" w:eastAsia="Aptos" w:hAnsi="Arial" w:cs="Arial"/>
            <w:kern w:val="2"/>
            <w14:ligatures w14:val="standardContextual"/>
          </w:rPr>
          <w:t>According to ERGA 2021 report</w:t>
        </w:r>
      </w:hyperlink>
      <w:r w:rsidR="00177E5D">
        <w:rPr>
          <w:rStyle w:val="FootnoteReference"/>
          <w:rFonts w:ascii="Arial" w:eastAsia="Aptos" w:hAnsi="Arial" w:cs="Arial"/>
          <w:kern w:val="2"/>
          <w14:ligatures w14:val="standardContextual"/>
        </w:rPr>
        <w:footnoteReference w:id="6"/>
      </w:r>
      <w:r w:rsidRPr="00692016">
        <w:rPr>
          <w:rFonts w:ascii="Arial" w:eastAsia="Aptos" w:hAnsi="Arial" w:cs="Arial"/>
          <w:kern w:val="2"/>
          <w14:ligatures w14:val="standardContextual"/>
        </w:rPr>
        <w:t xml:space="preserve">, very few </w:t>
      </w:r>
      <w:r w:rsidR="00EC7488">
        <w:rPr>
          <w:rFonts w:ascii="Arial" w:eastAsia="Aptos" w:hAnsi="Arial" w:cs="Arial"/>
          <w:kern w:val="2"/>
          <w14:ligatures w14:val="standardContextual"/>
        </w:rPr>
        <w:t>Member States (MS)</w:t>
      </w:r>
      <w:r w:rsidRPr="00692016">
        <w:rPr>
          <w:rFonts w:ascii="Arial" w:eastAsia="Aptos" w:hAnsi="Arial" w:cs="Arial"/>
          <w:kern w:val="2"/>
          <w14:ligatures w14:val="standardContextual"/>
        </w:rPr>
        <w:t xml:space="preserve"> </w:t>
      </w:r>
      <w:r w:rsidR="00951CF9">
        <w:rPr>
          <w:rFonts w:ascii="Arial" w:eastAsia="Aptos" w:hAnsi="Arial" w:cs="Arial"/>
          <w:kern w:val="2"/>
          <w14:ligatures w14:val="standardContextual"/>
        </w:rPr>
        <w:t>appear</w:t>
      </w:r>
      <w:r w:rsidRPr="00692016">
        <w:rPr>
          <w:rFonts w:ascii="Arial" w:eastAsia="Aptos" w:hAnsi="Arial" w:cs="Arial"/>
          <w:kern w:val="2"/>
          <w14:ligatures w14:val="standardContextual"/>
        </w:rPr>
        <w:t xml:space="preserve"> to have</w:t>
      </w:r>
      <w:r w:rsidR="00951CF9">
        <w:rPr>
          <w:rFonts w:ascii="Arial" w:eastAsia="Aptos" w:hAnsi="Arial" w:cs="Arial"/>
          <w:kern w:val="2"/>
          <w14:ligatures w14:val="standardContextual"/>
        </w:rPr>
        <w:t xml:space="preserve"> introduced </w:t>
      </w:r>
      <w:r w:rsidRPr="00692016">
        <w:rPr>
          <w:rFonts w:ascii="Arial" w:eastAsia="Aptos" w:hAnsi="Arial" w:cs="Arial"/>
          <w:kern w:val="2"/>
          <w14:ligatures w14:val="standardContextual"/>
        </w:rPr>
        <w:t>qualitative obligations</w:t>
      </w:r>
      <w:r w:rsidR="005E049D">
        <w:rPr>
          <w:rFonts w:ascii="Arial" w:eastAsia="Aptos" w:hAnsi="Arial" w:cs="Arial"/>
          <w:kern w:val="2"/>
          <w14:ligatures w14:val="standardContextual"/>
        </w:rPr>
        <w:t xml:space="preserve">: </w:t>
      </w:r>
      <w:r w:rsidRPr="00692016">
        <w:rPr>
          <w:rFonts w:ascii="Arial" w:eastAsia="Aptos" w:hAnsi="Arial" w:cs="Arial"/>
          <w:kern w:val="2"/>
          <w14:ligatures w14:val="standardContextual"/>
        </w:rPr>
        <w:t xml:space="preserve">8 MS for </w:t>
      </w:r>
      <w:r w:rsidR="009952CB">
        <w:rPr>
          <w:rFonts w:ascii="Arial" w:eastAsia="Aptos" w:hAnsi="Arial" w:cs="Arial"/>
          <w:kern w:val="2"/>
          <w14:ligatures w14:val="standardContextual"/>
        </w:rPr>
        <w:t xml:space="preserve">linear </w:t>
      </w:r>
      <w:r w:rsidRPr="00692016">
        <w:rPr>
          <w:rFonts w:ascii="Arial" w:eastAsia="Aptos" w:hAnsi="Arial" w:cs="Arial"/>
          <w:kern w:val="2"/>
          <w14:ligatures w14:val="standardContextual"/>
        </w:rPr>
        <w:t xml:space="preserve">broadcast and 4 for on demand. The </w:t>
      </w:r>
      <w:hyperlink r:id="rId19" w:history="1">
        <w:r w:rsidRPr="00577B8B">
          <w:rPr>
            <w:rStyle w:val="Hyperlink"/>
            <w:rFonts w:ascii="Arial" w:eastAsia="Aptos" w:hAnsi="Arial" w:cs="Arial"/>
            <w:kern w:val="2"/>
            <w14:ligatures w14:val="standardContextual"/>
          </w:rPr>
          <w:t>Audiovisual Observatory Report</w:t>
        </w:r>
      </w:hyperlink>
      <w:r w:rsidR="00577B8B">
        <w:rPr>
          <w:rStyle w:val="FootnoteReference"/>
          <w:rFonts w:ascii="Arial" w:eastAsia="Aptos" w:hAnsi="Arial" w:cs="Arial"/>
          <w:kern w:val="2"/>
          <w14:ligatures w14:val="standardContextual"/>
        </w:rPr>
        <w:footnoteReference w:id="7"/>
      </w:r>
      <w:r w:rsidRPr="00692016">
        <w:rPr>
          <w:rFonts w:ascii="Arial" w:eastAsia="Aptos" w:hAnsi="Arial" w:cs="Arial"/>
          <w:kern w:val="2"/>
          <w14:ligatures w14:val="standardContextual"/>
        </w:rPr>
        <w:t xml:space="preserve"> goes </w:t>
      </w:r>
      <w:r w:rsidR="00951CF9">
        <w:rPr>
          <w:rFonts w:ascii="Arial" w:eastAsia="Aptos" w:hAnsi="Arial" w:cs="Arial"/>
          <w:kern w:val="2"/>
          <w14:ligatures w14:val="standardContextual"/>
        </w:rPr>
        <w:t>further,</w:t>
      </w:r>
      <w:r w:rsidRPr="00692016">
        <w:rPr>
          <w:rFonts w:ascii="Arial" w:eastAsia="Aptos" w:hAnsi="Arial" w:cs="Arial"/>
          <w:kern w:val="2"/>
          <w14:ligatures w14:val="standardContextual"/>
        </w:rPr>
        <w:t xml:space="preserve"> </w:t>
      </w:r>
      <w:r w:rsidR="00951CF9">
        <w:rPr>
          <w:rFonts w:ascii="Arial" w:eastAsia="Aptos" w:hAnsi="Arial" w:cs="Arial"/>
          <w:kern w:val="2"/>
          <w14:ligatures w14:val="standardContextual"/>
        </w:rPr>
        <w:t>indicating</w:t>
      </w:r>
      <w:r w:rsidRPr="00692016">
        <w:rPr>
          <w:rFonts w:ascii="Arial" w:eastAsia="Aptos" w:hAnsi="Arial" w:cs="Arial"/>
          <w:kern w:val="2"/>
          <w14:ligatures w14:val="standardContextual"/>
        </w:rPr>
        <w:t xml:space="preserve"> that </w:t>
      </w:r>
      <w:r w:rsidR="00951CF9">
        <w:rPr>
          <w:rFonts w:ascii="Arial" w:eastAsia="Aptos" w:hAnsi="Arial" w:cs="Arial"/>
          <w:kern w:val="2"/>
          <w14:ligatures w14:val="standardContextual"/>
        </w:rPr>
        <w:t xml:space="preserve">only a limited number of </w:t>
      </w:r>
      <w:r w:rsidRPr="00692016">
        <w:rPr>
          <w:rFonts w:ascii="Arial" w:eastAsia="Aptos" w:hAnsi="Arial" w:cs="Arial"/>
          <w:kern w:val="2"/>
          <w14:ligatures w14:val="standardContextual"/>
        </w:rPr>
        <w:t xml:space="preserve">MS have a code of best practice or quality assurance document for access services (5 MS for subtitling, 3 MS for sign language and 4 MS for audio description). </w:t>
      </w:r>
    </w:p>
    <w:p w14:paraId="7839E77A" w14:textId="78FE4008" w:rsidR="009952CB" w:rsidRDefault="00242937" w:rsidP="00F7162A">
      <w:pPr>
        <w:pStyle w:val="Heading3"/>
        <w:rPr>
          <w:rFonts w:eastAsia="Aptos"/>
        </w:rPr>
      </w:pPr>
      <w:r>
        <w:rPr>
          <w:rFonts w:eastAsia="Aptos"/>
        </w:rPr>
        <w:t>EDF recommendation for</w:t>
      </w:r>
      <w:r w:rsidR="00F7162A">
        <w:rPr>
          <w:rFonts w:eastAsia="Aptos"/>
        </w:rPr>
        <w:t xml:space="preserve"> the AVMSD revision (II)</w:t>
      </w:r>
    </w:p>
    <w:p w14:paraId="6024D1F3" w14:textId="08070F52" w:rsidR="00AD3127" w:rsidRPr="00A808A6" w:rsidRDefault="00350EED" w:rsidP="00537900">
      <w:pPr>
        <w:spacing w:line="360" w:lineRule="auto"/>
        <w:jc w:val="both"/>
        <w:rPr>
          <w:rFonts w:ascii="Arial" w:hAnsi="Arial" w:cs="Arial"/>
          <w:b/>
          <w:bCs/>
        </w:rPr>
      </w:pPr>
      <w:r>
        <w:rPr>
          <w:rFonts w:ascii="Arial" w:hAnsi="Arial" w:cs="Arial"/>
        </w:rPr>
        <w:t>Following the practice</w:t>
      </w:r>
      <w:r w:rsidR="00DB6F31" w:rsidRPr="00D96E98">
        <w:rPr>
          <w:rFonts w:ascii="Arial" w:hAnsi="Arial" w:cs="Arial"/>
        </w:rPr>
        <w:t xml:space="preserve"> for other accessibility-related legislation, such as the European Accessibility Act</w:t>
      </w:r>
      <w:r w:rsidR="00A26760">
        <w:rPr>
          <w:rFonts w:ascii="Arial" w:hAnsi="Arial" w:cs="Arial"/>
        </w:rPr>
        <w:t>, the Web Accessibility Directive</w:t>
      </w:r>
      <w:r w:rsidR="00A14FE2">
        <w:rPr>
          <w:rFonts w:ascii="Arial" w:hAnsi="Arial" w:cs="Arial"/>
        </w:rPr>
        <w:t xml:space="preserve">, </w:t>
      </w:r>
      <w:r w:rsidR="00AD3127">
        <w:rPr>
          <w:rFonts w:ascii="Arial" w:hAnsi="Arial" w:cs="Arial"/>
        </w:rPr>
        <w:t xml:space="preserve">the European Commission should request the development of </w:t>
      </w:r>
      <w:r w:rsidR="00B76FA3">
        <w:rPr>
          <w:rFonts w:ascii="Arial" w:hAnsi="Arial" w:cs="Arial"/>
        </w:rPr>
        <w:t>European Standard</w:t>
      </w:r>
      <w:r w:rsidR="00362B0A">
        <w:rPr>
          <w:rFonts w:ascii="Arial" w:hAnsi="Arial" w:cs="Arial"/>
        </w:rPr>
        <w:t>s</w:t>
      </w:r>
      <w:r w:rsidR="00B76FA3">
        <w:rPr>
          <w:rFonts w:ascii="Arial" w:hAnsi="Arial" w:cs="Arial"/>
        </w:rPr>
        <w:t xml:space="preserve"> on Access Services</w:t>
      </w:r>
      <w:r w:rsidR="00B76FA3" w:rsidRPr="00537900">
        <w:rPr>
          <w:rFonts w:ascii="Arial" w:hAnsi="Arial" w:cs="Arial"/>
          <w:i/>
          <w:iCs/>
          <w:vertAlign w:val="superscript"/>
          <w:lang w:val="en-GB"/>
        </w:rPr>
        <w:footnoteReference w:id="8"/>
      </w:r>
      <w:r w:rsidR="00B76FA3">
        <w:rPr>
          <w:rFonts w:ascii="Arial" w:hAnsi="Arial" w:cs="Arial"/>
        </w:rPr>
        <w:t xml:space="preserve"> as an action under the EU Disability Strategy. </w:t>
      </w:r>
      <w:r w:rsidR="00A808A6">
        <w:rPr>
          <w:rFonts w:ascii="Arial" w:hAnsi="Arial" w:cs="Arial"/>
        </w:rPr>
        <w:t xml:space="preserve">Such standards would establish the minimum level of quality of required access services and support countries in which there is no quality guidance. </w:t>
      </w:r>
    </w:p>
    <w:p w14:paraId="06ED89B6" w14:textId="0C53C737" w:rsidR="00306E96" w:rsidRPr="00692016" w:rsidRDefault="00306E96" w:rsidP="000D5C25">
      <w:pPr>
        <w:pStyle w:val="Heading2"/>
        <w:spacing w:before="0"/>
        <w:rPr>
          <w:rFonts w:cs="Arial"/>
        </w:rPr>
      </w:pPr>
      <w:bookmarkStart w:id="6" w:name="_Toc228456460"/>
      <w:r w:rsidRPr="00692016">
        <w:rPr>
          <w:rFonts w:cs="Arial"/>
        </w:rPr>
        <w:lastRenderedPageBreak/>
        <w:t>Diversity of content made accessible</w:t>
      </w:r>
      <w:bookmarkEnd w:id="6"/>
    </w:p>
    <w:p w14:paraId="2F95D9E2" w14:textId="642A71E8" w:rsidR="00E3612F" w:rsidRDefault="00F36226" w:rsidP="00694025">
      <w:pPr>
        <w:spacing w:line="360" w:lineRule="auto"/>
        <w:rPr>
          <w:rFonts w:ascii="Arial" w:hAnsi="Arial" w:cs="Arial"/>
        </w:rPr>
      </w:pPr>
      <w:r>
        <w:rPr>
          <w:rFonts w:ascii="Arial" w:hAnsi="Arial" w:cs="Arial"/>
        </w:rPr>
        <w:t xml:space="preserve">The </w:t>
      </w:r>
      <w:hyperlink r:id="rId20" w:history="1">
        <w:r w:rsidRPr="00577B8B">
          <w:rPr>
            <w:rStyle w:val="Hyperlink"/>
            <w:rFonts w:ascii="Arial" w:hAnsi="Arial" w:cs="Arial"/>
          </w:rPr>
          <w:t>Audiovisual Media Observatory Report</w:t>
        </w:r>
      </w:hyperlink>
      <w:r w:rsidR="00485C12">
        <w:rPr>
          <w:rStyle w:val="FootnoteReference"/>
          <w:rFonts w:ascii="Arial" w:hAnsi="Arial" w:cs="Arial"/>
        </w:rPr>
        <w:footnoteReference w:id="9"/>
      </w:r>
      <w:r>
        <w:rPr>
          <w:rFonts w:ascii="Arial" w:hAnsi="Arial" w:cs="Arial"/>
        </w:rPr>
        <w:t xml:space="preserve"> shows that only 7 MS regulate the time of broadcast of accessible content, 11 regulate the type of content to be made accessible and 8 focus on news and current </w:t>
      </w:r>
      <w:r w:rsidR="00485C12">
        <w:rPr>
          <w:rFonts w:ascii="Arial" w:hAnsi="Arial" w:cs="Arial"/>
        </w:rPr>
        <w:t>af</w:t>
      </w:r>
      <w:r>
        <w:rPr>
          <w:rFonts w:ascii="Arial" w:hAnsi="Arial" w:cs="Arial"/>
        </w:rPr>
        <w:t>fairs programs. This leads to situations</w:t>
      </w:r>
      <w:r w:rsidR="00694025">
        <w:rPr>
          <w:rFonts w:ascii="Arial" w:hAnsi="Arial" w:cs="Arial"/>
        </w:rPr>
        <w:t xml:space="preserve"> in which the accessible content is scheduled late at night or extremely early in the morning, when </w:t>
      </w:r>
      <w:r w:rsidR="000D5C25">
        <w:rPr>
          <w:rFonts w:ascii="Arial" w:hAnsi="Arial" w:cs="Arial"/>
        </w:rPr>
        <w:t>the audience reach is minimal</w:t>
      </w:r>
      <w:r w:rsidR="00694025">
        <w:rPr>
          <w:rFonts w:ascii="Arial" w:hAnsi="Arial" w:cs="Arial"/>
        </w:rPr>
        <w:t xml:space="preserve">. </w:t>
      </w:r>
    </w:p>
    <w:p w14:paraId="0CB436AB" w14:textId="7F40EE71" w:rsidR="00BD13AB" w:rsidRDefault="009952CB" w:rsidP="00694025">
      <w:pPr>
        <w:spacing w:line="360" w:lineRule="auto"/>
        <w:rPr>
          <w:rFonts w:ascii="Arial" w:hAnsi="Arial" w:cs="Arial"/>
        </w:rPr>
      </w:pPr>
      <w:r>
        <w:rPr>
          <w:rFonts w:ascii="Arial" w:hAnsi="Arial" w:cs="Arial"/>
        </w:rPr>
        <w:t>Beyond the provision of access services</w:t>
      </w:r>
      <w:r w:rsidR="00BD13AB">
        <w:rPr>
          <w:rFonts w:ascii="Arial" w:hAnsi="Arial" w:cs="Arial"/>
        </w:rPr>
        <w:t>, it is important to ensure the availability of accessible content across all kinds of programming, including programs for children, sports, culture or movies</w:t>
      </w:r>
      <w:r w:rsidR="001B4839">
        <w:rPr>
          <w:rStyle w:val="FootnoteReference"/>
          <w:rFonts w:ascii="Arial" w:hAnsi="Arial" w:cs="Arial"/>
        </w:rPr>
        <w:footnoteReference w:id="10"/>
      </w:r>
      <w:r w:rsidR="00BD13AB">
        <w:rPr>
          <w:rFonts w:ascii="Arial" w:hAnsi="Arial" w:cs="Arial"/>
        </w:rPr>
        <w:t xml:space="preserve">. </w:t>
      </w:r>
    </w:p>
    <w:p w14:paraId="1659CCC4" w14:textId="5FEFA349" w:rsidR="00B20342" w:rsidRDefault="00D9108F" w:rsidP="00694025">
      <w:pPr>
        <w:spacing w:line="360" w:lineRule="auto"/>
        <w:rPr>
          <w:rFonts w:ascii="Arial" w:hAnsi="Arial" w:cs="Arial"/>
        </w:rPr>
      </w:pPr>
      <w:r>
        <w:rPr>
          <w:rFonts w:ascii="Arial" w:hAnsi="Arial" w:cs="Arial"/>
        </w:rPr>
        <w:t xml:space="preserve">In addition, accessible content should include disability led and produced programs. </w:t>
      </w:r>
      <w:r w:rsidR="009952CB">
        <w:rPr>
          <w:rFonts w:ascii="Arial" w:hAnsi="Arial" w:cs="Arial"/>
        </w:rPr>
        <w:t xml:space="preserve">For instance, </w:t>
      </w:r>
      <w:r w:rsidR="001D2D03">
        <w:rPr>
          <w:rFonts w:ascii="Arial" w:hAnsi="Arial" w:cs="Arial"/>
        </w:rPr>
        <w:t xml:space="preserve">beyond sign-language interpretation, deaf-led programs with deaf presenters, journalists and content creators can ensure that the content is delivered in the mother tongue of the deaf audience, by deaf professionals in a culturally appropriate way.  </w:t>
      </w:r>
    </w:p>
    <w:p w14:paraId="021A52F3" w14:textId="705B32B6" w:rsidR="00F7162A" w:rsidRDefault="00242937" w:rsidP="00F7162A">
      <w:pPr>
        <w:pStyle w:val="Heading3"/>
      </w:pPr>
      <w:r>
        <w:t>EDF recommendation</w:t>
      </w:r>
      <w:r w:rsidR="00F7162A">
        <w:t xml:space="preserve"> for the AVMSD revision (III)</w:t>
      </w:r>
    </w:p>
    <w:p w14:paraId="34B982AF" w14:textId="0C1A9268" w:rsidR="001D2D03" w:rsidRPr="00B20342" w:rsidRDefault="00F02AD9" w:rsidP="00B20342">
      <w:pPr>
        <w:spacing w:line="360" w:lineRule="auto"/>
        <w:jc w:val="both"/>
        <w:rPr>
          <w:rFonts w:ascii="Arial" w:hAnsi="Arial" w:cs="Arial"/>
          <w:lang w:val="en-GB"/>
        </w:rPr>
      </w:pPr>
      <w:r>
        <w:rPr>
          <w:rFonts w:ascii="Arial" w:hAnsi="Arial" w:cs="Arial"/>
        </w:rPr>
        <w:t>In the revised AVMSD, a</w:t>
      </w:r>
      <w:r w:rsidR="00422491" w:rsidRPr="00422491">
        <w:rPr>
          <w:rFonts w:ascii="Arial" w:hAnsi="Arial" w:cs="Arial"/>
        </w:rPr>
        <w:t xml:space="preserve">ccessibility obligations should extend beyond the mere existence of accessible content and include reasonable requirements concerning scheduling, prominence, </w:t>
      </w:r>
      <w:r w:rsidR="00E2374E">
        <w:rPr>
          <w:rFonts w:ascii="Arial" w:hAnsi="Arial" w:cs="Arial"/>
        </w:rPr>
        <w:t xml:space="preserve">diversity, </w:t>
      </w:r>
      <w:r w:rsidR="00422491" w:rsidRPr="00422491">
        <w:rPr>
          <w:rFonts w:ascii="Arial" w:hAnsi="Arial" w:cs="Arial"/>
        </w:rPr>
        <w:t>labelling, searchability and discoverability, so that accessible content is available in practice and not only in theory</w:t>
      </w:r>
      <w:r w:rsidR="00B20342">
        <w:rPr>
          <w:rFonts w:ascii="Arial" w:hAnsi="Arial" w:cs="Arial"/>
          <w:lang w:val="en-GB"/>
        </w:rPr>
        <w:t xml:space="preserve">. </w:t>
      </w:r>
      <w:r w:rsidR="00DF189C">
        <w:rPr>
          <w:rFonts w:ascii="Arial" w:hAnsi="Arial" w:cs="Arial"/>
          <w:lang w:val="en-GB"/>
        </w:rPr>
        <w:t>O</w:t>
      </w:r>
      <w:r w:rsidR="00B20342">
        <w:rPr>
          <w:rFonts w:ascii="Arial" w:hAnsi="Arial" w:cs="Arial"/>
          <w:lang w:val="en-GB"/>
        </w:rPr>
        <w:t>rganisations of persons with disabilities</w:t>
      </w:r>
      <w:r w:rsidR="00896130" w:rsidRPr="00B20342">
        <w:rPr>
          <w:rFonts w:ascii="Arial" w:hAnsi="Arial" w:cs="Arial"/>
          <w:lang w:val="en-GB"/>
        </w:rPr>
        <w:t xml:space="preserve"> </w:t>
      </w:r>
      <w:r w:rsidR="00DF189C">
        <w:rPr>
          <w:rFonts w:ascii="Arial" w:hAnsi="Arial" w:cs="Arial"/>
          <w:lang w:val="en-GB"/>
        </w:rPr>
        <w:t>should be involved when</w:t>
      </w:r>
      <w:r w:rsidR="00896130" w:rsidRPr="00B20342">
        <w:rPr>
          <w:rFonts w:ascii="Arial" w:hAnsi="Arial" w:cs="Arial"/>
          <w:lang w:val="en-GB"/>
        </w:rPr>
        <w:t xml:space="preserve"> prioritiz</w:t>
      </w:r>
      <w:r w:rsidR="00DF189C">
        <w:rPr>
          <w:rFonts w:ascii="Arial" w:hAnsi="Arial" w:cs="Arial"/>
          <w:lang w:val="en-GB"/>
        </w:rPr>
        <w:t>ing</w:t>
      </w:r>
      <w:r w:rsidR="00896130" w:rsidRPr="00B20342">
        <w:rPr>
          <w:rFonts w:ascii="Arial" w:hAnsi="Arial" w:cs="Arial"/>
          <w:lang w:val="en-GB"/>
        </w:rPr>
        <w:t xml:space="preserve"> the programmes to be made accessible</w:t>
      </w:r>
      <w:r w:rsidR="0080625B">
        <w:rPr>
          <w:rFonts w:ascii="Arial" w:hAnsi="Arial" w:cs="Arial"/>
          <w:lang w:val="en-GB"/>
        </w:rPr>
        <w:t xml:space="preserve">. Member States should support and </w:t>
      </w:r>
      <w:r w:rsidR="00B20342">
        <w:rPr>
          <w:rFonts w:ascii="Arial" w:hAnsi="Arial" w:cs="Arial"/>
          <w:lang w:val="en-GB"/>
        </w:rPr>
        <w:t>encourage the creation</w:t>
      </w:r>
      <w:r w:rsidR="00F7162A" w:rsidRPr="00B20342">
        <w:rPr>
          <w:rFonts w:ascii="Arial" w:hAnsi="Arial" w:cs="Arial"/>
          <w:lang w:val="en-GB"/>
        </w:rPr>
        <w:t xml:space="preserve"> of content delivered</w:t>
      </w:r>
      <w:r w:rsidR="00896130" w:rsidRPr="00B20342">
        <w:rPr>
          <w:rFonts w:ascii="Arial" w:hAnsi="Arial" w:cs="Arial"/>
          <w:lang w:val="en-GB"/>
        </w:rPr>
        <w:t xml:space="preserve"> directly</w:t>
      </w:r>
      <w:r w:rsidR="00F7162A" w:rsidRPr="00B20342">
        <w:rPr>
          <w:rFonts w:ascii="Arial" w:hAnsi="Arial" w:cs="Arial"/>
          <w:lang w:val="en-GB"/>
        </w:rPr>
        <w:t xml:space="preserve"> by persons with disabilities themselves. </w:t>
      </w:r>
    </w:p>
    <w:p w14:paraId="2C81EC55" w14:textId="72F957C7" w:rsidR="00304E96" w:rsidRPr="00692016" w:rsidRDefault="00304E96" w:rsidP="00304E96">
      <w:pPr>
        <w:pStyle w:val="Heading2"/>
        <w:rPr>
          <w:rFonts w:cs="Arial"/>
        </w:rPr>
      </w:pPr>
      <w:bookmarkStart w:id="7" w:name="_Toc228456461"/>
      <w:r w:rsidRPr="00692016">
        <w:rPr>
          <w:rFonts w:cs="Arial"/>
        </w:rPr>
        <w:t xml:space="preserve">Video-sharing platforms, social media and </w:t>
      </w:r>
      <w:r>
        <w:rPr>
          <w:rFonts w:cs="Arial"/>
        </w:rPr>
        <w:t xml:space="preserve">online </w:t>
      </w:r>
      <w:r w:rsidRPr="00692016">
        <w:rPr>
          <w:rFonts w:cs="Arial"/>
        </w:rPr>
        <w:t>new</w:t>
      </w:r>
      <w:r w:rsidR="009314DF">
        <w:rPr>
          <w:rFonts w:cs="Arial"/>
        </w:rPr>
        <w:t>s portals</w:t>
      </w:r>
      <w:bookmarkEnd w:id="7"/>
    </w:p>
    <w:p w14:paraId="0F54496E" w14:textId="695FD0D1" w:rsidR="00304E96" w:rsidRDefault="00304E96" w:rsidP="00304E96">
      <w:pPr>
        <w:pStyle w:val="ABulletpoint"/>
      </w:pPr>
      <w:r>
        <w:t xml:space="preserve">Video-sharing platforms and social media are increasingly used to consume audiovisual content. In 2025, the </w:t>
      </w:r>
      <w:hyperlink r:id="rId21" w:history="1">
        <w:r w:rsidRPr="00326E00">
          <w:rPr>
            <w:rStyle w:val="Hyperlink"/>
          </w:rPr>
          <w:t>United Kingdom’s (UK) Audiovisual Regulator</w:t>
        </w:r>
      </w:hyperlink>
      <w:r>
        <w:t xml:space="preserve"> (Ofcom) concluded that </w:t>
      </w:r>
      <w:r w:rsidR="0080625B">
        <w:t>You tube</w:t>
      </w:r>
      <w:r>
        <w:t xml:space="preserve"> was the second most-watched media service in the country, only after the BBC. Similarly, the </w:t>
      </w:r>
      <w:hyperlink r:id="rId22" w:history="1">
        <w:r w:rsidRPr="003C5511">
          <w:rPr>
            <w:rStyle w:val="Hyperlink"/>
          </w:rPr>
          <w:t xml:space="preserve">European Parliament’s Media and News </w:t>
        </w:r>
        <w:r>
          <w:rPr>
            <w:rStyle w:val="Hyperlink"/>
          </w:rPr>
          <w:t xml:space="preserve">2023 </w:t>
        </w:r>
        <w:r w:rsidRPr="003C5511">
          <w:rPr>
            <w:rStyle w:val="Hyperlink"/>
          </w:rPr>
          <w:t>Survey</w:t>
        </w:r>
      </w:hyperlink>
      <w:r>
        <w:t xml:space="preserve"> found that while TV dominates as </w:t>
      </w:r>
      <w:r>
        <w:lastRenderedPageBreak/>
        <w:t xml:space="preserve">primary news source for citizens, the use of social media platforms to access news has seen the most important increase.  </w:t>
      </w:r>
    </w:p>
    <w:p w14:paraId="2F91BE8E" w14:textId="2F138A22" w:rsidR="00304E96" w:rsidRDefault="00304E96" w:rsidP="00304E96">
      <w:pPr>
        <w:pStyle w:val="ABulletpoint"/>
      </w:pPr>
      <w:r>
        <w:t>Although these types of platforms are increasingly used for the distribution of media content, including by traditional broadcasters, neither the AVMSD nor the Digital Services Act (DSA) regulate their accessibility</w:t>
      </w:r>
      <w:r w:rsidR="00473C01">
        <w:rPr>
          <w:rStyle w:val="FootnoteReference"/>
        </w:rPr>
        <w:footnoteReference w:id="11"/>
      </w:r>
      <w:r>
        <w:t xml:space="preserve">.  </w:t>
      </w:r>
    </w:p>
    <w:p w14:paraId="05480CE7" w14:textId="64444521" w:rsidR="00304E96" w:rsidRDefault="00242937" w:rsidP="00304E96">
      <w:pPr>
        <w:pStyle w:val="Heading3"/>
      </w:pPr>
      <w:r>
        <w:t>EDF recommendation</w:t>
      </w:r>
      <w:r w:rsidR="00304E96">
        <w:t xml:space="preserve"> for the AVMSD revision (V)</w:t>
      </w:r>
    </w:p>
    <w:p w14:paraId="3823C00D" w14:textId="537238CE" w:rsidR="00304E96" w:rsidRPr="00570D4D" w:rsidRDefault="00304E96" w:rsidP="00304E96">
      <w:pPr>
        <w:pStyle w:val="ABulletpoint"/>
        <w:rPr>
          <w:lang w:val="en-GB"/>
        </w:rPr>
      </w:pPr>
      <w:r w:rsidRPr="00570D4D">
        <w:rPr>
          <w:lang w:val="en-GB"/>
        </w:rPr>
        <w:t xml:space="preserve">At a platform level, the AVMSD should require platforms to make accessibility tools available free of charge and </w:t>
      </w:r>
      <w:r w:rsidR="00D440D4">
        <w:rPr>
          <w:lang w:val="en-GB"/>
        </w:rPr>
        <w:t>by default</w:t>
      </w:r>
      <w:r w:rsidR="00D440D4">
        <w:rPr>
          <w:rStyle w:val="FootnoteReference"/>
          <w:lang w:val="en-GB"/>
        </w:rPr>
        <w:footnoteReference w:id="12"/>
      </w:r>
      <w:r w:rsidRPr="00570D4D">
        <w:rPr>
          <w:lang w:val="en-GB"/>
        </w:rPr>
        <w:t xml:space="preserve">. </w:t>
      </w:r>
      <w:r w:rsidR="00CC19C2">
        <w:rPr>
          <w:lang w:val="en-GB"/>
        </w:rPr>
        <w:t>Pla</w:t>
      </w:r>
      <w:r w:rsidR="0071279E">
        <w:rPr>
          <w:lang w:val="en-GB"/>
        </w:rPr>
        <w:t xml:space="preserve">tforms should raise awareness on accessibility and offer trainings for content creators. </w:t>
      </w:r>
      <w:r w:rsidRPr="00570D4D">
        <w:rPr>
          <w:lang w:val="en-GB"/>
        </w:rPr>
        <w:t xml:space="preserve">Platforms </w:t>
      </w:r>
      <w:r>
        <w:rPr>
          <w:lang w:val="en-GB"/>
        </w:rPr>
        <w:t xml:space="preserve">themselves </w:t>
      </w:r>
      <w:r w:rsidRPr="00570D4D">
        <w:rPr>
          <w:lang w:val="en-GB"/>
        </w:rPr>
        <w:t>should also be required to follow EU harmonised legislation, particularly the European Accessibility Act</w:t>
      </w:r>
      <w:r>
        <w:rPr>
          <w:lang w:val="en-GB"/>
        </w:rPr>
        <w:t>.</w:t>
      </w:r>
      <w:r w:rsidRPr="00570D4D">
        <w:rPr>
          <w:lang w:val="en-GB"/>
        </w:rPr>
        <w:t xml:space="preserve"> to make sure that their websites and apps are accessible to end-users with disabilities. </w:t>
      </w:r>
    </w:p>
    <w:p w14:paraId="4E8B8D29" w14:textId="77777777" w:rsidR="00304E96" w:rsidRDefault="00304E96" w:rsidP="00304E96">
      <w:pPr>
        <w:pStyle w:val="ABulletpoint"/>
        <w:rPr>
          <w:lang w:val="en-GB"/>
        </w:rPr>
      </w:pPr>
      <w:r w:rsidRPr="00570D4D">
        <w:rPr>
          <w:lang w:val="en-GB"/>
        </w:rPr>
        <w:t>At a media provider level, the AVMSD should make sure that organisations that are already subject to accessibility obligations</w:t>
      </w:r>
      <w:r>
        <w:rPr>
          <w:lang w:val="en-GB"/>
        </w:rPr>
        <w:t xml:space="preserve"> when using</w:t>
      </w:r>
      <w:r w:rsidRPr="00570D4D">
        <w:rPr>
          <w:lang w:val="en-GB"/>
        </w:rPr>
        <w:t xml:space="preserve"> linear and on demand television, are also required to make their content accessible when distributed through third-party platforms. </w:t>
      </w:r>
    </w:p>
    <w:p w14:paraId="5AB340F3" w14:textId="739EFF41" w:rsidR="00304E96" w:rsidRPr="00570D4D" w:rsidRDefault="00304E96" w:rsidP="00304E96">
      <w:pPr>
        <w:pStyle w:val="ABulletpoint"/>
        <w:rPr>
          <w:lang w:val="en-GB"/>
        </w:rPr>
      </w:pPr>
      <w:r>
        <w:rPr>
          <w:lang w:val="en-GB"/>
        </w:rPr>
        <w:t xml:space="preserve">Finally, the AVMSD should extent its scope to also include online </w:t>
      </w:r>
      <w:r w:rsidR="00484EDC">
        <w:rPr>
          <w:lang w:val="en-GB"/>
        </w:rPr>
        <w:t xml:space="preserve">media platforms </w:t>
      </w:r>
      <w:r>
        <w:rPr>
          <w:lang w:val="en-GB"/>
        </w:rPr>
        <w:t xml:space="preserve">within their scope, as they increasingly use audiovisual content within their websites. </w:t>
      </w:r>
    </w:p>
    <w:p w14:paraId="56E6BFA9" w14:textId="018D6F10" w:rsidR="00304E96" w:rsidRPr="00692016" w:rsidRDefault="00304E96" w:rsidP="00304E96">
      <w:pPr>
        <w:pStyle w:val="Heading2"/>
        <w:rPr>
          <w:rFonts w:cs="Arial"/>
        </w:rPr>
      </w:pPr>
      <w:bookmarkStart w:id="8" w:name="_Toc228456462"/>
      <w:r>
        <w:rPr>
          <w:rFonts w:cs="Arial"/>
        </w:rPr>
        <w:t xml:space="preserve">Provision of </w:t>
      </w:r>
      <w:r w:rsidR="00FC3E51">
        <w:rPr>
          <w:rFonts w:cs="Arial"/>
        </w:rPr>
        <w:t>content</w:t>
      </w:r>
      <w:r>
        <w:rPr>
          <w:rFonts w:cs="Arial"/>
        </w:rPr>
        <w:t xml:space="preserve"> in easy-to-understand formats</w:t>
      </w:r>
      <w:bookmarkEnd w:id="8"/>
    </w:p>
    <w:p w14:paraId="6D53AD4E" w14:textId="77777777" w:rsidR="00304E96" w:rsidRPr="00B50FCE" w:rsidRDefault="00304E96" w:rsidP="00304E96">
      <w:pPr>
        <w:rPr>
          <w:rFonts w:ascii="Arial" w:hAnsi="Arial" w:cs="Arial"/>
          <w:sz w:val="8"/>
          <w:szCs w:val="6"/>
        </w:rPr>
      </w:pPr>
    </w:p>
    <w:p w14:paraId="3C70B10D" w14:textId="77777777" w:rsidR="00CE55A6" w:rsidRPr="0077275F" w:rsidRDefault="00304E96" w:rsidP="00CE55A6">
      <w:pPr>
        <w:spacing w:line="360" w:lineRule="auto"/>
        <w:rPr>
          <w:rFonts w:ascii="Arial" w:hAnsi="Arial" w:cs="Arial"/>
        </w:rPr>
      </w:pPr>
      <w:r w:rsidRPr="00B50FCE">
        <w:rPr>
          <w:rFonts w:ascii="Arial" w:hAnsi="Arial" w:cs="Arial"/>
        </w:rPr>
        <w:t xml:space="preserve">Easy to </w:t>
      </w:r>
      <w:r w:rsidR="00556251">
        <w:rPr>
          <w:rFonts w:ascii="Arial" w:hAnsi="Arial" w:cs="Arial"/>
        </w:rPr>
        <w:t xml:space="preserve">understand </w:t>
      </w:r>
      <w:r w:rsidRPr="00B50FCE">
        <w:rPr>
          <w:rFonts w:ascii="Arial" w:hAnsi="Arial" w:cs="Arial"/>
        </w:rPr>
        <w:t>language is a format that provides greater access to people with intellectual disabilities or pe</w:t>
      </w:r>
      <w:r>
        <w:rPr>
          <w:rFonts w:ascii="Arial" w:hAnsi="Arial" w:cs="Arial"/>
        </w:rPr>
        <w:t>ople</w:t>
      </w:r>
      <w:r w:rsidRPr="00B50FCE">
        <w:rPr>
          <w:rFonts w:ascii="Arial" w:hAnsi="Arial" w:cs="Arial"/>
        </w:rPr>
        <w:t xml:space="preserve"> who might have difficulties in understanding certain information</w:t>
      </w:r>
      <w:r>
        <w:rPr>
          <w:rStyle w:val="FootnoteReference"/>
          <w:rFonts w:ascii="Arial" w:hAnsi="Arial" w:cs="Arial"/>
        </w:rPr>
        <w:footnoteReference w:id="13"/>
      </w:r>
      <w:r w:rsidRPr="00B50FCE">
        <w:rPr>
          <w:rFonts w:ascii="Arial" w:hAnsi="Arial" w:cs="Arial"/>
        </w:rPr>
        <w:t xml:space="preserve">. While it is not </w:t>
      </w:r>
      <w:r>
        <w:rPr>
          <w:rFonts w:ascii="Arial" w:hAnsi="Arial" w:cs="Arial"/>
        </w:rPr>
        <w:t>required by the</w:t>
      </w:r>
      <w:r w:rsidRPr="00B50FCE">
        <w:rPr>
          <w:rFonts w:ascii="Arial" w:hAnsi="Arial" w:cs="Arial"/>
        </w:rPr>
        <w:t xml:space="preserve"> AVMSD, some Member States are already implementing easy to </w:t>
      </w:r>
      <w:r w:rsidR="00D40D08">
        <w:rPr>
          <w:rFonts w:ascii="Arial" w:hAnsi="Arial" w:cs="Arial"/>
        </w:rPr>
        <w:t>understand</w:t>
      </w:r>
      <w:r w:rsidRPr="00B50FCE">
        <w:rPr>
          <w:rFonts w:ascii="Arial" w:hAnsi="Arial" w:cs="Arial"/>
        </w:rPr>
        <w:t xml:space="preserve"> measures in the audiovisual media. For example, Austria requires the Austrian Broadcasting Corporation (ORF) to provide, at least, one news broadcast in </w:t>
      </w:r>
      <w:r w:rsidR="00AE1075">
        <w:rPr>
          <w:rFonts w:ascii="Arial" w:hAnsi="Arial" w:cs="Arial"/>
        </w:rPr>
        <w:t>plain</w:t>
      </w:r>
      <w:r w:rsidRPr="00B50FCE">
        <w:rPr>
          <w:rFonts w:ascii="Arial" w:hAnsi="Arial" w:cs="Arial"/>
        </w:rPr>
        <w:t xml:space="preserve"> language between 9.00 and 22.00h</w:t>
      </w:r>
      <w:r w:rsidRPr="00B50FCE">
        <w:rPr>
          <w:rStyle w:val="FootnoteReference"/>
          <w:rFonts w:ascii="Arial" w:hAnsi="Arial" w:cs="Arial"/>
        </w:rPr>
        <w:footnoteReference w:id="14"/>
      </w:r>
      <w:r w:rsidRPr="00B50FCE">
        <w:rPr>
          <w:rFonts w:ascii="Arial" w:hAnsi="Arial" w:cs="Arial"/>
        </w:rPr>
        <w:t>.</w:t>
      </w:r>
      <w:r w:rsidR="00C7280F">
        <w:rPr>
          <w:rFonts w:ascii="Arial" w:hAnsi="Arial" w:cs="Arial"/>
        </w:rPr>
        <w:t xml:space="preserve"> </w:t>
      </w:r>
      <w:r w:rsidR="00CE55A6" w:rsidRPr="0077275F">
        <w:rPr>
          <w:rFonts w:ascii="Arial" w:hAnsi="Arial" w:cs="Arial"/>
        </w:rPr>
        <w:t xml:space="preserve">In certain </w:t>
      </w:r>
      <w:r w:rsidR="00CE55A6" w:rsidRPr="0077275F">
        <w:rPr>
          <w:rFonts w:ascii="Arial" w:hAnsi="Arial" w:cs="Arial"/>
        </w:rPr>
        <w:lastRenderedPageBreak/>
        <w:t xml:space="preserve">situations, easy to read formats </w:t>
      </w:r>
      <w:proofErr w:type="gramStart"/>
      <w:r w:rsidR="00CE55A6" w:rsidRPr="0077275F">
        <w:rPr>
          <w:rFonts w:ascii="Arial" w:hAnsi="Arial" w:cs="Arial"/>
        </w:rPr>
        <w:t>is</w:t>
      </w:r>
      <w:proofErr w:type="gramEnd"/>
      <w:r w:rsidR="00CE55A6" w:rsidRPr="0077275F">
        <w:rPr>
          <w:rFonts w:ascii="Arial" w:hAnsi="Arial" w:cs="Arial"/>
        </w:rPr>
        <w:t xml:space="preserve"> also needed (for example, for the provision of written information). </w:t>
      </w:r>
    </w:p>
    <w:p w14:paraId="496995B6" w14:textId="5BA0A1EC" w:rsidR="00304E96" w:rsidRPr="00F7162A" w:rsidRDefault="00242937" w:rsidP="00CE55A6">
      <w:pPr>
        <w:pStyle w:val="Heading3"/>
      </w:pPr>
      <w:r>
        <w:t>EDF recommendation</w:t>
      </w:r>
      <w:r w:rsidR="00304E96" w:rsidRPr="00F7162A">
        <w:t xml:space="preserve"> for the AVMSD revision (VI)</w:t>
      </w:r>
    </w:p>
    <w:p w14:paraId="72A13B2F" w14:textId="2DC70343" w:rsidR="00304E96" w:rsidRPr="00692016" w:rsidRDefault="00304E96" w:rsidP="00304E96">
      <w:pPr>
        <w:spacing w:line="360" w:lineRule="auto"/>
        <w:rPr>
          <w:rFonts w:ascii="Arial" w:hAnsi="Arial" w:cs="Arial"/>
        </w:rPr>
      </w:pPr>
      <w:r w:rsidRPr="00440FA2">
        <w:rPr>
          <w:rFonts w:ascii="Arial" w:hAnsi="Arial" w:cs="Arial"/>
          <w:lang w:val="en-GB"/>
        </w:rPr>
        <w:t xml:space="preserve">The revised AVMSD should recognise easy-to-understand audiovisual </w:t>
      </w:r>
      <w:r w:rsidR="009104CC">
        <w:rPr>
          <w:rFonts w:ascii="Arial" w:hAnsi="Arial" w:cs="Arial"/>
          <w:lang w:val="en-GB"/>
        </w:rPr>
        <w:t>content</w:t>
      </w:r>
      <w:r w:rsidRPr="00440FA2">
        <w:rPr>
          <w:rFonts w:ascii="Arial" w:hAnsi="Arial" w:cs="Arial"/>
          <w:lang w:val="en-GB"/>
        </w:rPr>
        <w:t xml:space="preserve"> as an essential accessibility measure, particularly in relation to news, public interest content, emergency communication and other information necessary for civic participation and independent decision-making. To that</w:t>
      </w:r>
      <w:r>
        <w:rPr>
          <w:rFonts w:ascii="Arial" w:hAnsi="Arial" w:cs="Arial"/>
        </w:rPr>
        <w:t xml:space="preserve"> end, the AVMSD should e</w:t>
      </w:r>
      <w:r w:rsidRPr="00F7162A">
        <w:rPr>
          <w:rFonts w:ascii="Arial" w:hAnsi="Arial" w:cs="Arial"/>
        </w:rPr>
        <w:t xml:space="preserve">xpand the definition of access services to </w:t>
      </w:r>
      <w:r w:rsidR="00AA74D1">
        <w:rPr>
          <w:rFonts w:ascii="Arial" w:hAnsi="Arial" w:cs="Arial"/>
        </w:rPr>
        <w:t xml:space="preserve">east-to-understand </w:t>
      </w:r>
      <w:r>
        <w:rPr>
          <w:rFonts w:ascii="Arial" w:hAnsi="Arial" w:cs="Arial"/>
        </w:rPr>
        <w:t>and clarify that</w:t>
      </w:r>
      <w:r w:rsidRPr="00F7162A">
        <w:rPr>
          <w:rFonts w:ascii="Arial" w:hAnsi="Arial" w:cs="Arial"/>
        </w:rPr>
        <w:t xml:space="preserve"> </w:t>
      </w:r>
      <w:r>
        <w:rPr>
          <w:rFonts w:ascii="Arial" w:hAnsi="Arial" w:cs="Arial"/>
        </w:rPr>
        <w:t>t</w:t>
      </w:r>
      <w:r w:rsidRPr="00F7162A">
        <w:rPr>
          <w:rFonts w:ascii="Arial" w:hAnsi="Arial" w:cs="Arial"/>
          <w:lang w:val="en-GB"/>
        </w:rPr>
        <w:t xml:space="preserve">he development of audiovisual content in </w:t>
      </w:r>
      <w:r w:rsidR="005B00A9">
        <w:rPr>
          <w:rFonts w:ascii="Arial" w:hAnsi="Arial" w:cs="Arial"/>
          <w:lang w:val="en-GB"/>
        </w:rPr>
        <w:t>this format</w:t>
      </w:r>
      <w:r w:rsidRPr="00F7162A">
        <w:rPr>
          <w:rFonts w:ascii="Arial" w:hAnsi="Arial" w:cs="Arial"/>
          <w:lang w:val="en-GB"/>
        </w:rPr>
        <w:t xml:space="preserve"> should involve people with intellectual disabilities. </w:t>
      </w:r>
      <w:r w:rsidR="00244F97">
        <w:rPr>
          <w:rFonts w:ascii="Arial" w:hAnsi="Arial" w:cs="Arial"/>
          <w:lang w:val="en-GB"/>
        </w:rPr>
        <w:t xml:space="preserve">When necessary, information in </w:t>
      </w:r>
      <w:r w:rsidR="00D465BC">
        <w:rPr>
          <w:rFonts w:ascii="Arial" w:hAnsi="Arial" w:cs="Arial"/>
          <w:lang w:val="en-GB"/>
        </w:rPr>
        <w:t>easy-to-read</w:t>
      </w:r>
      <w:r w:rsidR="00244F97">
        <w:rPr>
          <w:rFonts w:ascii="Arial" w:hAnsi="Arial" w:cs="Arial"/>
          <w:lang w:val="en-GB"/>
        </w:rPr>
        <w:t xml:space="preserve"> </w:t>
      </w:r>
      <w:r w:rsidR="00F6228C">
        <w:rPr>
          <w:rFonts w:ascii="Arial" w:hAnsi="Arial" w:cs="Arial"/>
          <w:lang w:val="en-GB"/>
        </w:rPr>
        <w:t xml:space="preserve">formats </w:t>
      </w:r>
      <w:r w:rsidR="00244F97">
        <w:rPr>
          <w:rFonts w:ascii="Arial" w:hAnsi="Arial" w:cs="Arial"/>
          <w:lang w:val="en-GB"/>
        </w:rPr>
        <w:t xml:space="preserve">should be also required. </w:t>
      </w:r>
    </w:p>
    <w:p w14:paraId="5538B44C" w14:textId="2F0E9FFB" w:rsidR="00306E96" w:rsidRPr="00692016" w:rsidRDefault="00CB6F4A" w:rsidP="00997C75">
      <w:pPr>
        <w:pStyle w:val="Heading2"/>
        <w:rPr>
          <w:rFonts w:cs="Arial"/>
        </w:rPr>
      </w:pPr>
      <w:bookmarkStart w:id="9" w:name="_Toc228456463"/>
      <w:r>
        <w:rPr>
          <w:rFonts w:cs="Arial"/>
        </w:rPr>
        <w:t>Accessibility of e</w:t>
      </w:r>
      <w:r w:rsidR="00306E96" w:rsidRPr="00692016">
        <w:rPr>
          <w:rFonts w:cs="Arial"/>
        </w:rPr>
        <w:t>mergency information</w:t>
      </w:r>
      <w:bookmarkEnd w:id="9"/>
    </w:p>
    <w:p w14:paraId="5ACD9E64" w14:textId="28E58F78" w:rsidR="00692016" w:rsidRDefault="00997C75" w:rsidP="00692016">
      <w:pPr>
        <w:spacing w:after="0" w:line="360" w:lineRule="auto"/>
        <w:contextualSpacing/>
        <w:rPr>
          <w:rFonts w:ascii="Arial" w:eastAsia="Aptos" w:hAnsi="Arial" w:cs="Arial"/>
          <w:kern w:val="2"/>
          <w:szCs w:val="24"/>
          <w:lang w:val="en-GB"/>
          <w14:ligatures w14:val="standardContextual"/>
        </w:rPr>
      </w:pPr>
      <w:r>
        <w:rPr>
          <w:rFonts w:ascii="Arial" w:eastAsia="Aptos" w:hAnsi="Arial" w:cs="Arial"/>
          <w:kern w:val="2"/>
          <w:szCs w:val="24"/>
          <w:lang w:val="en-GB"/>
          <w14:ligatures w14:val="standardContextual"/>
        </w:rPr>
        <w:t xml:space="preserve">Accessibility of emergency information, including public communications and announcements during natural or human-made disaster situations, is extremely important for persons with disabilities. </w:t>
      </w:r>
      <w:r w:rsidR="00383BD6">
        <w:rPr>
          <w:rFonts w:ascii="Arial" w:eastAsia="Aptos" w:hAnsi="Arial" w:cs="Arial"/>
          <w:kern w:val="2"/>
          <w:szCs w:val="24"/>
          <w:lang w:val="en-GB"/>
          <w14:ligatures w14:val="standardContextual"/>
        </w:rPr>
        <w:t xml:space="preserve"> </w:t>
      </w:r>
      <w:r>
        <w:rPr>
          <w:rFonts w:ascii="Arial" w:eastAsia="Aptos" w:hAnsi="Arial" w:cs="Arial"/>
          <w:kern w:val="2"/>
          <w:szCs w:val="24"/>
          <w:lang w:val="en-GB"/>
          <w14:ligatures w14:val="standardContextual"/>
        </w:rPr>
        <w:t xml:space="preserve">Despite being an obligation under the AVMSD, the available data shows that </w:t>
      </w:r>
      <w:r w:rsidR="00692016" w:rsidRPr="00692016">
        <w:rPr>
          <w:rFonts w:ascii="Arial" w:eastAsia="Aptos" w:hAnsi="Arial" w:cs="Arial"/>
          <w:kern w:val="2"/>
          <w:szCs w:val="24"/>
          <w:lang w:val="en-GB"/>
          <w14:ligatures w14:val="standardContextual"/>
        </w:rPr>
        <w:t xml:space="preserve">Member States could do better to ensure that emergency information is provided in an accessible manner. </w:t>
      </w:r>
      <w:r w:rsidR="00383BD6">
        <w:rPr>
          <w:rFonts w:ascii="Arial" w:eastAsia="Aptos" w:hAnsi="Arial" w:cs="Arial"/>
          <w:kern w:val="2"/>
          <w:szCs w:val="24"/>
          <w:lang w:val="en-GB"/>
          <w14:ligatures w14:val="standardContextual"/>
        </w:rPr>
        <w:t xml:space="preserve"> </w:t>
      </w:r>
      <w:r w:rsidR="00692016" w:rsidRPr="00692016">
        <w:rPr>
          <w:rFonts w:ascii="Arial" w:eastAsia="Aptos" w:hAnsi="Arial" w:cs="Arial"/>
          <w:kern w:val="2"/>
          <w:szCs w:val="24"/>
          <w:lang w:val="en-GB"/>
          <w14:ligatures w14:val="standardContextual"/>
        </w:rPr>
        <w:t xml:space="preserve">According to the </w:t>
      </w:r>
      <w:hyperlink r:id="rId23" w:history="1">
        <w:r w:rsidR="00692016" w:rsidRPr="00485C12">
          <w:rPr>
            <w:rStyle w:val="Hyperlink"/>
            <w:rFonts w:ascii="Arial" w:eastAsia="Aptos" w:hAnsi="Arial" w:cs="Arial"/>
            <w:kern w:val="2"/>
            <w:szCs w:val="24"/>
            <w:lang w:val="en-GB"/>
            <w14:ligatures w14:val="standardContextual"/>
          </w:rPr>
          <w:t>Audiovisual Media Observatory Report,</w:t>
        </w:r>
      </w:hyperlink>
      <w:r w:rsidR="002F0D79">
        <w:rPr>
          <w:rStyle w:val="FootnoteReference"/>
          <w:rFonts w:ascii="Arial" w:eastAsia="Aptos" w:hAnsi="Arial" w:cs="Arial"/>
          <w:kern w:val="2"/>
          <w:szCs w:val="24"/>
          <w:lang w:val="en-GB"/>
          <w14:ligatures w14:val="standardContextual"/>
        </w:rPr>
        <w:footnoteReference w:id="15"/>
      </w:r>
      <w:r w:rsidR="00692016" w:rsidRPr="00692016">
        <w:rPr>
          <w:rFonts w:ascii="Arial" w:eastAsia="Aptos" w:hAnsi="Arial" w:cs="Arial"/>
          <w:kern w:val="2"/>
          <w:szCs w:val="24"/>
          <w:lang w:val="en-GB"/>
          <w14:ligatures w14:val="standardContextual"/>
        </w:rPr>
        <w:t xml:space="preserve"> only 21</w:t>
      </w:r>
      <w:r w:rsidR="00383BD6">
        <w:rPr>
          <w:rFonts w:ascii="Arial" w:eastAsia="Aptos" w:hAnsi="Arial" w:cs="Arial"/>
          <w:kern w:val="2"/>
          <w:szCs w:val="24"/>
          <w:lang w:val="en-GB"/>
          <w14:ligatures w14:val="standardContextual"/>
        </w:rPr>
        <w:t xml:space="preserve"> Member States</w:t>
      </w:r>
      <w:r w:rsidR="00692016" w:rsidRPr="00692016">
        <w:rPr>
          <w:rFonts w:ascii="Arial" w:eastAsia="Aptos" w:hAnsi="Arial" w:cs="Arial"/>
          <w:kern w:val="2"/>
          <w:szCs w:val="24"/>
          <w:lang w:val="en-GB"/>
          <w14:ligatures w14:val="standardContextual"/>
        </w:rPr>
        <w:t xml:space="preserve"> require this in th</w:t>
      </w:r>
      <w:r w:rsidR="005E049D">
        <w:rPr>
          <w:rFonts w:ascii="Arial" w:eastAsia="Aptos" w:hAnsi="Arial" w:cs="Arial"/>
          <w:kern w:val="2"/>
          <w:szCs w:val="24"/>
          <w:lang w:val="en-GB"/>
          <w14:ligatures w14:val="standardContextual"/>
        </w:rPr>
        <w:t>eir</w:t>
      </w:r>
      <w:r w:rsidR="00692016" w:rsidRPr="00692016">
        <w:rPr>
          <w:rFonts w:ascii="Arial" w:eastAsia="Aptos" w:hAnsi="Arial" w:cs="Arial"/>
          <w:kern w:val="2"/>
          <w:szCs w:val="24"/>
          <w:lang w:val="en-GB"/>
          <w14:ligatures w14:val="standardContextual"/>
        </w:rPr>
        <w:t xml:space="preserve"> legislation </w:t>
      </w:r>
      <w:r>
        <w:rPr>
          <w:rFonts w:ascii="Arial" w:eastAsia="Aptos" w:hAnsi="Arial" w:cs="Arial"/>
          <w:kern w:val="2"/>
          <w:szCs w:val="24"/>
          <w:lang w:val="en-GB"/>
          <w14:ligatures w14:val="standardContextual"/>
        </w:rPr>
        <w:t xml:space="preserve">and </w:t>
      </w:r>
      <w:r w:rsidR="00692016" w:rsidRPr="00692016">
        <w:rPr>
          <w:rFonts w:ascii="Arial" w:eastAsia="Aptos" w:hAnsi="Arial" w:cs="Arial"/>
          <w:kern w:val="2"/>
          <w:szCs w:val="24"/>
          <w:lang w:val="en-GB"/>
          <w14:ligatures w14:val="standardContextual"/>
        </w:rPr>
        <w:t>5 allow audiovisual media</w:t>
      </w:r>
      <w:r w:rsidR="005670FA">
        <w:rPr>
          <w:rFonts w:ascii="Arial" w:eastAsia="Aptos" w:hAnsi="Arial" w:cs="Arial"/>
          <w:kern w:val="2"/>
          <w:szCs w:val="24"/>
          <w:lang w:val="en-GB"/>
          <w14:ligatures w14:val="standardContextual"/>
        </w:rPr>
        <w:t xml:space="preserve"> broadcasters</w:t>
      </w:r>
      <w:r w:rsidR="00692016" w:rsidRPr="00692016">
        <w:rPr>
          <w:rFonts w:ascii="Arial" w:eastAsia="Aptos" w:hAnsi="Arial" w:cs="Arial"/>
          <w:kern w:val="2"/>
          <w:szCs w:val="24"/>
          <w:lang w:val="en-GB"/>
          <w14:ligatures w14:val="standardContextual"/>
        </w:rPr>
        <w:t xml:space="preserve"> to do it to ‘the best’ of their ability. Similarly, </w:t>
      </w:r>
      <w:hyperlink r:id="rId24" w:history="1">
        <w:r w:rsidR="00692016" w:rsidRPr="00692016">
          <w:rPr>
            <w:rFonts w:ascii="Arial" w:eastAsia="Aptos" w:hAnsi="Arial" w:cs="Arial"/>
            <w:color w:val="0000FF"/>
            <w:kern w:val="2"/>
            <w:szCs w:val="24"/>
            <w:u w:val="single"/>
            <w:lang w:val="en-GB"/>
            <w14:ligatures w14:val="standardContextual"/>
          </w:rPr>
          <w:t>the 2025 report by the European Broadcasting Union</w:t>
        </w:r>
      </w:hyperlink>
      <w:r w:rsidR="00692016" w:rsidRPr="00692016">
        <w:rPr>
          <w:rFonts w:ascii="Arial" w:eastAsia="Aptos" w:hAnsi="Arial" w:cs="Arial"/>
          <w:kern w:val="2"/>
          <w:szCs w:val="24"/>
          <w:lang w:val="en-GB"/>
          <w14:ligatures w14:val="standardContextual"/>
        </w:rPr>
        <w:t xml:space="preserve"> shows that only 49% of public sector media (PSM) have defined some rules and recommendations to provide access services in case of emergency content. </w:t>
      </w:r>
    </w:p>
    <w:p w14:paraId="384B96A6" w14:textId="57BAF6AA" w:rsidR="00F7162A" w:rsidRDefault="00242937" w:rsidP="00F7162A">
      <w:pPr>
        <w:pStyle w:val="Heading3"/>
        <w:rPr>
          <w:rFonts w:eastAsia="Aptos"/>
          <w:lang w:val="en-GB"/>
        </w:rPr>
      </w:pPr>
      <w:r>
        <w:rPr>
          <w:rFonts w:eastAsia="Aptos"/>
          <w:lang w:val="en-GB"/>
        </w:rPr>
        <w:t>EDF recommendation</w:t>
      </w:r>
      <w:r w:rsidR="00F7162A">
        <w:rPr>
          <w:rFonts w:eastAsia="Aptos"/>
          <w:lang w:val="en-GB"/>
        </w:rPr>
        <w:t xml:space="preserve"> for the AVMSD revision (IV)</w:t>
      </w:r>
    </w:p>
    <w:p w14:paraId="2D35788D" w14:textId="7C1EAD6E" w:rsidR="00800917" w:rsidRPr="00BF1823" w:rsidRDefault="00995FD8" w:rsidP="00F7162A">
      <w:pPr>
        <w:spacing w:line="360" w:lineRule="auto"/>
        <w:rPr>
          <w:rFonts w:ascii="Arial" w:hAnsi="Arial" w:cs="Arial"/>
        </w:rPr>
      </w:pPr>
      <w:r w:rsidRPr="00BF1823">
        <w:rPr>
          <w:rFonts w:ascii="Arial" w:hAnsi="Arial" w:cs="Arial"/>
        </w:rPr>
        <w:t xml:space="preserve">The AVMSD revision should </w:t>
      </w:r>
      <w:r w:rsidR="00DB1EEE" w:rsidRPr="00BF1823">
        <w:rPr>
          <w:rFonts w:ascii="Arial" w:hAnsi="Arial" w:cs="Arial"/>
        </w:rPr>
        <w:t>clarify</w:t>
      </w:r>
      <w:r w:rsidR="00B579BD" w:rsidRPr="00BF1823">
        <w:rPr>
          <w:rFonts w:ascii="Arial" w:hAnsi="Arial" w:cs="Arial"/>
        </w:rPr>
        <w:t xml:space="preserve"> </w:t>
      </w:r>
      <w:r w:rsidR="00503FD1" w:rsidRPr="00BF1823">
        <w:rPr>
          <w:rFonts w:ascii="Arial" w:hAnsi="Arial" w:cs="Arial"/>
        </w:rPr>
        <w:t>minimum</w:t>
      </w:r>
      <w:r w:rsidR="00E536C5" w:rsidRPr="00BF1823">
        <w:rPr>
          <w:rFonts w:ascii="Arial" w:hAnsi="Arial" w:cs="Arial"/>
        </w:rPr>
        <w:t xml:space="preserve"> </w:t>
      </w:r>
      <w:r w:rsidR="00A94E4E" w:rsidRPr="00BF1823">
        <w:rPr>
          <w:rFonts w:ascii="Arial" w:hAnsi="Arial" w:cs="Arial"/>
        </w:rPr>
        <w:t xml:space="preserve">accessibility </w:t>
      </w:r>
      <w:r w:rsidR="000F259E" w:rsidRPr="00BF1823">
        <w:rPr>
          <w:rFonts w:ascii="Arial" w:hAnsi="Arial" w:cs="Arial"/>
        </w:rPr>
        <w:t>obligations</w:t>
      </w:r>
      <w:r w:rsidR="00E536C5" w:rsidRPr="00BF1823">
        <w:rPr>
          <w:rFonts w:ascii="Arial" w:hAnsi="Arial" w:cs="Arial"/>
        </w:rPr>
        <w:t xml:space="preserve"> </w:t>
      </w:r>
      <w:r w:rsidR="00503FD1" w:rsidRPr="00BF1823">
        <w:rPr>
          <w:rFonts w:ascii="Arial" w:hAnsi="Arial" w:cs="Arial"/>
        </w:rPr>
        <w:t xml:space="preserve">for the application of </w:t>
      </w:r>
      <w:r w:rsidR="00EF079C" w:rsidRPr="00BF1823">
        <w:rPr>
          <w:rFonts w:ascii="Arial" w:hAnsi="Arial" w:cs="Arial"/>
        </w:rPr>
        <w:t>Article 7(5) on</w:t>
      </w:r>
      <w:r w:rsidR="00E536C5" w:rsidRPr="00BF1823">
        <w:rPr>
          <w:rFonts w:ascii="Arial" w:hAnsi="Arial" w:cs="Arial"/>
        </w:rPr>
        <w:t xml:space="preserve"> the provision of emergency information</w:t>
      </w:r>
      <w:r w:rsidRPr="00BF1823">
        <w:rPr>
          <w:rFonts w:ascii="Arial" w:hAnsi="Arial" w:cs="Arial"/>
        </w:rPr>
        <w:t xml:space="preserve"> and </w:t>
      </w:r>
      <w:r w:rsidR="00B579BD" w:rsidRPr="00BF1823">
        <w:rPr>
          <w:rFonts w:ascii="Arial" w:hAnsi="Arial" w:cs="Arial"/>
        </w:rPr>
        <w:t>require</w:t>
      </w:r>
      <w:r w:rsidRPr="00BF1823">
        <w:rPr>
          <w:rFonts w:ascii="Arial" w:hAnsi="Arial" w:cs="Arial"/>
        </w:rPr>
        <w:t xml:space="preserve"> media service providers </w:t>
      </w:r>
      <w:r w:rsidR="00DA7142" w:rsidRPr="00BF1823">
        <w:rPr>
          <w:rFonts w:ascii="Arial" w:hAnsi="Arial" w:cs="Arial"/>
        </w:rPr>
        <w:t>to</w:t>
      </w:r>
      <w:r w:rsidRPr="00BF1823">
        <w:rPr>
          <w:rFonts w:ascii="Arial" w:hAnsi="Arial" w:cs="Arial"/>
        </w:rPr>
        <w:t xml:space="preserve"> report to the national regulatory authorities o</w:t>
      </w:r>
      <w:r w:rsidR="00EF079C" w:rsidRPr="00BF1823">
        <w:rPr>
          <w:rFonts w:ascii="Arial" w:hAnsi="Arial" w:cs="Arial"/>
        </w:rPr>
        <w:t>n how they</w:t>
      </w:r>
      <w:r w:rsidR="00BC20E3" w:rsidRPr="00BF1823">
        <w:rPr>
          <w:rFonts w:ascii="Arial" w:hAnsi="Arial" w:cs="Arial"/>
        </w:rPr>
        <w:t xml:space="preserve"> implement this article. </w:t>
      </w:r>
      <w:r w:rsidR="00625C84" w:rsidRPr="00BF1823">
        <w:rPr>
          <w:rFonts w:ascii="Arial" w:hAnsi="Arial" w:cs="Arial"/>
        </w:rPr>
        <w:t xml:space="preserve">Obligations could include the </w:t>
      </w:r>
      <w:r w:rsidR="00273340" w:rsidRPr="00BF1823">
        <w:rPr>
          <w:rFonts w:ascii="Arial" w:hAnsi="Arial" w:cs="Arial"/>
        </w:rPr>
        <w:t xml:space="preserve">provision of </w:t>
      </w:r>
      <w:r w:rsidR="00A6664C" w:rsidRPr="00BF1823">
        <w:rPr>
          <w:rFonts w:ascii="Arial" w:hAnsi="Arial" w:cs="Arial"/>
        </w:rPr>
        <w:t xml:space="preserve">live </w:t>
      </w:r>
      <w:r w:rsidR="00273340" w:rsidRPr="00BF1823">
        <w:rPr>
          <w:rFonts w:ascii="Arial" w:hAnsi="Arial" w:cs="Arial"/>
        </w:rPr>
        <w:t>subtitles</w:t>
      </w:r>
      <w:r w:rsidR="00090D66" w:rsidRPr="00BF1823">
        <w:rPr>
          <w:rStyle w:val="FootnoteReference"/>
          <w:rFonts w:ascii="Arial" w:hAnsi="Arial" w:cs="Arial"/>
        </w:rPr>
        <w:footnoteReference w:id="16"/>
      </w:r>
      <w:r w:rsidR="00273340" w:rsidRPr="00BF1823">
        <w:rPr>
          <w:rFonts w:ascii="Arial" w:hAnsi="Arial" w:cs="Arial"/>
        </w:rPr>
        <w:t xml:space="preserve"> for the deaf and hard of hearing, sign language interpretation, audio description, spoken subtitles and easy-to-understand language.</w:t>
      </w:r>
      <w:r w:rsidR="00810483" w:rsidRPr="00BF1823">
        <w:rPr>
          <w:rFonts w:ascii="Arial" w:hAnsi="Arial" w:cs="Arial"/>
        </w:rPr>
        <w:t xml:space="preserve"> </w:t>
      </w:r>
      <w:r w:rsidR="008477F8" w:rsidRPr="00BF1823">
        <w:rPr>
          <w:rFonts w:ascii="Arial" w:hAnsi="Arial" w:cs="Arial"/>
        </w:rPr>
        <w:t xml:space="preserve">Pre-defined </w:t>
      </w:r>
      <w:r w:rsidR="009410EA" w:rsidRPr="00BF1823">
        <w:rPr>
          <w:rFonts w:ascii="Arial" w:hAnsi="Arial" w:cs="Arial"/>
        </w:rPr>
        <w:t xml:space="preserve">emergency protocols and </w:t>
      </w:r>
      <w:r w:rsidR="009410EA" w:rsidRPr="00BF1823">
        <w:rPr>
          <w:rFonts w:ascii="Arial" w:hAnsi="Arial" w:cs="Arial"/>
        </w:rPr>
        <w:lastRenderedPageBreak/>
        <w:t>p</w:t>
      </w:r>
      <w:r w:rsidR="00810483" w:rsidRPr="00BF1823">
        <w:rPr>
          <w:rFonts w:ascii="Arial" w:hAnsi="Arial" w:cs="Arial"/>
        </w:rPr>
        <w:t>re-recorded</w:t>
      </w:r>
      <w:r w:rsidR="00C82D98" w:rsidRPr="00BF1823">
        <w:rPr>
          <w:rFonts w:ascii="Arial" w:hAnsi="Arial" w:cs="Arial"/>
        </w:rPr>
        <w:t xml:space="preserve"> videos and accessible content should also be foreseen when immediate warning must be disseminated.</w:t>
      </w:r>
      <w:r w:rsidR="00273340" w:rsidRPr="00BF1823">
        <w:rPr>
          <w:rFonts w:ascii="Arial" w:hAnsi="Arial" w:cs="Arial"/>
        </w:rPr>
        <w:t xml:space="preserve"> </w:t>
      </w:r>
    </w:p>
    <w:p w14:paraId="2E3557A3" w14:textId="3E715824" w:rsidR="00306E96" w:rsidRPr="00B50FCE" w:rsidRDefault="00CB6F4A" w:rsidP="00306E96">
      <w:pPr>
        <w:pStyle w:val="Heading2"/>
        <w:rPr>
          <w:rFonts w:cs="Arial"/>
          <w:lang w:val="en-GB"/>
        </w:rPr>
      </w:pPr>
      <w:bookmarkStart w:id="10" w:name="_Toc228456464"/>
      <w:r>
        <w:rPr>
          <w:rFonts w:cs="Arial"/>
          <w:lang w:val="en-GB"/>
        </w:rPr>
        <w:t>Stronger c</w:t>
      </w:r>
      <w:r w:rsidR="00306E96" w:rsidRPr="00B50FCE">
        <w:rPr>
          <w:rFonts w:cs="Arial"/>
          <w:lang w:val="en-GB"/>
        </w:rPr>
        <w:t>ooperation with organi</w:t>
      </w:r>
      <w:r w:rsidR="00CF3B4C">
        <w:rPr>
          <w:rFonts w:cs="Arial"/>
          <w:lang w:val="en-GB"/>
        </w:rPr>
        <w:t>s</w:t>
      </w:r>
      <w:r w:rsidR="00306E96" w:rsidRPr="00B50FCE">
        <w:rPr>
          <w:rFonts w:cs="Arial"/>
          <w:lang w:val="en-GB"/>
        </w:rPr>
        <w:t>ation of persons with disabilities</w:t>
      </w:r>
      <w:bookmarkEnd w:id="10"/>
    </w:p>
    <w:p w14:paraId="46339AAB" w14:textId="1F382989" w:rsidR="00692016" w:rsidRDefault="00692016" w:rsidP="0010079F">
      <w:pPr>
        <w:widowControl w:val="0"/>
        <w:spacing w:line="360" w:lineRule="auto"/>
        <w:rPr>
          <w:rFonts w:ascii="Arial" w:hAnsi="Arial" w:cs="Arial"/>
          <w:lang w:val="en-GB"/>
        </w:rPr>
      </w:pPr>
      <w:r w:rsidRPr="00CF3B4C">
        <w:rPr>
          <w:rFonts w:ascii="Arial" w:hAnsi="Arial" w:cs="Arial"/>
          <w:lang w:val="en-GB"/>
        </w:rPr>
        <w:t xml:space="preserve">While the motto of the disability movement is clear, nothing about us without us, the conclusion of the </w:t>
      </w:r>
      <w:hyperlink r:id="rId25" w:history="1">
        <w:r w:rsidRPr="00E01F9B">
          <w:rPr>
            <w:rStyle w:val="Hyperlink"/>
            <w:rFonts w:ascii="Arial" w:hAnsi="Arial" w:cs="Arial"/>
            <w:lang w:val="en-GB"/>
          </w:rPr>
          <w:t>Audiovisual Media Observatory</w:t>
        </w:r>
      </w:hyperlink>
      <w:r w:rsidR="00E01F9B">
        <w:rPr>
          <w:rStyle w:val="FootnoteReference"/>
          <w:rFonts w:ascii="Arial" w:hAnsi="Arial" w:cs="Arial"/>
          <w:lang w:val="en-GB"/>
        </w:rPr>
        <w:footnoteReference w:id="17"/>
      </w:r>
      <w:r w:rsidRPr="00CF3B4C">
        <w:rPr>
          <w:rFonts w:ascii="Arial" w:hAnsi="Arial" w:cs="Arial"/>
          <w:lang w:val="en-GB"/>
        </w:rPr>
        <w:t xml:space="preserve"> sheds light in a worrisome reality: few member states have committed to engaging with disabled persons organisations to ensure best practice or issue guidelines for making audiovisual content accessible. For example, only 7 MS oblig</w:t>
      </w:r>
      <w:r w:rsidR="0010079F">
        <w:rPr>
          <w:rFonts w:ascii="Arial" w:hAnsi="Arial" w:cs="Arial"/>
          <w:lang w:val="en-GB"/>
        </w:rPr>
        <w:t>e that</w:t>
      </w:r>
      <w:r w:rsidRPr="00CF3B4C">
        <w:rPr>
          <w:rFonts w:ascii="Arial" w:hAnsi="Arial" w:cs="Arial"/>
          <w:lang w:val="en-GB"/>
        </w:rPr>
        <w:t xml:space="preserve"> the action plans to be developed by media service providers </w:t>
      </w:r>
      <w:r w:rsidR="0010079F">
        <w:rPr>
          <w:rFonts w:ascii="Arial" w:hAnsi="Arial" w:cs="Arial"/>
          <w:lang w:val="en-GB"/>
        </w:rPr>
        <w:t>are</w:t>
      </w:r>
      <w:r w:rsidRPr="00CF3B4C">
        <w:rPr>
          <w:rFonts w:ascii="Arial" w:hAnsi="Arial" w:cs="Arial"/>
          <w:lang w:val="en-GB"/>
        </w:rPr>
        <w:t xml:space="preserve"> developed in consultation with organisations representing persons with disabilities.</w:t>
      </w:r>
    </w:p>
    <w:p w14:paraId="2069BD7E" w14:textId="16E7DCC9" w:rsidR="001523FB" w:rsidRDefault="001523FB" w:rsidP="0010079F">
      <w:pPr>
        <w:widowControl w:val="0"/>
        <w:spacing w:line="360" w:lineRule="auto"/>
        <w:rPr>
          <w:rFonts w:ascii="Arial" w:hAnsi="Arial" w:cs="Arial"/>
          <w:lang w:val="en-GB"/>
        </w:rPr>
      </w:pPr>
      <w:r>
        <w:rPr>
          <w:rFonts w:ascii="Arial" w:hAnsi="Arial" w:cs="Arial"/>
          <w:lang w:val="en-GB"/>
        </w:rPr>
        <w:t>Feedback from users is equally important to improve the quality of audiovisual content. Unfortunately, despite being an obligation under the AVMSD</w:t>
      </w:r>
      <w:r w:rsidR="002D1883">
        <w:rPr>
          <w:rFonts w:ascii="Arial" w:hAnsi="Arial" w:cs="Arial"/>
          <w:lang w:val="en-GB"/>
        </w:rPr>
        <w:t>, only 5 MS states have set up a specific point of contact for accessibility complaints and information. The</w:t>
      </w:r>
      <w:r w:rsidR="003F609E">
        <w:rPr>
          <w:rFonts w:ascii="Arial" w:hAnsi="Arial" w:cs="Arial"/>
          <w:lang w:val="en-GB"/>
        </w:rPr>
        <w:t xml:space="preserve"> rest have established a general complaint mechanisms that includes disability</w:t>
      </w:r>
      <w:r w:rsidR="003F609E">
        <w:rPr>
          <w:rStyle w:val="FootnoteReference"/>
          <w:rFonts w:ascii="Arial" w:hAnsi="Arial" w:cs="Arial"/>
          <w:lang w:val="en-GB"/>
        </w:rPr>
        <w:footnoteReference w:id="18"/>
      </w:r>
    </w:p>
    <w:p w14:paraId="2E6A53B8" w14:textId="7296E84F" w:rsidR="00F7162A" w:rsidRDefault="00242937" w:rsidP="00F7162A">
      <w:pPr>
        <w:pStyle w:val="Heading3"/>
        <w:rPr>
          <w:lang w:val="en-GB"/>
        </w:rPr>
      </w:pPr>
      <w:r>
        <w:rPr>
          <w:lang w:val="en-GB"/>
        </w:rPr>
        <w:t>EDF recommendation</w:t>
      </w:r>
      <w:r w:rsidR="00F7162A">
        <w:rPr>
          <w:lang w:val="en-GB"/>
        </w:rPr>
        <w:t xml:space="preserve"> for the AVMSD revision (VII)</w:t>
      </w:r>
    </w:p>
    <w:p w14:paraId="7D82F6D8" w14:textId="28D69DDA" w:rsidR="003A4078" w:rsidRDefault="00EE3082" w:rsidP="0010079F">
      <w:pPr>
        <w:widowControl w:val="0"/>
        <w:spacing w:line="360" w:lineRule="auto"/>
        <w:rPr>
          <w:rFonts w:ascii="Arial" w:hAnsi="Arial" w:cs="Arial"/>
          <w:b/>
          <w:bCs/>
          <w:lang w:val="en-GB"/>
        </w:rPr>
      </w:pPr>
      <w:r w:rsidRPr="00766C92">
        <w:rPr>
          <w:rFonts w:ascii="Arial" w:hAnsi="Arial" w:cs="Arial"/>
          <w:lang w:val="en-GB"/>
        </w:rPr>
        <w:t>Consultation with organisations of persons with disabilities should be mandatory</w:t>
      </w:r>
      <w:r w:rsidR="00FA64AD">
        <w:rPr>
          <w:rFonts w:ascii="Arial" w:hAnsi="Arial" w:cs="Arial"/>
          <w:lang w:val="en-GB"/>
        </w:rPr>
        <w:t xml:space="preserve"> by all stakeholders, including National Regulatory Authorities, broadcasters and on-demand platforms and </w:t>
      </w:r>
      <w:r w:rsidRPr="00766C92">
        <w:rPr>
          <w:rFonts w:ascii="Arial" w:hAnsi="Arial" w:cs="Arial"/>
          <w:lang w:val="en-GB"/>
        </w:rPr>
        <w:t xml:space="preserve">at all relevant stages, including the preparation of accessibility action plans, the setting of priorities, the development of quality guidance, the handling of complaints and the implementation </w:t>
      </w:r>
      <w:r w:rsidR="00B6211A">
        <w:rPr>
          <w:rFonts w:ascii="Arial" w:hAnsi="Arial" w:cs="Arial"/>
          <w:lang w:val="en-GB"/>
        </w:rPr>
        <w:t xml:space="preserve">of accessibility </w:t>
      </w:r>
      <w:r w:rsidRPr="00766C92">
        <w:rPr>
          <w:rFonts w:ascii="Arial" w:hAnsi="Arial" w:cs="Arial"/>
          <w:lang w:val="en-GB"/>
        </w:rPr>
        <w:t>measures.</w:t>
      </w:r>
      <w:r w:rsidR="00F7162A" w:rsidRPr="00CF3B4C">
        <w:rPr>
          <w:rFonts w:ascii="Arial" w:hAnsi="Arial" w:cs="Arial"/>
          <w:b/>
          <w:bCs/>
          <w:lang w:val="en-GB"/>
        </w:rPr>
        <w:t xml:space="preserve"> </w:t>
      </w:r>
    </w:p>
    <w:p w14:paraId="5FB4987A" w14:textId="6BD64457" w:rsidR="00CD2825" w:rsidRPr="00CD2825" w:rsidRDefault="00CD2825" w:rsidP="0010079F">
      <w:pPr>
        <w:widowControl w:val="0"/>
        <w:spacing w:line="360" w:lineRule="auto"/>
        <w:rPr>
          <w:rFonts w:ascii="Arial" w:hAnsi="Arial" w:cs="Arial"/>
          <w:lang w:val="en-GB"/>
        </w:rPr>
      </w:pPr>
      <w:r>
        <w:rPr>
          <w:rFonts w:ascii="Arial" w:hAnsi="Arial" w:cs="Arial"/>
          <w:lang w:val="en-GB"/>
        </w:rPr>
        <w:t xml:space="preserve">The National Regulatory Authorities should </w:t>
      </w:r>
      <w:r w:rsidR="0001051B">
        <w:rPr>
          <w:rFonts w:ascii="Arial" w:hAnsi="Arial" w:cs="Arial"/>
          <w:lang w:val="en-GB"/>
        </w:rPr>
        <w:t>improve their complaint mechanisms so end-users with disabilities know where to complain in an accessible manner.</w:t>
      </w:r>
      <w:r w:rsidR="00FE0472">
        <w:rPr>
          <w:rFonts w:ascii="Arial" w:hAnsi="Arial" w:cs="Arial"/>
          <w:lang w:val="en-GB"/>
        </w:rPr>
        <w:t xml:space="preserve"> Authorities should </w:t>
      </w:r>
      <w:r w:rsidR="003B0FC9">
        <w:rPr>
          <w:rFonts w:ascii="Arial" w:hAnsi="Arial" w:cs="Arial"/>
          <w:lang w:val="en-GB"/>
        </w:rPr>
        <w:t>also provide feedback</w:t>
      </w:r>
      <w:r w:rsidR="00FE0472">
        <w:rPr>
          <w:rFonts w:ascii="Arial" w:hAnsi="Arial" w:cs="Arial"/>
          <w:lang w:val="en-GB"/>
        </w:rPr>
        <w:t xml:space="preserve"> on how complaint</w:t>
      </w:r>
      <w:r w:rsidR="006209A8">
        <w:rPr>
          <w:rFonts w:ascii="Arial" w:hAnsi="Arial" w:cs="Arial"/>
          <w:lang w:val="en-GB"/>
        </w:rPr>
        <w:t xml:space="preserve">s support their enforcement </w:t>
      </w:r>
      <w:r w:rsidR="002B2A20">
        <w:rPr>
          <w:rFonts w:ascii="Arial" w:hAnsi="Arial" w:cs="Arial"/>
          <w:lang w:val="en-GB"/>
        </w:rPr>
        <w:t>activities,</w:t>
      </w:r>
      <w:r w:rsidR="006209A8">
        <w:rPr>
          <w:rFonts w:ascii="Arial" w:hAnsi="Arial" w:cs="Arial"/>
          <w:lang w:val="en-GB"/>
        </w:rPr>
        <w:t xml:space="preserve"> so users have incentives to complain. </w:t>
      </w:r>
    </w:p>
    <w:p w14:paraId="57E21889" w14:textId="31A07972" w:rsidR="00BD2EA0" w:rsidRPr="00766C92" w:rsidRDefault="009314DF" w:rsidP="00BD2EA0">
      <w:pPr>
        <w:pStyle w:val="Heading2"/>
        <w:rPr>
          <w:lang w:val="en-GB"/>
        </w:rPr>
      </w:pPr>
      <w:bookmarkStart w:id="11" w:name="_Toc228456465"/>
      <w:r>
        <w:rPr>
          <w:lang w:val="en-GB"/>
        </w:rPr>
        <w:t>Audiovisual Accessibility b</w:t>
      </w:r>
      <w:r w:rsidR="00FA64AD">
        <w:rPr>
          <w:lang w:val="en-GB"/>
        </w:rPr>
        <w:t>eyond access services</w:t>
      </w:r>
      <w:bookmarkEnd w:id="11"/>
    </w:p>
    <w:p w14:paraId="75AE58F7" w14:textId="77777777" w:rsidR="00230CCB" w:rsidRDefault="0097247B" w:rsidP="00230CCB">
      <w:pPr>
        <w:widowControl w:val="0"/>
        <w:spacing w:before="480" w:line="360" w:lineRule="auto"/>
        <w:rPr>
          <w:rFonts w:ascii="Arial" w:hAnsi="Arial" w:cs="Arial"/>
          <w:lang w:val="en-GB"/>
        </w:rPr>
      </w:pPr>
      <w:r>
        <w:rPr>
          <w:rFonts w:ascii="Arial" w:hAnsi="Arial" w:cs="Arial"/>
          <w:lang w:val="en-GB"/>
        </w:rPr>
        <w:t xml:space="preserve">The level of audiovisual accessibility not only depends on the provision of access </w:t>
      </w:r>
      <w:r>
        <w:rPr>
          <w:rFonts w:ascii="Arial" w:hAnsi="Arial" w:cs="Arial"/>
          <w:lang w:val="en-GB"/>
        </w:rPr>
        <w:lastRenderedPageBreak/>
        <w:t xml:space="preserve">services, but also </w:t>
      </w:r>
      <w:r w:rsidR="009231E0">
        <w:rPr>
          <w:rFonts w:ascii="Arial" w:hAnsi="Arial" w:cs="Arial"/>
          <w:lang w:val="en-GB"/>
        </w:rPr>
        <w:t xml:space="preserve">on the </w:t>
      </w:r>
      <w:r w:rsidR="00FA64AD">
        <w:rPr>
          <w:rFonts w:ascii="Arial" w:hAnsi="Arial" w:cs="Arial"/>
          <w:lang w:val="en-GB"/>
        </w:rPr>
        <w:t>format used for the delivery of the content</w:t>
      </w:r>
      <w:r w:rsidR="009231E0">
        <w:rPr>
          <w:rFonts w:ascii="Arial" w:hAnsi="Arial" w:cs="Arial"/>
          <w:lang w:val="en-GB"/>
        </w:rPr>
        <w:t>. Some additional barriers end-users with disabilities can experience include:</w:t>
      </w:r>
    </w:p>
    <w:p w14:paraId="7DF3F294" w14:textId="7CFFA01C" w:rsidR="00A47111" w:rsidRPr="00230CCB" w:rsidRDefault="009231E0" w:rsidP="00230CCB">
      <w:pPr>
        <w:pStyle w:val="ListParagraph"/>
        <w:widowControl w:val="0"/>
        <w:numPr>
          <w:ilvl w:val="0"/>
          <w:numId w:val="15"/>
        </w:numPr>
        <w:spacing w:before="480" w:line="360" w:lineRule="auto"/>
        <w:rPr>
          <w:rFonts w:ascii="Arial" w:hAnsi="Arial" w:cs="Arial"/>
          <w:lang w:val="en-GB"/>
        </w:rPr>
      </w:pPr>
      <w:r w:rsidRPr="00230CCB">
        <w:rPr>
          <w:rFonts w:ascii="Arial" w:hAnsi="Arial" w:cs="Arial"/>
          <w:lang w:val="en-GB"/>
        </w:rPr>
        <w:t>Flashes, sudden</w:t>
      </w:r>
      <w:r w:rsidR="00230CCB" w:rsidRPr="00230CCB">
        <w:rPr>
          <w:rFonts w:ascii="Arial" w:hAnsi="Arial" w:cs="Arial"/>
          <w:lang w:val="en-GB"/>
        </w:rPr>
        <w:t xml:space="preserve"> c</w:t>
      </w:r>
      <w:r w:rsidRPr="00230CCB">
        <w:rPr>
          <w:rFonts w:ascii="Arial" w:hAnsi="Arial" w:cs="Arial"/>
          <w:lang w:val="en-GB"/>
        </w:rPr>
        <w:t xml:space="preserve">hanges in light intensity, rapid sequences of images </w:t>
      </w:r>
      <w:r w:rsidR="00A47111" w:rsidRPr="00230CCB">
        <w:rPr>
          <w:rFonts w:ascii="Arial" w:hAnsi="Arial" w:cs="Arial"/>
          <w:lang w:val="en-GB"/>
        </w:rPr>
        <w:t xml:space="preserve">that may trigger epileptic seizures, migraines or discomfort in photosensitive individuals. </w:t>
      </w:r>
    </w:p>
    <w:p w14:paraId="20CB5F9C" w14:textId="77777777" w:rsidR="00492EB5" w:rsidRDefault="00B03DA9" w:rsidP="00A47111">
      <w:pPr>
        <w:pStyle w:val="ListParagraph"/>
        <w:widowControl w:val="0"/>
        <w:numPr>
          <w:ilvl w:val="0"/>
          <w:numId w:val="14"/>
        </w:numPr>
        <w:spacing w:before="480" w:line="360" w:lineRule="auto"/>
        <w:rPr>
          <w:rFonts w:ascii="Arial" w:hAnsi="Arial" w:cs="Arial"/>
          <w:lang w:val="en-GB"/>
        </w:rPr>
      </w:pPr>
      <w:r>
        <w:rPr>
          <w:rFonts w:ascii="Arial" w:hAnsi="Arial" w:cs="Arial"/>
          <w:lang w:val="en-GB"/>
        </w:rPr>
        <w:t>Unnecessary moving of decorative elements, that increase cognitive load for people with</w:t>
      </w:r>
      <w:r w:rsidR="006034AD">
        <w:rPr>
          <w:rFonts w:ascii="Arial" w:hAnsi="Arial" w:cs="Arial"/>
          <w:lang w:val="en-GB"/>
        </w:rPr>
        <w:t xml:space="preserve"> developmental disabilities</w:t>
      </w:r>
      <w:r w:rsidR="001575E6">
        <w:rPr>
          <w:rFonts w:ascii="Arial" w:hAnsi="Arial" w:cs="Arial"/>
          <w:lang w:val="en-GB"/>
        </w:rPr>
        <w:t xml:space="preserve">, such as </w:t>
      </w:r>
      <w:r w:rsidR="00492EB5">
        <w:rPr>
          <w:rFonts w:ascii="Arial" w:hAnsi="Arial" w:cs="Arial"/>
          <w:lang w:val="en-GB"/>
        </w:rPr>
        <w:t>autism.</w:t>
      </w:r>
    </w:p>
    <w:p w14:paraId="3CF565A8" w14:textId="1678CD54" w:rsidR="00A47111" w:rsidRDefault="000B6837" w:rsidP="00A47111">
      <w:pPr>
        <w:pStyle w:val="ListParagraph"/>
        <w:widowControl w:val="0"/>
        <w:numPr>
          <w:ilvl w:val="0"/>
          <w:numId w:val="14"/>
        </w:numPr>
        <w:spacing w:before="480" w:line="360" w:lineRule="auto"/>
        <w:rPr>
          <w:rFonts w:ascii="Arial" w:hAnsi="Arial" w:cs="Arial"/>
          <w:lang w:val="en-GB"/>
        </w:rPr>
      </w:pPr>
      <w:r>
        <w:rPr>
          <w:rFonts w:ascii="Arial" w:hAnsi="Arial" w:cs="Arial"/>
          <w:lang w:val="en-GB"/>
        </w:rPr>
        <w:t xml:space="preserve">Size of images and relevant content in proportion to the screen space they occupy. </w:t>
      </w:r>
    </w:p>
    <w:p w14:paraId="3D6A91AA" w14:textId="7179884D" w:rsidR="004445AA" w:rsidRDefault="004445AA" w:rsidP="00A47111">
      <w:pPr>
        <w:pStyle w:val="ListParagraph"/>
        <w:widowControl w:val="0"/>
        <w:numPr>
          <w:ilvl w:val="0"/>
          <w:numId w:val="14"/>
        </w:numPr>
        <w:spacing w:before="480" w:line="360" w:lineRule="auto"/>
        <w:rPr>
          <w:rFonts w:ascii="Arial" w:hAnsi="Arial" w:cs="Arial"/>
          <w:lang w:val="en-GB"/>
        </w:rPr>
      </w:pPr>
      <w:r>
        <w:rPr>
          <w:rFonts w:ascii="Arial" w:hAnsi="Arial" w:cs="Arial"/>
          <w:lang w:val="en-GB"/>
        </w:rPr>
        <w:t xml:space="preserve">Font size and font weight for clear visibility on screen. </w:t>
      </w:r>
    </w:p>
    <w:p w14:paraId="5EA158DF" w14:textId="2DF776E4" w:rsidR="004445AA" w:rsidRDefault="004445AA" w:rsidP="00A47111">
      <w:pPr>
        <w:pStyle w:val="ListParagraph"/>
        <w:widowControl w:val="0"/>
        <w:numPr>
          <w:ilvl w:val="0"/>
          <w:numId w:val="14"/>
        </w:numPr>
        <w:spacing w:before="480" w:line="360" w:lineRule="auto"/>
        <w:rPr>
          <w:rFonts w:ascii="Arial" w:hAnsi="Arial" w:cs="Arial"/>
          <w:lang w:val="en-GB"/>
        </w:rPr>
      </w:pPr>
      <w:r>
        <w:rPr>
          <w:rFonts w:ascii="Arial" w:hAnsi="Arial" w:cs="Arial"/>
          <w:lang w:val="en-GB"/>
        </w:rPr>
        <w:t xml:space="preserve">Lighting and contrast between different elements in the audiovisual content. </w:t>
      </w:r>
    </w:p>
    <w:p w14:paraId="51F3B1AF" w14:textId="2E9A1060" w:rsidR="0017332A" w:rsidRDefault="004445AA" w:rsidP="006D0B23">
      <w:pPr>
        <w:pStyle w:val="ListParagraph"/>
        <w:widowControl w:val="0"/>
        <w:numPr>
          <w:ilvl w:val="0"/>
          <w:numId w:val="14"/>
        </w:numPr>
        <w:spacing w:before="480" w:line="360" w:lineRule="auto"/>
        <w:rPr>
          <w:rFonts w:ascii="Arial" w:hAnsi="Arial" w:cs="Arial"/>
          <w:lang w:val="en-GB"/>
        </w:rPr>
      </w:pPr>
      <w:r>
        <w:rPr>
          <w:rFonts w:ascii="Arial" w:hAnsi="Arial" w:cs="Arial"/>
          <w:lang w:val="en-GB"/>
        </w:rPr>
        <w:t>Clarity and volume of voi</w:t>
      </w:r>
      <w:r w:rsidR="0017332A">
        <w:rPr>
          <w:rFonts w:ascii="Arial" w:hAnsi="Arial" w:cs="Arial"/>
          <w:lang w:val="en-GB"/>
        </w:rPr>
        <w:t xml:space="preserve">ces, </w:t>
      </w:r>
      <w:r w:rsidR="00B220B8">
        <w:rPr>
          <w:rFonts w:ascii="Arial" w:hAnsi="Arial" w:cs="Arial"/>
          <w:lang w:val="en-GB"/>
        </w:rPr>
        <w:t>especially</w:t>
      </w:r>
      <w:r w:rsidR="0017332A">
        <w:rPr>
          <w:rFonts w:ascii="Arial" w:hAnsi="Arial" w:cs="Arial"/>
          <w:lang w:val="en-GB"/>
        </w:rPr>
        <w:t xml:space="preserve"> in relation to background noise and / or music. </w:t>
      </w:r>
    </w:p>
    <w:p w14:paraId="1CEA3529" w14:textId="45D005AE" w:rsidR="0010023C" w:rsidRDefault="0010023C" w:rsidP="00196787">
      <w:pPr>
        <w:pStyle w:val="Heading1"/>
      </w:pPr>
      <w:bookmarkStart w:id="12" w:name="_Toc228456466"/>
      <w:r>
        <w:t>Document credits</w:t>
      </w:r>
      <w:bookmarkEnd w:id="12"/>
    </w:p>
    <w:p w14:paraId="2B95C88F" w14:textId="31C6D1DD" w:rsidR="00A9576D" w:rsidRPr="0017332A" w:rsidRDefault="000D5C25" w:rsidP="0017332A">
      <w:pPr>
        <w:widowControl w:val="0"/>
        <w:spacing w:before="480" w:line="360" w:lineRule="auto"/>
        <w:rPr>
          <w:rFonts w:ascii="Arial" w:hAnsi="Arial" w:cs="Arial"/>
          <w:lang w:val="en-GB"/>
        </w:rPr>
      </w:pPr>
      <w:r w:rsidRPr="0017332A">
        <w:rPr>
          <w:rFonts w:ascii="Arial" w:hAnsi="Arial" w:cs="Arial"/>
        </w:rPr>
        <w:t>T</w:t>
      </w:r>
      <w:r w:rsidR="00A9576D" w:rsidRPr="0017332A">
        <w:rPr>
          <w:rFonts w:ascii="Arial" w:hAnsi="Arial" w:cs="Arial"/>
        </w:rPr>
        <w:t>his document was prepared by</w:t>
      </w:r>
      <w:r w:rsidR="00CF3B4C" w:rsidRPr="0017332A">
        <w:rPr>
          <w:rFonts w:ascii="Arial" w:hAnsi="Arial" w:cs="Arial"/>
        </w:rPr>
        <w:t xml:space="preserve"> Daniel Casas (Accessibility Policy Officer)</w:t>
      </w:r>
      <w:r w:rsidR="00BF2564">
        <w:rPr>
          <w:rFonts w:ascii="Arial" w:hAnsi="Arial" w:cs="Arial"/>
        </w:rPr>
        <w:t xml:space="preserve"> - </w:t>
      </w:r>
      <w:hyperlink r:id="rId26" w:history="1">
        <w:r w:rsidR="00BF2564" w:rsidRPr="00E40DE4">
          <w:rPr>
            <w:rStyle w:val="Hyperlink"/>
            <w:rFonts w:ascii="Arial" w:hAnsi="Arial" w:cs="Arial"/>
          </w:rPr>
          <w:t>daniel.casas@edf-feph.org</w:t>
        </w:r>
      </w:hyperlink>
      <w:r w:rsidR="00CF3B4C" w:rsidRPr="0017332A">
        <w:rPr>
          <w:rFonts w:ascii="Arial" w:hAnsi="Arial" w:cs="Arial"/>
        </w:rPr>
        <w:t xml:space="preserve"> </w:t>
      </w:r>
      <w:r w:rsidR="00BF2564">
        <w:rPr>
          <w:rFonts w:ascii="Arial" w:hAnsi="Arial" w:cs="Arial"/>
        </w:rPr>
        <w:t xml:space="preserve">– with support of EDF Members and ICT Expert Group. </w:t>
      </w:r>
    </w:p>
    <w:p w14:paraId="177D1331" w14:textId="30D02CFC" w:rsidR="009277BC" w:rsidRDefault="009277BC" w:rsidP="009277BC">
      <w:pPr>
        <w:widowControl w:val="0"/>
        <w:spacing w:before="480"/>
      </w:pPr>
      <w:r>
        <w:rPr>
          <w:noProof/>
        </w:rPr>
        <w:drawing>
          <wp:inline distT="0" distB="0" distL="0" distR="0" wp14:anchorId="3D5A81C9" wp14:editId="1E058535">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491BC022" w14:textId="2A5E2149" w:rsidR="00A9576D" w:rsidRPr="00CF3B4C" w:rsidRDefault="00A9576D" w:rsidP="006D0B23">
      <w:pPr>
        <w:widowControl w:val="0"/>
        <w:spacing w:before="480"/>
        <w:rPr>
          <w:rFonts w:ascii="Arial" w:hAnsi="Arial" w:cs="Arial"/>
        </w:rPr>
      </w:pPr>
      <w:r w:rsidRPr="00CF3B4C">
        <w:rPr>
          <w:rFonts w:ascii="Arial" w:hAnsi="Arial" w:cs="Arial"/>
        </w:rPr>
        <w:t>The European Disability Forum</w:t>
      </w:r>
      <w:r w:rsidR="009277BC" w:rsidRPr="00CF3B4C">
        <w:rPr>
          <w:rFonts w:ascii="Arial" w:hAnsi="Arial" w:cs="Arial"/>
        </w:rPr>
        <w:br/>
        <w:t>Mundo Madou</w:t>
      </w:r>
      <w:r w:rsidR="009277BC" w:rsidRPr="00CF3B4C">
        <w:rPr>
          <w:rFonts w:ascii="Arial" w:hAnsi="Arial" w:cs="Arial"/>
        </w:rPr>
        <w:br/>
      </w:r>
      <w:r w:rsidRPr="00CF3B4C">
        <w:rPr>
          <w:rFonts w:ascii="Arial" w:hAnsi="Arial" w:cs="Arial"/>
        </w:rPr>
        <w:t>Avenue des Arts 7-8</w:t>
      </w:r>
      <w:r w:rsidR="009277BC" w:rsidRPr="00CF3B4C">
        <w:rPr>
          <w:rFonts w:ascii="Arial" w:hAnsi="Arial" w:cs="Arial"/>
        </w:rPr>
        <w:br/>
        <w:t>1210 Brussels, Belgium.</w:t>
      </w:r>
    </w:p>
    <w:p w14:paraId="63FAD6C0" w14:textId="334864FE" w:rsidR="00A9576D" w:rsidRPr="00CF3B4C" w:rsidRDefault="00A9576D" w:rsidP="006D0B23">
      <w:pPr>
        <w:widowControl w:val="0"/>
        <w:spacing w:before="480"/>
        <w:rPr>
          <w:rFonts w:ascii="Arial" w:hAnsi="Arial" w:cs="Arial"/>
        </w:rPr>
      </w:pPr>
      <w:hyperlink r:id="rId27" w:history="1">
        <w:r w:rsidRPr="00CF3B4C">
          <w:rPr>
            <w:rStyle w:val="Hyperlink"/>
            <w:rFonts w:ascii="Arial" w:hAnsi="Arial" w:cs="Arial"/>
          </w:rPr>
          <w:t>www.edf-feph.org</w:t>
        </w:r>
      </w:hyperlink>
    </w:p>
    <w:p w14:paraId="7B572B14" w14:textId="5A1C910E" w:rsidR="009277BC" w:rsidRDefault="009277BC" w:rsidP="006D0B23">
      <w:pPr>
        <w:widowControl w:val="0"/>
        <w:spacing w:before="480"/>
        <w:rPr>
          <w:rFonts w:ascii="Arial" w:hAnsi="Arial" w:cs="Arial"/>
        </w:rPr>
      </w:pPr>
      <w:hyperlink r:id="rId28" w:history="1">
        <w:r w:rsidRPr="00CF3B4C">
          <w:rPr>
            <w:rStyle w:val="Hyperlink"/>
            <w:rFonts w:ascii="Arial" w:hAnsi="Arial" w:cs="Arial"/>
          </w:rPr>
          <w:t>info@edf-feph.org</w:t>
        </w:r>
      </w:hyperlink>
    </w:p>
    <w:p w14:paraId="682B343E" w14:textId="77777777" w:rsidR="00CB6F4A" w:rsidRDefault="00CB6F4A" w:rsidP="006D0B23">
      <w:pPr>
        <w:widowControl w:val="0"/>
        <w:spacing w:before="480"/>
        <w:rPr>
          <w:rFonts w:ascii="Arial" w:hAnsi="Arial" w:cs="Arial"/>
        </w:rPr>
      </w:pPr>
    </w:p>
    <w:p w14:paraId="596EFC01" w14:textId="77777777" w:rsidR="00CF3B4C" w:rsidRDefault="00CF3B4C" w:rsidP="00BF2564">
      <w:pPr>
        <w:widowControl w:val="0"/>
        <w:spacing w:before="120"/>
        <w:rPr>
          <w:rFonts w:ascii="Arial" w:hAnsi="Arial" w:cs="Arial"/>
        </w:rPr>
      </w:pPr>
    </w:p>
    <w:p w14:paraId="18C71A74" w14:textId="109D7873" w:rsidR="006E4BF9" w:rsidRDefault="006E4BF9" w:rsidP="009277BC">
      <w:pPr>
        <w:widowControl w:val="0"/>
        <w:spacing w:before="120"/>
        <w:jc w:val="center"/>
      </w:pPr>
      <w:r w:rsidRPr="00CF3B4C">
        <w:rPr>
          <w:rFonts w:ascii="Arial" w:hAnsi="Arial" w:cs="Arial"/>
        </w:rPr>
        <w:t xml:space="preserve">Funded by the European Union. Views and opinions expressed </w:t>
      </w:r>
      <w:proofErr w:type="gramStart"/>
      <w:r w:rsidRPr="00CF3B4C">
        <w:rPr>
          <w:rFonts w:ascii="Arial" w:hAnsi="Arial" w:cs="Arial"/>
        </w:rPr>
        <w:t>are however</w:t>
      </w:r>
      <w:proofErr w:type="gramEnd"/>
      <w:r w:rsidRPr="00CF3B4C">
        <w:rPr>
          <w:rFonts w:ascii="Arial" w:hAnsi="Arial" w:cs="Arial"/>
        </w:rPr>
        <w:t xml:space="preserve"> those of the author(s) only and do not necessarily reflect those of the European Union or the European Commission. Neither the European Union nor the granting authority can be held responsible for them. </w:t>
      </w:r>
    </w:p>
    <w:p w14:paraId="4A8E2A61" w14:textId="31078673" w:rsidR="006E4BF9" w:rsidRDefault="006E4BF9" w:rsidP="009277BC">
      <w:pPr>
        <w:widowControl w:val="0"/>
        <w:spacing w:before="120"/>
        <w:jc w:val="center"/>
      </w:pPr>
      <w:r>
        <w:rPr>
          <w:noProof/>
        </w:rPr>
        <w:drawing>
          <wp:anchor distT="0" distB="0" distL="114300" distR="114300" simplePos="0" relativeHeight="251658245" behindDoc="1" locked="0" layoutInCell="1" allowOverlap="1" wp14:anchorId="75F3C0C9" wp14:editId="3D8BD18D">
            <wp:simplePos x="0" y="0"/>
            <wp:positionH relativeFrom="column">
              <wp:posOffset>2371725</wp:posOffset>
            </wp:positionH>
            <wp:positionV relativeFrom="paragraph">
              <wp:posOffset>140970</wp:posOffset>
            </wp:positionV>
            <wp:extent cx="1162050" cy="1177925"/>
            <wp:effectExtent l="0" t="0" r="0" b="3175"/>
            <wp:wrapSquare wrapText="bothSides"/>
            <wp:docPr id="225371943" name="Picture 225371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2050" cy="1177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C2A600" w14:textId="0A77CD31" w:rsidR="006E4BF9" w:rsidRDefault="006E4BF9" w:rsidP="009277BC">
      <w:pPr>
        <w:widowControl w:val="0"/>
        <w:spacing w:before="120"/>
        <w:jc w:val="center"/>
      </w:pPr>
    </w:p>
    <w:sectPr w:rsidR="006E4BF9" w:rsidSect="002D6CBD">
      <w:footerReference w:type="default" r:id="rId29"/>
      <w:pgSz w:w="11906" w:h="16838" w:code="9"/>
      <w:pgMar w:top="1135" w:right="1440" w:bottom="1276"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2B0EB" w14:textId="77777777" w:rsidR="00B22E21" w:rsidRDefault="00B22E21" w:rsidP="00E47FF5">
      <w:pPr>
        <w:spacing w:after="0" w:line="240" w:lineRule="auto"/>
      </w:pPr>
      <w:r>
        <w:separator/>
      </w:r>
    </w:p>
  </w:endnote>
  <w:endnote w:type="continuationSeparator" w:id="0">
    <w:p w14:paraId="79B1EE10" w14:textId="77777777" w:rsidR="00B22E21" w:rsidRDefault="00B22E21"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530601"/>
      <w:docPartObj>
        <w:docPartGallery w:val="Page Numbers (Bottom of Page)"/>
        <w:docPartUnique/>
      </w:docPartObj>
    </w:sdtPr>
    <w:sdtContent>
      <w:p w14:paraId="63306FAB" w14:textId="270C9223" w:rsidR="007C7CD3" w:rsidRDefault="007C7CD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E47FF5" w:rsidRDefault="00E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11F0B" w14:textId="77777777" w:rsidR="00B22E21" w:rsidRDefault="00B22E21" w:rsidP="00E47FF5">
      <w:pPr>
        <w:spacing w:after="0" w:line="240" w:lineRule="auto"/>
      </w:pPr>
      <w:r>
        <w:separator/>
      </w:r>
    </w:p>
  </w:footnote>
  <w:footnote w:type="continuationSeparator" w:id="0">
    <w:p w14:paraId="2E6A2475" w14:textId="77777777" w:rsidR="00B22E21" w:rsidRDefault="00B22E21" w:rsidP="00E47FF5">
      <w:pPr>
        <w:spacing w:after="0" w:line="240" w:lineRule="auto"/>
      </w:pPr>
      <w:r>
        <w:continuationSeparator/>
      </w:r>
    </w:p>
  </w:footnote>
  <w:footnote w:id="1">
    <w:p w14:paraId="2618C8FF" w14:textId="605CF402" w:rsidR="006F2BD1" w:rsidRDefault="006F2BD1">
      <w:pPr>
        <w:pStyle w:val="FootnoteText"/>
      </w:pPr>
      <w:r>
        <w:rPr>
          <w:rStyle w:val="FootnoteReference"/>
        </w:rPr>
        <w:footnoteRef/>
      </w:r>
      <w:r>
        <w:t xml:space="preserve"> Audiovisual Media Services Directive (AVMSD), Web Accessibility Directive (WAD), European Accessibility Act (EAA) and Digital Services Act (DSA). </w:t>
      </w:r>
    </w:p>
  </w:footnote>
  <w:footnote w:id="2">
    <w:p w14:paraId="226DD5FB" w14:textId="5F47617D" w:rsidR="00E10353" w:rsidRDefault="00E10353">
      <w:pPr>
        <w:pStyle w:val="FootnoteText"/>
      </w:pPr>
      <w:r>
        <w:rPr>
          <w:rStyle w:val="FootnoteReference"/>
        </w:rPr>
        <w:footnoteRef/>
      </w:r>
      <w:r>
        <w:t xml:space="preserve"> See p1</w:t>
      </w:r>
      <w:r w:rsidR="00DB136B">
        <w:t xml:space="preserve">5. </w:t>
      </w:r>
    </w:p>
  </w:footnote>
  <w:footnote w:id="3">
    <w:p w14:paraId="4F16F078" w14:textId="1392958E" w:rsidR="00581AA7" w:rsidRPr="00581AA7" w:rsidRDefault="00581AA7" w:rsidP="00581AA7">
      <w:pPr>
        <w:widowControl w:val="0"/>
        <w:spacing w:after="0" w:line="240" w:lineRule="auto"/>
        <w:rPr>
          <w:rFonts w:ascii="Arial" w:hAnsi="Arial" w:cs="Arial"/>
          <w:sz w:val="20"/>
          <w:szCs w:val="20"/>
        </w:rPr>
      </w:pPr>
      <w:r w:rsidRPr="00581AA7">
        <w:rPr>
          <w:rStyle w:val="FootnoteReference"/>
          <w:rFonts w:ascii="Arial" w:hAnsi="Arial" w:cs="Arial"/>
          <w:sz w:val="20"/>
          <w:szCs w:val="20"/>
        </w:rPr>
        <w:footnoteRef/>
      </w:r>
      <w:r w:rsidRPr="00581AA7">
        <w:rPr>
          <w:rFonts w:ascii="Arial" w:hAnsi="Arial" w:cs="Arial"/>
          <w:sz w:val="20"/>
          <w:szCs w:val="20"/>
        </w:rPr>
        <w:t xml:space="preserve"> </w:t>
      </w:r>
      <w:hyperlink r:id="rId1" w:history="1">
        <w:r w:rsidR="00251A60" w:rsidRPr="00453305">
          <w:rPr>
            <w:rStyle w:val="Hyperlink"/>
            <w:rFonts w:ascii="Arial" w:hAnsi="Arial" w:cs="Arial"/>
            <w:sz w:val="20"/>
            <w:szCs w:val="20"/>
          </w:rPr>
          <w:t>According to the 2023 Audiovisual Media Observatory Report</w:t>
        </w:r>
      </w:hyperlink>
      <w:r w:rsidR="00BA6E7F">
        <w:rPr>
          <w:rFonts w:ascii="Arial" w:hAnsi="Arial" w:cs="Arial"/>
          <w:sz w:val="20"/>
          <w:szCs w:val="20"/>
        </w:rPr>
        <w:t xml:space="preserve"> (p14)</w:t>
      </w:r>
      <w:r w:rsidR="00251A60" w:rsidRPr="00251A60">
        <w:rPr>
          <w:rFonts w:ascii="Arial" w:hAnsi="Arial" w:cs="Arial"/>
          <w:sz w:val="20"/>
          <w:szCs w:val="20"/>
        </w:rPr>
        <w:t>, linear TV is the main group regulated. 16 MS have stricter obligations for public broadcasters and 7 MS regulate Video-on-demand platforms separately. Out of the 1</w:t>
      </w:r>
      <w:r w:rsidR="00AE17B0">
        <w:rPr>
          <w:rFonts w:ascii="Arial" w:hAnsi="Arial" w:cs="Arial"/>
          <w:sz w:val="20"/>
          <w:szCs w:val="20"/>
        </w:rPr>
        <w:t xml:space="preserve">6 </w:t>
      </w:r>
      <w:r w:rsidR="00251A60" w:rsidRPr="00251A60">
        <w:rPr>
          <w:rFonts w:ascii="Arial" w:hAnsi="Arial" w:cs="Arial"/>
          <w:sz w:val="20"/>
          <w:szCs w:val="20"/>
        </w:rPr>
        <w:t>Member States (MS) that impose quotas, only 7 have them on video-on demand platforms, 1</w:t>
      </w:r>
      <w:r w:rsidR="007968C5">
        <w:rPr>
          <w:rFonts w:ascii="Arial" w:hAnsi="Arial" w:cs="Arial"/>
          <w:sz w:val="20"/>
          <w:szCs w:val="20"/>
        </w:rPr>
        <w:t>1</w:t>
      </w:r>
      <w:r w:rsidR="00251A60" w:rsidRPr="00251A60">
        <w:rPr>
          <w:rFonts w:ascii="Arial" w:hAnsi="Arial" w:cs="Arial"/>
          <w:sz w:val="20"/>
          <w:szCs w:val="20"/>
        </w:rPr>
        <w:t xml:space="preserve"> apply different quotas for public and private broadcasters and 3 MS only have quotas for public broadcasters</w:t>
      </w:r>
      <w:r w:rsidR="00251A60">
        <w:rPr>
          <w:rFonts w:ascii="Arial" w:hAnsi="Arial" w:cs="Arial"/>
          <w:sz w:val="20"/>
          <w:szCs w:val="20"/>
        </w:rPr>
        <w:t>.</w:t>
      </w:r>
    </w:p>
  </w:footnote>
  <w:footnote w:id="4">
    <w:p w14:paraId="25854110" w14:textId="67105A34" w:rsidR="00335ECA" w:rsidRDefault="00335ECA" w:rsidP="00335ECA">
      <w:pPr>
        <w:pStyle w:val="FootnoteText"/>
      </w:pPr>
      <w:r>
        <w:rPr>
          <w:rStyle w:val="FootnoteReference"/>
        </w:rPr>
        <w:footnoteRef/>
      </w:r>
      <w:r>
        <w:t xml:space="preserve"> </w:t>
      </w:r>
      <w:hyperlink r:id="rId2" w:history="1">
        <w:r w:rsidRPr="003A0FC5">
          <w:rPr>
            <w:rStyle w:val="Hyperlink"/>
          </w:rPr>
          <w:t>The report Monitoring language diversity and accessibility of streaming platforms in Europe</w:t>
        </w:r>
      </w:hyperlink>
      <w:r>
        <w:t xml:space="preserve"> (2023) concludes that (in video on demand platforms) </w:t>
      </w:r>
      <w:r w:rsidRPr="00335ECA">
        <w:rPr>
          <w:i/>
          <w:iCs/>
        </w:rPr>
        <w:t>Audio description is scarce in all languages, but especially in languages other than English. The lack of audio description hinders access to cultural products to people with visual impairments and may thus be interpreted as discriminatory in nature</w:t>
      </w:r>
      <w:r>
        <w:t>.</w:t>
      </w:r>
    </w:p>
  </w:footnote>
  <w:footnote w:id="5">
    <w:p w14:paraId="13E565A4" w14:textId="52CA8E9D" w:rsidR="00581AA7" w:rsidRDefault="00581AA7" w:rsidP="00581AA7">
      <w:pPr>
        <w:pStyle w:val="FootnoteText"/>
      </w:pPr>
      <w:r>
        <w:rPr>
          <w:rStyle w:val="FootnoteReference"/>
        </w:rPr>
        <w:footnoteRef/>
      </w:r>
      <w:r>
        <w:t xml:space="preserve"> </w:t>
      </w:r>
      <w:hyperlink r:id="rId3" w:history="1">
        <w:r w:rsidR="00410B24" w:rsidRPr="00410B24">
          <w:rPr>
            <w:rStyle w:val="Hyperlink"/>
          </w:rPr>
          <w:t>According to ERGA Report (</w:t>
        </w:r>
      </w:hyperlink>
      <w:r w:rsidR="00410B24">
        <w:t>p1</w:t>
      </w:r>
      <w:r w:rsidR="00665B58">
        <w:t>3</w:t>
      </w:r>
      <w:r w:rsidR="00410B24">
        <w:t xml:space="preserve">), </w:t>
      </w:r>
      <w:r w:rsidRPr="00D06CD7">
        <w:rPr>
          <w:rFonts w:eastAsia="Aptos" w:cs="Arial"/>
          <w:kern w:val="2"/>
          <w14:ligatures w14:val="standardContextual"/>
        </w:rPr>
        <w:t xml:space="preserve">While 17 MS oblige to use one or more access services, 9 have total discretion. When it comes to quotas, the </w:t>
      </w:r>
      <w:hyperlink r:id="rId4" w:history="1">
        <w:r w:rsidRPr="00796221">
          <w:rPr>
            <w:rStyle w:val="Hyperlink"/>
            <w:rFonts w:eastAsia="Aptos" w:cs="Arial"/>
            <w:kern w:val="2"/>
            <w14:ligatures w14:val="standardContextual"/>
          </w:rPr>
          <w:t>Audiovisual Media Observatory Report</w:t>
        </w:r>
      </w:hyperlink>
      <w:r w:rsidRPr="00D06CD7">
        <w:rPr>
          <w:rFonts w:eastAsia="Aptos" w:cs="Arial"/>
          <w:kern w:val="2"/>
          <w14:ligatures w14:val="standardContextual"/>
        </w:rPr>
        <w:t xml:space="preserve"> </w:t>
      </w:r>
      <w:r w:rsidR="00796221">
        <w:rPr>
          <w:rFonts w:eastAsia="Aptos" w:cs="Arial"/>
          <w:kern w:val="2"/>
          <w14:ligatures w14:val="standardContextual"/>
        </w:rPr>
        <w:t xml:space="preserve">(p15) </w:t>
      </w:r>
      <w:r w:rsidRPr="00D06CD7">
        <w:rPr>
          <w:rFonts w:eastAsia="Aptos" w:cs="Arial"/>
          <w:kern w:val="2"/>
          <w14:ligatures w14:val="standardContextual"/>
        </w:rPr>
        <w:t>shows that 15 MS have quotas for subtitling, 11 MS for sign language, 9 MS for audio description and only 4 MS for spoken subtitles.</w:t>
      </w:r>
    </w:p>
  </w:footnote>
  <w:footnote w:id="6">
    <w:p w14:paraId="43C5EB09" w14:textId="66451DC2" w:rsidR="00177E5D" w:rsidRDefault="00177E5D">
      <w:pPr>
        <w:pStyle w:val="FootnoteText"/>
      </w:pPr>
      <w:r>
        <w:rPr>
          <w:rStyle w:val="FootnoteReference"/>
        </w:rPr>
        <w:footnoteRef/>
      </w:r>
      <w:r>
        <w:t xml:space="preserve"> See page 15. </w:t>
      </w:r>
    </w:p>
  </w:footnote>
  <w:footnote w:id="7">
    <w:p w14:paraId="1F739BD6" w14:textId="4C65F63A" w:rsidR="00577B8B" w:rsidRDefault="00577B8B">
      <w:pPr>
        <w:pStyle w:val="FootnoteText"/>
      </w:pPr>
      <w:r>
        <w:rPr>
          <w:rStyle w:val="FootnoteReference"/>
        </w:rPr>
        <w:footnoteRef/>
      </w:r>
      <w:r>
        <w:t xml:space="preserve"> See page 18. </w:t>
      </w:r>
    </w:p>
  </w:footnote>
  <w:footnote w:id="8">
    <w:p w14:paraId="08F9EF4E" w14:textId="77777777" w:rsidR="00B76FA3" w:rsidRDefault="00B76FA3" w:rsidP="00B76FA3">
      <w:pPr>
        <w:pStyle w:val="FootnoteText"/>
      </w:pPr>
      <w:r>
        <w:rPr>
          <w:rStyle w:val="FootnoteReference"/>
        </w:rPr>
        <w:footnoteRef/>
      </w:r>
      <w:r>
        <w:t xml:space="preserve"> Currently there are International and National Standards, but no European Standards. </w:t>
      </w:r>
    </w:p>
  </w:footnote>
  <w:footnote w:id="9">
    <w:p w14:paraId="4B60AEF1" w14:textId="110B002D" w:rsidR="00485C12" w:rsidRDefault="00485C12">
      <w:pPr>
        <w:pStyle w:val="FootnoteText"/>
      </w:pPr>
      <w:r>
        <w:rPr>
          <w:rStyle w:val="FootnoteReference"/>
        </w:rPr>
        <w:footnoteRef/>
      </w:r>
      <w:r>
        <w:t xml:space="preserve"> See page 11. </w:t>
      </w:r>
    </w:p>
  </w:footnote>
  <w:footnote w:id="10">
    <w:p w14:paraId="79086506" w14:textId="53F3B748" w:rsidR="001B4839" w:rsidRDefault="001B4839">
      <w:pPr>
        <w:pStyle w:val="FootnoteText"/>
      </w:pPr>
      <w:r>
        <w:rPr>
          <w:rStyle w:val="FootnoteReference"/>
        </w:rPr>
        <w:footnoteRef/>
      </w:r>
      <w:r>
        <w:t xml:space="preserve"> </w:t>
      </w:r>
      <w:r w:rsidR="006C1046" w:rsidRPr="006C1046">
        <w:rPr>
          <w:lang w:val="en-US"/>
        </w:rPr>
        <w:t>For</w:t>
      </w:r>
      <w:r w:rsidR="006C1046">
        <w:rPr>
          <w:lang w:val="en-US"/>
        </w:rPr>
        <w:t xml:space="preserve"> further information, check </w:t>
      </w:r>
      <w:hyperlink r:id="rId5" w:history="1">
        <w:r w:rsidR="006C1046" w:rsidRPr="005B688B">
          <w:rPr>
            <w:rStyle w:val="Hyperlink"/>
            <w:lang w:val="en-US"/>
          </w:rPr>
          <w:t>the European Union of the Deaf (EUD) Report on the implementation of the AVMSD</w:t>
        </w:r>
      </w:hyperlink>
      <w:r w:rsidR="006C1046" w:rsidRPr="006C1046">
        <w:rPr>
          <w:lang w:val="en-US"/>
        </w:rPr>
        <w:t xml:space="preserve"> </w:t>
      </w:r>
      <w:r w:rsidR="00E9001E">
        <w:rPr>
          <w:lang w:val="en-US"/>
        </w:rPr>
        <w:t>(</w:t>
      </w:r>
      <w:r w:rsidR="006C1046" w:rsidRPr="006C1046">
        <w:rPr>
          <w:lang w:val="en-US"/>
        </w:rPr>
        <w:t>pages 16-18</w:t>
      </w:r>
      <w:r w:rsidR="00E9001E">
        <w:rPr>
          <w:lang w:val="en-US"/>
        </w:rPr>
        <w:t>)</w:t>
      </w:r>
      <w:r w:rsidR="006C1046" w:rsidRPr="006C1046">
        <w:rPr>
          <w:lang w:val="en-US"/>
        </w:rPr>
        <w:t xml:space="preserve"> or the </w:t>
      </w:r>
      <w:hyperlink r:id="rId6" w:history="1">
        <w:r w:rsidR="006C1046" w:rsidRPr="00E9001E">
          <w:rPr>
            <w:rStyle w:val="Hyperlink"/>
            <w:lang w:val="en-US"/>
          </w:rPr>
          <w:t>EBU report on Access Services and PSM 2025</w:t>
        </w:r>
      </w:hyperlink>
      <w:r w:rsidR="006C1046" w:rsidRPr="006C1046">
        <w:rPr>
          <w:lang w:val="en-US"/>
        </w:rPr>
        <w:t xml:space="preserve"> at page 26.</w:t>
      </w:r>
    </w:p>
  </w:footnote>
  <w:footnote w:id="11">
    <w:p w14:paraId="1BA707AE" w14:textId="2D967220" w:rsidR="00473C01" w:rsidRDefault="00473C01">
      <w:pPr>
        <w:pStyle w:val="FootnoteText"/>
      </w:pPr>
      <w:r>
        <w:rPr>
          <w:rStyle w:val="FootnoteReference"/>
        </w:rPr>
        <w:footnoteRef/>
      </w:r>
      <w:r>
        <w:t xml:space="preserve"> Articl</w:t>
      </w:r>
      <w:r w:rsidR="008375CB">
        <w:t>e 47</w:t>
      </w:r>
      <w:r w:rsidR="00485C12">
        <w:t xml:space="preserve"> </w:t>
      </w:r>
      <w:r w:rsidR="008375CB">
        <w:t xml:space="preserve">of the DSA encourages the use of accessibility codes of conduct, but they are not mandatory. </w:t>
      </w:r>
    </w:p>
  </w:footnote>
  <w:footnote w:id="12">
    <w:p w14:paraId="7CCFD49F" w14:textId="7419F55C" w:rsidR="00D440D4" w:rsidRDefault="00D440D4">
      <w:pPr>
        <w:pStyle w:val="FootnoteText"/>
      </w:pPr>
      <w:r>
        <w:rPr>
          <w:rStyle w:val="FootnoteReference"/>
        </w:rPr>
        <w:footnoteRef/>
      </w:r>
      <w:r>
        <w:t xml:space="preserve"> Not requiring the user to activate them, as it is currently the case in some social media platforms. </w:t>
      </w:r>
    </w:p>
  </w:footnote>
  <w:footnote w:id="13">
    <w:p w14:paraId="2E6872A3" w14:textId="77777777" w:rsidR="00304E96" w:rsidRDefault="00304E96" w:rsidP="00304E96">
      <w:pPr>
        <w:pStyle w:val="FootnoteText"/>
      </w:pPr>
      <w:r>
        <w:rPr>
          <w:rStyle w:val="FootnoteReference"/>
        </w:rPr>
        <w:footnoteRef/>
      </w:r>
      <w:r>
        <w:t xml:space="preserve"> For more information check </w:t>
      </w:r>
      <w:hyperlink r:id="rId7" w:history="1">
        <w:r w:rsidRPr="00EC1753">
          <w:rPr>
            <w:rStyle w:val="Hyperlink"/>
          </w:rPr>
          <w:t>Inclusion Europe’s standards on easy to read</w:t>
        </w:r>
      </w:hyperlink>
      <w:r>
        <w:t xml:space="preserve">. </w:t>
      </w:r>
    </w:p>
  </w:footnote>
  <w:footnote w:id="14">
    <w:p w14:paraId="780294BA" w14:textId="77777777" w:rsidR="00304E96" w:rsidRDefault="00304E96" w:rsidP="00304E96">
      <w:pPr>
        <w:pStyle w:val="FootnoteText"/>
      </w:pPr>
      <w:r>
        <w:rPr>
          <w:rStyle w:val="FootnoteReference"/>
        </w:rPr>
        <w:footnoteRef/>
      </w:r>
      <w:r>
        <w:t xml:space="preserve"> For more information check </w:t>
      </w:r>
      <w:hyperlink r:id="rId8" w:history="1">
        <w:r w:rsidRPr="00961088">
          <w:rPr>
            <w:rStyle w:val="Hyperlink"/>
          </w:rPr>
          <w:t>Austria’s transposition fiche</w:t>
        </w:r>
      </w:hyperlink>
      <w:r>
        <w:t xml:space="preserve"> prepared by the European Audiovisual Observatory. </w:t>
      </w:r>
    </w:p>
  </w:footnote>
  <w:footnote w:id="15">
    <w:p w14:paraId="125BDFD7" w14:textId="51644AB5" w:rsidR="002F0D79" w:rsidRDefault="002F0D79">
      <w:pPr>
        <w:pStyle w:val="FootnoteText"/>
      </w:pPr>
      <w:r>
        <w:rPr>
          <w:rStyle w:val="FootnoteReference"/>
        </w:rPr>
        <w:footnoteRef/>
      </w:r>
      <w:r>
        <w:t xml:space="preserve"> See page 25. </w:t>
      </w:r>
    </w:p>
  </w:footnote>
  <w:footnote w:id="16">
    <w:p w14:paraId="081F2318" w14:textId="77777777" w:rsidR="00090D66" w:rsidRDefault="00090D66" w:rsidP="00090D66">
      <w:pPr>
        <w:pStyle w:val="FootnoteText"/>
      </w:pPr>
      <w:r>
        <w:rPr>
          <w:rStyle w:val="FootnoteReference"/>
        </w:rPr>
        <w:footnoteRef/>
      </w:r>
      <w:r>
        <w:t xml:space="preserve"> Access services should be provided live at the same time as the general audience not at a later stage. </w:t>
      </w:r>
    </w:p>
  </w:footnote>
  <w:footnote w:id="17">
    <w:p w14:paraId="489E37C6" w14:textId="7AC878B9" w:rsidR="00E01F9B" w:rsidRDefault="00E01F9B">
      <w:pPr>
        <w:pStyle w:val="FootnoteText"/>
      </w:pPr>
      <w:r>
        <w:rPr>
          <w:rStyle w:val="FootnoteReference"/>
        </w:rPr>
        <w:footnoteRef/>
      </w:r>
      <w:r>
        <w:t xml:space="preserve"> See page 20. </w:t>
      </w:r>
    </w:p>
  </w:footnote>
  <w:footnote w:id="18">
    <w:p w14:paraId="580DCC95" w14:textId="0B19277D" w:rsidR="003F609E" w:rsidRDefault="003F609E">
      <w:pPr>
        <w:pStyle w:val="FootnoteText"/>
      </w:pPr>
      <w:r>
        <w:rPr>
          <w:rStyle w:val="FootnoteReference"/>
        </w:rPr>
        <w:footnoteRef/>
      </w:r>
      <w:r>
        <w:t xml:space="preserve"> </w:t>
      </w:r>
      <w:r w:rsidR="00E01F9B">
        <w:t xml:space="preserve">See page </w:t>
      </w:r>
      <w:r w:rsidR="00230CCB">
        <w:t>23 of the</w:t>
      </w:r>
      <w:r>
        <w:t xml:space="preserve"> </w:t>
      </w:r>
      <w:hyperlink r:id="rId9" w:history="1">
        <w:r w:rsidRPr="00230CCB">
          <w:rPr>
            <w:rStyle w:val="Hyperlink"/>
          </w:rPr>
          <w:t xml:space="preserve">Audiovisual </w:t>
        </w:r>
        <w:r w:rsidR="0097520D" w:rsidRPr="00230CCB">
          <w:rPr>
            <w:rStyle w:val="Hyperlink"/>
          </w:rPr>
          <w:t>Media Observatory Report.</w:t>
        </w:r>
      </w:hyperlink>
      <w:r w:rsidR="0097520D">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BC1414"/>
    <w:multiLevelType w:val="hybridMultilevel"/>
    <w:tmpl w:val="BE44B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1820F8"/>
    <w:multiLevelType w:val="hybridMultilevel"/>
    <w:tmpl w:val="DEC01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40445"/>
    <w:multiLevelType w:val="hybridMultilevel"/>
    <w:tmpl w:val="E548928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4" w15:restartNumberingAfterBreak="0">
    <w:nsid w:val="2B756BC4"/>
    <w:multiLevelType w:val="hybridMultilevel"/>
    <w:tmpl w:val="FD8C90CE"/>
    <w:lvl w:ilvl="0" w:tplc="33A6D65A">
      <w:start w:val="1"/>
      <w:numFmt w:val="bullet"/>
      <w:lvlText w:val=""/>
      <w:lvlJc w:val="left"/>
      <w:pPr>
        <w:ind w:left="78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E6A39"/>
    <w:multiLevelType w:val="hybridMultilevel"/>
    <w:tmpl w:val="0C34782A"/>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4D41BD"/>
    <w:multiLevelType w:val="hybridMultilevel"/>
    <w:tmpl w:val="5C06B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264047"/>
    <w:multiLevelType w:val="hybridMultilevel"/>
    <w:tmpl w:val="69FAF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4A3CA1"/>
    <w:multiLevelType w:val="hybridMultilevel"/>
    <w:tmpl w:val="75C8F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6E576F"/>
    <w:multiLevelType w:val="hybridMultilevel"/>
    <w:tmpl w:val="18606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3E4694"/>
    <w:multiLevelType w:val="hybridMultilevel"/>
    <w:tmpl w:val="DCA4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0F498D"/>
    <w:multiLevelType w:val="hybridMultilevel"/>
    <w:tmpl w:val="054C9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EA103C"/>
    <w:multiLevelType w:val="hybridMultilevel"/>
    <w:tmpl w:val="AADC3AC0"/>
    <w:lvl w:ilvl="0" w:tplc="33A6D65A">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3" w15:restartNumberingAfterBreak="0">
    <w:nsid w:val="5D9F562E"/>
    <w:multiLevelType w:val="hybridMultilevel"/>
    <w:tmpl w:val="E22E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F338FC"/>
    <w:multiLevelType w:val="hybridMultilevel"/>
    <w:tmpl w:val="B8F65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9225297">
    <w:abstractNumId w:val="0"/>
  </w:num>
  <w:num w:numId="2" w16cid:durableId="1930964089">
    <w:abstractNumId w:val="14"/>
  </w:num>
  <w:num w:numId="3" w16cid:durableId="310447129">
    <w:abstractNumId w:val="11"/>
  </w:num>
  <w:num w:numId="4" w16cid:durableId="804394650">
    <w:abstractNumId w:val="6"/>
  </w:num>
  <w:num w:numId="5" w16cid:durableId="774253852">
    <w:abstractNumId w:val="7"/>
  </w:num>
  <w:num w:numId="6" w16cid:durableId="1209148258">
    <w:abstractNumId w:val="3"/>
  </w:num>
  <w:num w:numId="7" w16cid:durableId="1200585564">
    <w:abstractNumId w:val="9"/>
  </w:num>
  <w:num w:numId="8" w16cid:durableId="1075783614">
    <w:abstractNumId w:val="13"/>
  </w:num>
  <w:num w:numId="9" w16cid:durableId="1896115832">
    <w:abstractNumId w:val="8"/>
  </w:num>
  <w:num w:numId="10" w16cid:durableId="523442589">
    <w:abstractNumId w:val="10"/>
  </w:num>
  <w:num w:numId="11" w16cid:durableId="136148506">
    <w:abstractNumId w:val="1"/>
  </w:num>
  <w:num w:numId="12" w16cid:durableId="773017153">
    <w:abstractNumId w:val="12"/>
  </w:num>
  <w:num w:numId="13" w16cid:durableId="1475830931">
    <w:abstractNumId w:val="4"/>
  </w:num>
  <w:num w:numId="14" w16cid:durableId="872497875">
    <w:abstractNumId w:val="5"/>
  </w:num>
  <w:num w:numId="15" w16cid:durableId="369500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5"/>
    <w:rsid w:val="0001051B"/>
    <w:rsid w:val="0001193D"/>
    <w:rsid w:val="00014144"/>
    <w:rsid w:val="000178BE"/>
    <w:rsid w:val="00021039"/>
    <w:rsid w:val="00046BFC"/>
    <w:rsid w:val="00054D5A"/>
    <w:rsid w:val="00060B4B"/>
    <w:rsid w:val="00066AB5"/>
    <w:rsid w:val="00075A98"/>
    <w:rsid w:val="0008516E"/>
    <w:rsid w:val="00090D66"/>
    <w:rsid w:val="00093414"/>
    <w:rsid w:val="000B3347"/>
    <w:rsid w:val="000B6837"/>
    <w:rsid w:val="000C4B6C"/>
    <w:rsid w:val="000D0478"/>
    <w:rsid w:val="000D26FF"/>
    <w:rsid w:val="000D37E5"/>
    <w:rsid w:val="000D5C25"/>
    <w:rsid w:val="000E23EF"/>
    <w:rsid w:val="000F1AE1"/>
    <w:rsid w:val="000F259E"/>
    <w:rsid w:val="000F2D4B"/>
    <w:rsid w:val="000F7F22"/>
    <w:rsid w:val="0010023C"/>
    <w:rsid w:val="0010079F"/>
    <w:rsid w:val="00110D86"/>
    <w:rsid w:val="0011621C"/>
    <w:rsid w:val="0014088A"/>
    <w:rsid w:val="00150A95"/>
    <w:rsid w:val="001523FB"/>
    <w:rsid w:val="001575E6"/>
    <w:rsid w:val="001602D8"/>
    <w:rsid w:val="00162396"/>
    <w:rsid w:val="001630BB"/>
    <w:rsid w:val="00165FD8"/>
    <w:rsid w:val="0017332A"/>
    <w:rsid w:val="00175E3A"/>
    <w:rsid w:val="00177CB6"/>
    <w:rsid w:val="00177E5D"/>
    <w:rsid w:val="0018380B"/>
    <w:rsid w:val="0018415E"/>
    <w:rsid w:val="00187E62"/>
    <w:rsid w:val="00196787"/>
    <w:rsid w:val="001A46D8"/>
    <w:rsid w:val="001B4839"/>
    <w:rsid w:val="001B5C62"/>
    <w:rsid w:val="001C4CF9"/>
    <w:rsid w:val="001D0E9F"/>
    <w:rsid w:val="001D2C01"/>
    <w:rsid w:val="001D2D03"/>
    <w:rsid w:val="001D3D70"/>
    <w:rsid w:val="001D719C"/>
    <w:rsid w:val="001D7A7E"/>
    <w:rsid w:val="001E0F08"/>
    <w:rsid w:val="001E6FAD"/>
    <w:rsid w:val="001E7394"/>
    <w:rsid w:val="001E7CC9"/>
    <w:rsid w:val="001F0B4A"/>
    <w:rsid w:val="00221B02"/>
    <w:rsid w:val="0022751E"/>
    <w:rsid w:val="00230CCB"/>
    <w:rsid w:val="002423A2"/>
    <w:rsid w:val="00242937"/>
    <w:rsid w:val="00244F97"/>
    <w:rsid w:val="00251A60"/>
    <w:rsid w:val="00253E24"/>
    <w:rsid w:val="002609AE"/>
    <w:rsid w:val="00261B6C"/>
    <w:rsid w:val="00273340"/>
    <w:rsid w:val="00282B80"/>
    <w:rsid w:val="00285C8D"/>
    <w:rsid w:val="002B2A20"/>
    <w:rsid w:val="002B3E46"/>
    <w:rsid w:val="002B7989"/>
    <w:rsid w:val="002C00AD"/>
    <w:rsid w:val="002C111A"/>
    <w:rsid w:val="002C6F78"/>
    <w:rsid w:val="002D1883"/>
    <w:rsid w:val="002D45C0"/>
    <w:rsid w:val="002D602B"/>
    <w:rsid w:val="002D6CBD"/>
    <w:rsid w:val="002F0D79"/>
    <w:rsid w:val="002F144C"/>
    <w:rsid w:val="002F521D"/>
    <w:rsid w:val="00304E96"/>
    <w:rsid w:val="00306E96"/>
    <w:rsid w:val="003113CD"/>
    <w:rsid w:val="00315BE5"/>
    <w:rsid w:val="00321C85"/>
    <w:rsid w:val="003226A7"/>
    <w:rsid w:val="00326E00"/>
    <w:rsid w:val="003322EB"/>
    <w:rsid w:val="00333D97"/>
    <w:rsid w:val="00335ECA"/>
    <w:rsid w:val="003474F0"/>
    <w:rsid w:val="00350EED"/>
    <w:rsid w:val="00355289"/>
    <w:rsid w:val="00357BB4"/>
    <w:rsid w:val="00362B0A"/>
    <w:rsid w:val="00362EA5"/>
    <w:rsid w:val="0036702A"/>
    <w:rsid w:val="00383BD6"/>
    <w:rsid w:val="00387C9A"/>
    <w:rsid w:val="00395382"/>
    <w:rsid w:val="003A0FC5"/>
    <w:rsid w:val="003A4078"/>
    <w:rsid w:val="003B0FC9"/>
    <w:rsid w:val="003B4481"/>
    <w:rsid w:val="003C33B1"/>
    <w:rsid w:val="003C5511"/>
    <w:rsid w:val="003C78D1"/>
    <w:rsid w:val="003D1BF3"/>
    <w:rsid w:val="003D2D37"/>
    <w:rsid w:val="003D6143"/>
    <w:rsid w:val="003F196C"/>
    <w:rsid w:val="003F4119"/>
    <w:rsid w:val="003F577E"/>
    <w:rsid w:val="003F609E"/>
    <w:rsid w:val="004000BB"/>
    <w:rsid w:val="00404826"/>
    <w:rsid w:val="00410B24"/>
    <w:rsid w:val="004115FA"/>
    <w:rsid w:val="004136FE"/>
    <w:rsid w:val="0042102E"/>
    <w:rsid w:val="00422491"/>
    <w:rsid w:val="00427DEC"/>
    <w:rsid w:val="00440069"/>
    <w:rsid w:val="00440FA2"/>
    <w:rsid w:val="004445AA"/>
    <w:rsid w:val="00453305"/>
    <w:rsid w:val="004572E9"/>
    <w:rsid w:val="0045786C"/>
    <w:rsid w:val="00462283"/>
    <w:rsid w:val="004626EA"/>
    <w:rsid w:val="00473C01"/>
    <w:rsid w:val="00476AEA"/>
    <w:rsid w:val="00481F60"/>
    <w:rsid w:val="00484EDC"/>
    <w:rsid w:val="00485C12"/>
    <w:rsid w:val="00490979"/>
    <w:rsid w:val="0049295E"/>
    <w:rsid w:val="00492EB5"/>
    <w:rsid w:val="004A21F1"/>
    <w:rsid w:val="004A2E3D"/>
    <w:rsid w:val="004B095C"/>
    <w:rsid w:val="004E0C44"/>
    <w:rsid w:val="004F607F"/>
    <w:rsid w:val="00503FD1"/>
    <w:rsid w:val="005169C0"/>
    <w:rsid w:val="005170F2"/>
    <w:rsid w:val="00521F4D"/>
    <w:rsid w:val="00537900"/>
    <w:rsid w:val="00541EBA"/>
    <w:rsid w:val="005479C9"/>
    <w:rsid w:val="00551231"/>
    <w:rsid w:val="00556251"/>
    <w:rsid w:val="00564DE7"/>
    <w:rsid w:val="00565A04"/>
    <w:rsid w:val="00565A72"/>
    <w:rsid w:val="005663C0"/>
    <w:rsid w:val="005670FA"/>
    <w:rsid w:val="00570D4D"/>
    <w:rsid w:val="00573E19"/>
    <w:rsid w:val="00577285"/>
    <w:rsid w:val="00577B8B"/>
    <w:rsid w:val="00581AA7"/>
    <w:rsid w:val="00592DE1"/>
    <w:rsid w:val="005B00A9"/>
    <w:rsid w:val="005B01F0"/>
    <w:rsid w:val="005B266E"/>
    <w:rsid w:val="005B688B"/>
    <w:rsid w:val="005C09EF"/>
    <w:rsid w:val="005D01FD"/>
    <w:rsid w:val="005D2D41"/>
    <w:rsid w:val="005D414D"/>
    <w:rsid w:val="005E049D"/>
    <w:rsid w:val="005E6217"/>
    <w:rsid w:val="005F7332"/>
    <w:rsid w:val="006034AD"/>
    <w:rsid w:val="0060543F"/>
    <w:rsid w:val="00606390"/>
    <w:rsid w:val="0061214C"/>
    <w:rsid w:val="00614CF8"/>
    <w:rsid w:val="006209A8"/>
    <w:rsid w:val="0062415C"/>
    <w:rsid w:val="00625C84"/>
    <w:rsid w:val="006417A0"/>
    <w:rsid w:val="00645CD3"/>
    <w:rsid w:val="00665B58"/>
    <w:rsid w:val="006917A6"/>
    <w:rsid w:val="00692016"/>
    <w:rsid w:val="00694025"/>
    <w:rsid w:val="006A3957"/>
    <w:rsid w:val="006A6BD9"/>
    <w:rsid w:val="006B5D4A"/>
    <w:rsid w:val="006C1046"/>
    <w:rsid w:val="006C1A26"/>
    <w:rsid w:val="006D0B23"/>
    <w:rsid w:val="006E1063"/>
    <w:rsid w:val="006E192E"/>
    <w:rsid w:val="006E4142"/>
    <w:rsid w:val="006E4BF9"/>
    <w:rsid w:val="006E575F"/>
    <w:rsid w:val="006F2BD1"/>
    <w:rsid w:val="00702D58"/>
    <w:rsid w:val="00711466"/>
    <w:rsid w:val="0071279E"/>
    <w:rsid w:val="00715878"/>
    <w:rsid w:val="00716BFC"/>
    <w:rsid w:val="00734CD5"/>
    <w:rsid w:val="00737E93"/>
    <w:rsid w:val="0074520E"/>
    <w:rsid w:val="00745339"/>
    <w:rsid w:val="00752CE3"/>
    <w:rsid w:val="00763762"/>
    <w:rsid w:val="00765487"/>
    <w:rsid w:val="00766C92"/>
    <w:rsid w:val="00770B93"/>
    <w:rsid w:val="0077275F"/>
    <w:rsid w:val="00777658"/>
    <w:rsid w:val="007917CF"/>
    <w:rsid w:val="007919A3"/>
    <w:rsid w:val="00795652"/>
    <w:rsid w:val="00796221"/>
    <w:rsid w:val="007968C5"/>
    <w:rsid w:val="007A119F"/>
    <w:rsid w:val="007A3CE7"/>
    <w:rsid w:val="007A422E"/>
    <w:rsid w:val="007A746B"/>
    <w:rsid w:val="007C7A03"/>
    <w:rsid w:val="007C7CD3"/>
    <w:rsid w:val="007E25B6"/>
    <w:rsid w:val="007E5313"/>
    <w:rsid w:val="007E5F1A"/>
    <w:rsid w:val="00800917"/>
    <w:rsid w:val="00801AAC"/>
    <w:rsid w:val="008045B1"/>
    <w:rsid w:val="00804752"/>
    <w:rsid w:val="008054A7"/>
    <w:rsid w:val="008056D0"/>
    <w:rsid w:val="0080625B"/>
    <w:rsid w:val="008065A5"/>
    <w:rsid w:val="00810483"/>
    <w:rsid w:val="0081270B"/>
    <w:rsid w:val="008177A6"/>
    <w:rsid w:val="008305F0"/>
    <w:rsid w:val="008306D7"/>
    <w:rsid w:val="00831659"/>
    <w:rsid w:val="00831B10"/>
    <w:rsid w:val="00834BAB"/>
    <w:rsid w:val="008375CB"/>
    <w:rsid w:val="00841F37"/>
    <w:rsid w:val="00842E07"/>
    <w:rsid w:val="00845871"/>
    <w:rsid w:val="008477F8"/>
    <w:rsid w:val="0086051A"/>
    <w:rsid w:val="008701F4"/>
    <w:rsid w:val="0089129C"/>
    <w:rsid w:val="00896130"/>
    <w:rsid w:val="00897D0F"/>
    <w:rsid w:val="008B61B0"/>
    <w:rsid w:val="008B6E87"/>
    <w:rsid w:val="008D0C2E"/>
    <w:rsid w:val="008D56EB"/>
    <w:rsid w:val="008D5715"/>
    <w:rsid w:val="008D7A5C"/>
    <w:rsid w:val="008E1D06"/>
    <w:rsid w:val="008F220A"/>
    <w:rsid w:val="0090337D"/>
    <w:rsid w:val="00903B8B"/>
    <w:rsid w:val="009104CC"/>
    <w:rsid w:val="00912B69"/>
    <w:rsid w:val="009231E0"/>
    <w:rsid w:val="009277BC"/>
    <w:rsid w:val="009314DF"/>
    <w:rsid w:val="009410EA"/>
    <w:rsid w:val="00941127"/>
    <w:rsid w:val="00951CF9"/>
    <w:rsid w:val="0095684E"/>
    <w:rsid w:val="009618C8"/>
    <w:rsid w:val="0097247B"/>
    <w:rsid w:val="0097331C"/>
    <w:rsid w:val="00974A9E"/>
    <w:rsid w:val="0097520D"/>
    <w:rsid w:val="00985CFB"/>
    <w:rsid w:val="00987AD9"/>
    <w:rsid w:val="009952CB"/>
    <w:rsid w:val="00995FD8"/>
    <w:rsid w:val="00997C75"/>
    <w:rsid w:val="009A0B18"/>
    <w:rsid w:val="009A23BE"/>
    <w:rsid w:val="009C2868"/>
    <w:rsid w:val="009D7960"/>
    <w:rsid w:val="00A00A38"/>
    <w:rsid w:val="00A0113C"/>
    <w:rsid w:val="00A0378F"/>
    <w:rsid w:val="00A04CF9"/>
    <w:rsid w:val="00A075BF"/>
    <w:rsid w:val="00A144A3"/>
    <w:rsid w:val="00A14FE2"/>
    <w:rsid w:val="00A20EF9"/>
    <w:rsid w:val="00A24D5C"/>
    <w:rsid w:val="00A26760"/>
    <w:rsid w:val="00A312F3"/>
    <w:rsid w:val="00A32803"/>
    <w:rsid w:val="00A42DB3"/>
    <w:rsid w:val="00A45EE6"/>
    <w:rsid w:val="00A47111"/>
    <w:rsid w:val="00A521EE"/>
    <w:rsid w:val="00A60348"/>
    <w:rsid w:val="00A6664C"/>
    <w:rsid w:val="00A75F8A"/>
    <w:rsid w:val="00A808A6"/>
    <w:rsid w:val="00A909EB"/>
    <w:rsid w:val="00A91C5F"/>
    <w:rsid w:val="00A94E4E"/>
    <w:rsid w:val="00A9576D"/>
    <w:rsid w:val="00A96F0C"/>
    <w:rsid w:val="00AA74D1"/>
    <w:rsid w:val="00AB4F5B"/>
    <w:rsid w:val="00AC0F1E"/>
    <w:rsid w:val="00AD292E"/>
    <w:rsid w:val="00AD3127"/>
    <w:rsid w:val="00AD55B8"/>
    <w:rsid w:val="00AE1075"/>
    <w:rsid w:val="00AE17B0"/>
    <w:rsid w:val="00B03DA9"/>
    <w:rsid w:val="00B135A2"/>
    <w:rsid w:val="00B20342"/>
    <w:rsid w:val="00B220B8"/>
    <w:rsid w:val="00B22E21"/>
    <w:rsid w:val="00B22F14"/>
    <w:rsid w:val="00B2409E"/>
    <w:rsid w:val="00B30927"/>
    <w:rsid w:val="00B32386"/>
    <w:rsid w:val="00B36BDE"/>
    <w:rsid w:val="00B40CC2"/>
    <w:rsid w:val="00B50FCE"/>
    <w:rsid w:val="00B515CD"/>
    <w:rsid w:val="00B55B4D"/>
    <w:rsid w:val="00B579BD"/>
    <w:rsid w:val="00B616D7"/>
    <w:rsid w:val="00B6211A"/>
    <w:rsid w:val="00B63E8B"/>
    <w:rsid w:val="00B65157"/>
    <w:rsid w:val="00B76FA3"/>
    <w:rsid w:val="00B82A77"/>
    <w:rsid w:val="00B852A4"/>
    <w:rsid w:val="00B85407"/>
    <w:rsid w:val="00B854B9"/>
    <w:rsid w:val="00B93B7F"/>
    <w:rsid w:val="00B94230"/>
    <w:rsid w:val="00B95801"/>
    <w:rsid w:val="00BA6E7F"/>
    <w:rsid w:val="00BC20E3"/>
    <w:rsid w:val="00BD13AB"/>
    <w:rsid w:val="00BD1BB1"/>
    <w:rsid w:val="00BD25E1"/>
    <w:rsid w:val="00BD2EA0"/>
    <w:rsid w:val="00BD636B"/>
    <w:rsid w:val="00BD716B"/>
    <w:rsid w:val="00BE55F5"/>
    <w:rsid w:val="00BE74BC"/>
    <w:rsid w:val="00BF1823"/>
    <w:rsid w:val="00BF2564"/>
    <w:rsid w:val="00C015F8"/>
    <w:rsid w:val="00C1520F"/>
    <w:rsid w:val="00C349A4"/>
    <w:rsid w:val="00C41F83"/>
    <w:rsid w:val="00C54A52"/>
    <w:rsid w:val="00C70BEB"/>
    <w:rsid w:val="00C7280F"/>
    <w:rsid w:val="00C82D98"/>
    <w:rsid w:val="00C84128"/>
    <w:rsid w:val="00CB6F4A"/>
    <w:rsid w:val="00CB7E85"/>
    <w:rsid w:val="00CC19C2"/>
    <w:rsid w:val="00CC5911"/>
    <w:rsid w:val="00CD10F3"/>
    <w:rsid w:val="00CD2825"/>
    <w:rsid w:val="00CD2AD8"/>
    <w:rsid w:val="00CD5C83"/>
    <w:rsid w:val="00CE55A6"/>
    <w:rsid w:val="00CF3B4C"/>
    <w:rsid w:val="00CF708D"/>
    <w:rsid w:val="00D06CD7"/>
    <w:rsid w:val="00D11DAB"/>
    <w:rsid w:val="00D30B5F"/>
    <w:rsid w:val="00D30F0B"/>
    <w:rsid w:val="00D40D08"/>
    <w:rsid w:val="00D435CE"/>
    <w:rsid w:val="00D440D4"/>
    <w:rsid w:val="00D4520F"/>
    <w:rsid w:val="00D465BC"/>
    <w:rsid w:val="00D46F80"/>
    <w:rsid w:val="00D5058A"/>
    <w:rsid w:val="00D50C79"/>
    <w:rsid w:val="00D5370C"/>
    <w:rsid w:val="00D5709F"/>
    <w:rsid w:val="00D62185"/>
    <w:rsid w:val="00D6626E"/>
    <w:rsid w:val="00D71C17"/>
    <w:rsid w:val="00D75F49"/>
    <w:rsid w:val="00D9108F"/>
    <w:rsid w:val="00D91D4D"/>
    <w:rsid w:val="00D925C4"/>
    <w:rsid w:val="00D96E98"/>
    <w:rsid w:val="00D97AC5"/>
    <w:rsid w:val="00DA0293"/>
    <w:rsid w:val="00DA2335"/>
    <w:rsid w:val="00DA682D"/>
    <w:rsid w:val="00DA7142"/>
    <w:rsid w:val="00DB136B"/>
    <w:rsid w:val="00DB1494"/>
    <w:rsid w:val="00DB1EEE"/>
    <w:rsid w:val="00DB6F31"/>
    <w:rsid w:val="00DC002A"/>
    <w:rsid w:val="00DD1B8B"/>
    <w:rsid w:val="00DF0925"/>
    <w:rsid w:val="00DF189C"/>
    <w:rsid w:val="00E01F9B"/>
    <w:rsid w:val="00E06E7F"/>
    <w:rsid w:val="00E10353"/>
    <w:rsid w:val="00E20554"/>
    <w:rsid w:val="00E2374E"/>
    <w:rsid w:val="00E32AB0"/>
    <w:rsid w:val="00E3612F"/>
    <w:rsid w:val="00E41423"/>
    <w:rsid w:val="00E415B1"/>
    <w:rsid w:val="00E43B93"/>
    <w:rsid w:val="00E47FF5"/>
    <w:rsid w:val="00E536C5"/>
    <w:rsid w:val="00E574D5"/>
    <w:rsid w:val="00E62CBF"/>
    <w:rsid w:val="00E6780A"/>
    <w:rsid w:val="00E67A23"/>
    <w:rsid w:val="00E67AE7"/>
    <w:rsid w:val="00E74858"/>
    <w:rsid w:val="00E801AF"/>
    <w:rsid w:val="00E80BBC"/>
    <w:rsid w:val="00E84BA0"/>
    <w:rsid w:val="00E9001E"/>
    <w:rsid w:val="00E911D0"/>
    <w:rsid w:val="00E918B6"/>
    <w:rsid w:val="00EA0706"/>
    <w:rsid w:val="00EB7570"/>
    <w:rsid w:val="00EC0A70"/>
    <w:rsid w:val="00EC1753"/>
    <w:rsid w:val="00EC3D97"/>
    <w:rsid w:val="00EC688E"/>
    <w:rsid w:val="00EC7488"/>
    <w:rsid w:val="00ED1178"/>
    <w:rsid w:val="00EE3082"/>
    <w:rsid w:val="00EE5174"/>
    <w:rsid w:val="00EE605B"/>
    <w:rsid w:val="00EF079C"/>
    <w:rsid w:val="00F00B7C"/>
    <w:rsid w:val="00F02AD9"/>
    <w:rsid w:val="00F053F8"/>
    <w:rsid w:val="00F23179"/>
    <w:rsid w:val="00F33934"/>
    <w:rsid w:val="00F34A74"/>
    <w:rsid w:val="00F36226"/>
    <w:rsid w:val="00F43F0B"/>
    <w:rsid w:val="00F5051D"/>
    <w:rsid w:val="00F567D2"/>
    <w:rsid w:val="00F6015F"/>
    <w:rsid w:val="00F6228C"/>
    <w:rsid w:val="00F6417D"/>
    <w:rsid w:val="00F7162A"/>
    <w:rsid w:val="00F77275"/>
    <w:rsid w:val="00F83562"/>
    <w:rsid w:val="00F92C09"/>
    <w:rsid w:val="00FA64AD"/>
    <w:rsid w:val="00FA74B3"/>
    <w:rsid w:val="00FC07A2"/>
    <w:rsid w:val="00FC3A10"/>
    <w:rsid w:val="00FC3C3A"/>
    <w:rsid w:val="00FC3E51"/>
    <w:rsid w:val="00FC52AF"/>
    <w:rsid w:val="00FE0472"/>
    <w:rsid w:val="00FF3D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0"/>
    <w:rPr>
      <w:rFonts w:ascii="Verdana" w:hAnsi="Verdana"/>
      <w:sz w:val="24"/>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D0B23"/>
    <w:pPr>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character" w:styleId="CommentReference">
    <w:name w:val="annotation reference"/>
    <w:basedOn w:val="DefaultParagraphFont"/>
    <w:uiPriority w:val="99"/>
    <w:semiHidden/>
    <w:unhideWhenUsed/>
    <w:rsid w:val="001D0E9F"/>
    <w:rPr>
      <w:sz w:val="16"/>
      <w:szCs w:val="16"/>
    </w:rPr>
  </w:style>
  <w:style w:type="paragraph" w:styleId="CommentText">
    <w:name w:val="annotation text"/>
    <w:basedOn w:val="Normal"/>
    <w:link w:val="CommentTextChar"/>
    <w:uiPriority w:val="99"/>
    <w:unhideWhenUsed/>
    <w:rsid w:val="001D0E9F"/>
    <w:pPr>
      <w:spacing w:line="240" w:lineRule="auto"/>
    </w:pPr>
    <w:rPr>
      <w:sz w:val="20"/>
      <w:szCs w:val="20"/>
    </w:rPr>
  </w:style>
  <w:style w:type="character" w:customStyle="1" w:styleId="CommentTextChar">
    <w:name w:val="Comment Text Char"/>
    <w:basedOn w:val="DefaultParagraphFont"/>
    <w:link w:val="CommentText"/>
    <w:uiPriority w:val="99"/>
    <w:rsid w:val="001D0E9F"/>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1D0E9F"/>
    <w:rPr>
      <w:b/>
      <w:bCs/>
    </w:rPr>
  </w:style>
  <w:style w:type="character" w:customStyle="1" w:styleId="CommentSubjectChar">
    <w:name w:val="Comment Subject Char"/>
    <w:basedOn w:val="CommentTextChar"/>
    <w:link w:val="CommentSubject"/>
    <w:uiPriority w:val="99"/>
    <w:semiHidden/>
    <w:rsid w:val="001D0E9F"/>
    <w:rPr>
      <w:rFonts w:ascii="Verdana" w:hAnsi="Verdana"/>
      <w:b/>
      <w:bCs/>
      <w:sz w:val="20"/>
      <w:szCs w:val="20"/>
    </w:rPr>
  </w:style>
  <w:style w:type="paragraph" w:styleId="FootnoteText">
    <w:name w:val="footnote text"/>
    <w:basedOn w:val="Normal"/>
    <w:link w:val="FootnoteTextChar"/>
    <w:uiPriority w:val="99"/>
    <w:unhideWhenUsed/>
    <w:rsid w:val="002D6CBD"/>
    <w:pPr>
      <w:spacing w:after="0" w:line="240" w:lineRule="auto"/>
    </w:pPr>
    <w:rPr>
      <w:rFonts w:ascii="Arial" w:eastAsia="Times New Roman" w:hAnsi="Arial" w:cs="Times New Roman"/>
      <w:sz w:val="20"/>
      <w:szCs w:val="20"/>
      <w:lang w:val="en-GB"/>
    </w:rPr>
  </w:style>
  <w:style w:type="character" w:customStyle="1" w:styleId="FootnoteTextChar">
    <w:name w:val="Footnote Text Char"/>
    <w:basedOn w:val="DefaultParagraphFont"/>
    <w:link w:val="FootnoteText"/>
    <w:uiPriority w:val="99"/>
    <w:rsid w:val="002D6CBD"/>
    <w:rPr>
      <w:rFonts w:ascii="Arial" w:eastAsia="Times New Roman" w:hAnsi="Arial" w:cs="Times New Roman"/>
      <w:sz w:val="20"/>
      <w:szCs w:val="20"/>
      <w:lang w:val="en-GB"/>
    </w:rPr>
  </w:style>
  <w:style w:type="character" w:styleId="FootnoteReference">
    <w:name w:val="footnote reference"/>
    <w:uiPriority w:val="99"/>
    <w:unhideWhenUsed/>
    <w:rsid w:val="002D6CBD"/>
    <w:rPr>
      <w:vertAlign w:val="superscript"/>
    </w:rPr>
  </w:style>
  <w:style w:type="character" w:customStyle="1" w:styleId="ABulletpointChar">
    <w:name w:val="A Bullet point Char"/>
    <w:link w:val="ABulletpoint"/>
    <w:locked/>
    <w:rsid w:val="00046BFC"/>
    <w:rPr>
      <w:rFonts w:ascii="Arial" w:hAnsi="Arial" w:cs="Arial"/>
      <w:sz w:val="24"/>
      <w:szCs w:val="24"/>
    </w:rPr>
  </w:style>
  <w:style w:type="paragraph" w:customStyle="1" w:styleId="ABulletpoint">
    <w:name w:val="A Bullet point"/>
    <w:basedOn w:val="Normal"/>
    <w:link w:val="ABulletpointChar"/>
    <w:autoRedefine/>
    <w:qFormat/>
    <w:rsid w:val="00046BFC"/>
    <w:pPr>
      <w:adjustRightInd w:val="0"/>
      <w:spacing w:before="120" w:after="120" w:line="360" w:lineRule="auto"/>
      <w:ind w:right="662"/>
    </w:pPr>
    <w:rPr>
      <w:rFonts w:ascii="Arial" w:hAnsi="Arial" w:cs="Arial"/>
      <w:szCs w:val="24"/>
    </w:rPr>
  </w:style>
  <w:style w:type="paragraph" w:styleId="Revision">
    <w:name w:val="Revision"/>
    <w:hidden/>
    <w:uiPriority w:val="99"/>
    <w:semiHidden/>
    <w:rsid w:val="00A075BF"/>
    <w:pPr>
      <w:spacing w:after="0" w:line="240" w:lineRule="auto"/>
    </w:pPr>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f-feph.org/content/uploads/2023/05/Presentation-ERGA_AVMSD.pdf" TargetMode="External"/><Relationship Id="rId18" Type="http://schemas.openxmlformats.org/officeDocument/2006/relationships/hyperlink" Target="https://www.edf-feph.org/content/uploads/2023/05/Presentation-ERGA_AVMSD.pdf" TargetMode="External"/><Relationship Id="rId26" Type="http://schemas.openxmlformats.org/officeDocument/2006/relationships/hyperlink" Target="mailto:daniel.casas@edf-feph.org" TargetMode="External"/><Relationship Id="rId3" Type="http://schemas.openxmlformats.org/officeDocument/2006/relationships/customXml" Target="../customXml/item3.xml"/><Relationship Id="rId21" Type="http://schemas.openxmlformats.org/officeDocument/2006/relationships/hyperlink" Target="https://www.bbc.com/news/articles/c4gzvee78eqo"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rm.coe.int/accessibility-measures-as-implemented-by-avms-providers-for-persons-wi/1680aefb42" TargetMode="External"/><Relationship Id="rId25" Type="http://schemas.openxmlformats.org/officeDocument/2006/relationships/hyperlink" Target="https://rm.coe.int/accessibility-measures-as-implemented-by-avms-providers-for-persons-wi/1680aefb42" TargetMode="External"/><Relationship Id="rId2" Type="http://schemas.openxmlformats.org/officeDocument/2006/relationships/customXml" Target="../customXml/item2.xml"/><Relationship Id="rId16" Type="http://schemas.openxmlformats.org/officeDocument/2006/relationships/hyperlink" Target="https://docs.un.org/en/CRPD/C/EU/CO/2-3" TargetMode="External"/><Relationship Id="rId20" Type="http://schemas.openxmlformats.org/officeDocument/2006/relationships/hyperlink" Target="https://rm.coe.int/accessibility-measures-as-implemented-by-avms-providers-for-persons-wi/1680aefb4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bu.ch/publications/research/members_only/report/msp-services-dacces" TargetMode="External"/><Relationship Id="rId5" Type="http://schemas.openxmlformats.org/officeDocument/2006/relationships/numbering" Target="numbering.xml"/><Relationship Id="rId15" Type="http://schemas.openxmlformats.org/officeDocument/2006/relationships/hyperlink" Target="https://www.obs.coe.int/en/web/observatoire/-/new-mapping-report-accessibility-measures-as-implemented-by-avms-providers-for-persons-with-disabilities" TargetMode="External"/><Relationship Id="rId23" Type="http://schemas.openxmlformats.org/officeDocument/2006/relationships/hyperlink" Target="https://rm.coe.int/accessibility-measures-as-implemented-by-avms-providers-for-persons-wi/1680aefb42" TargetMode="External"/><Relationship Id="rId28" Type="http://schemas.openxmlformats.org/officeDocument/2006/relationships/hyperlink" Target="mailto:info@edf-feph.org" TargetMode="External"/><Relationship Id="rId10" Type="http://schemas.openxmlformats.org/officeDocument/2006/relationships/endnotes" Target="endnotes.xml"/><Relationship Id="rId19" Type="http://schemas.openxmlformats.org/officeDocument/2006/relationships/hyperlink" Target="https://rm.coe.int/accessibility-measures-as-implemented-by-avms-providers-for-persons-wi/1680aefb42"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strategy.ec.europa.eu/en/library/commission-report-application-audiovisual-media-services-directive" TargetMode="External"/><Relationship Id="rId22" Type="http://schemas.openxmlformats.org/officeDocument/2006/relationships/hyperlink" Target="https://www.europarl.europa.eu/news/en/press-room/20231115IPR11303/tv-still-main-source-for-news-but-social-media-is-gaining-ground" TargetMode="External"/><Relationship Id="rId27" Type="http://schemas.openxmlformats.org/officeDocument/2006/relationships/hyperlink" Target="http://www.edf-feph.org"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rm.coe.int/avmsd-transposition-info-sheet-at-/1680a4648f" TargetMode="External"/><Relationship Id="rId3" Type="http://schemas.openxmlformats.org/officeDocument/2006/relationships/hyperlink" Target="https://www.edf-feph.org/content/uploads/2023/05/Presentation-ERGA_AVMSD.pdf" TargetMode="External"/><Relationship Id="rId7" Type="http://schemas.openxmlformats.org/officeDocument/2006/relationships/hyperlink" Target="https://www.inclusion.eu/european-standards-how-to-use-easy-to-read" TargetMode="External"/><Relationship Id="rId2" Type="http://schemas.openxmlformats.org/officeDocument/2006/relationships/hyperlink" Target="https://www.dianariba.com/wp-content/uploads/2024/02/Monitoring20languages_20240125-comprimido.pdf" TargetMode="External"/><Relationship Id="rId1" Type="http://schemas.openxmlformats.org/officeDocument/2006/relationships/hyperlink" Target="https://rm.coe.int/accessibility-measures-as-implemented-by-avms-providers-for-persons-wi/1680aefb42" TargetMode="External"/><Relationship Id="rId6" Type="http://schemas.openxmlformats.org/officeDocument/2006/relationships/hyperlink" Target="https://www.ebu.ch/publications/research/members_only/report/msp-services-dacces" TargetMode="External"/><Relationship Id="rId5" Type="http://schemas.openxmlformats.org/officeDocument/2006/relationships/hyperlink" Target="https://eud.eu/wp-content/uploads/2025/12/Report-on-the-implementation-of-the-AVMS-Directive-1.pdf" TargetMode="External"/><Relationship Id="rId4" Type="http://schemas.openxmlformats.org/officeDocument/2006/relationships/hyperlink" Target="https://rm.coe.int/accessibility-measures-as-implemented-by-avms-providers-for-persons-wi/1680aefb42" TargetMode="External"/><Relationship Id="rId9" Type="http://schemas.openxmlformats.org/officeDocument/2006/relationships/hyperlink" Target="https://rm.coe.int/accessibility-measures-as-implemented-by-avms-providers-for-persons-wi/1680aefb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1109193b-fc47-4219-a883-12ef0cde86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5A93ADCB5E9954D932071C14D018D3D" ma:contentTypeVersion="13" ma:contentTypeDescription="Create a new document." ma:contentTypeScope="" ma:versionID="55cb76633e0946e17b47b9a102e91d53">
  <xsd:schema xmlns:xsd="http://www.w3.org/2001/XMLSchema" xmlns:xs="http://www.w3.org/2001/XMLSchema" xmlns:p="http://schemas.microsoft.com/office/2006/metadata/properties" xmlns:ns2="1109193b-fc47-4219-a883-12ef0cde8689" xmlns:ns3="252f4827-23ce-43c5-a232-6be14f1d3f55" targetNamespace="http://schemas.microsoft.com/office/2006/metadata/properties" ma:root="true" ma:fieldsID="f1e231b0b8105c3ae6ceb405ee5ec1dd" ns2:_="" ns3:_="">
    <xsd:import namespace="1109193b-fc47-4219-a883-12ef0cde8689"/>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9193b-fc47-4219-a883-12ef0cde8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a9a1116-0169-41de-8203-2a351fb933a2}"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ADAA8B-2874-4F74-82E3-CEBE3E6014C0}">
  <ds:schemaRefs>
    <ds:schemaRef ds:uri="http://schemas.microsoft.com/office/2006/metadata/properties"/>
    <ds:schemaRef ds:uri="http://schemas.microsoft.com/office/infopath/2007/PartnerControls"/>
    <ds:schemaRef ds:uri="252f4827-23ce-43c5-a232-6be14f1d3f55"/>
    <ds:schemaRef ds:uri="1109193b-fc47-4219-a883-12ef0cde8689"/>
  </ds:schemaRefs>
</ds:datastoreItem>
</file>

<file path=customXml/itemProps2.xml><?xml version="1.0" encoding="utf-8"?>
<ds:datastoreItem xmlns:ds="http://schemas.openxmlformats.org/officeDocument/2006/customXml" ds:itemID="{BA938D23-7E23-4BC8-8A56-CA1781DFE88A}">
  <ds:schemaRefs>
    <ds:schemaRef ds:uri="http://schemas.microsoft.com/sharepoint/v3/contenttype/forms"/>
  </ds:schemaRefs>
</ds:datastoreItem>
</file>

<file path=customXml/itemProps3.xml><?xml version="1.0" encoding="utf-8"?>
<ds:datastoreItem xmlns:ds="http://schemas.openxmlformats.org/officeDocument/2006/customXml" ds:itemID="{BBB7C1C5-DBB1-4797-876B-E470F94D8072}">
  <ds:schemaRefs>
    <ds:schemaRef ds:uri="http://schemas.openxmlformats.org/officeDocument/2006/bibliography"/>
  </ds:schemaRefs>
</ds:datastoreItem>
</file>

<file path=customXml/itemProps4.xml><?xml version="1.0" encoding="utf-8"?>
<ds:datastoreItem xmlns:ds="http://schemas.openxmlformats.org/officeDocument/2006/customXml" ds:itemID="{C73296D5-35DE-4EDB-97F5-0587F1D75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9193b-fc47-4219-a883-12ef0cde8689"/>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1409</TotalTime>
  <Pages>12</Pages>
  <Words>3081</Words>
  <Characters>17567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Daniel Casas</cp:lastModifiedBy>
  <cp:revision>372</cp:revision>
  <cp:lastPrinted>2026-04-30T14:00:00Z</cp:lastPrinted>
  <dcterms:created xsi:type="dcterms:W3CDTF">2026-03-02T10:23:00Z</dcterms:created>
  <dcterms:modified xsi:type="dcterms:W3CDTF">2026-04-30T14:00:00Z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0x01010085A93ADCB5E9954D932071C14D018D3D</vt:lpwstr>
  </property>
  <property fmtid="{D5CDD505-2E9C-101B-9397-08002B2CF9AE}" pid="3" name="MediaServiceImageTags">
    <vt:lpwstr/>
  </property>
</Properties>
</file>