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BFD"/>
  <w:body>
    <w:p w14:paraId="190F546B" w14:textId="60DFC6D2" w:rsidR="008054A7" w:rsidRPr="001B1B27" w:rsidRDefault="008054A7" w:rsidP="00881334">
      <w:r w:rsidRPr="001B1B27">
        <w:rPr>
          <w:noProof/>
        </w:rPr>
        <mc:AlternateContent>
          <mc:Choice Requires="wps">
            <w:drawing>
              <wp:anchor distT="0" distB="0" distL="114300" distR="114300" simplePos="0" relativeHeight="251655680" behindDoc="1" locked="0" layoutInCell="1" allowOverlap="1" wp14:anchorId="445129B1" wp14:editId="617B59DD">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44893" id="Rectangle 6" o:spid="_x0000_s1026" alt="&quot;&quot;" style="position:absolute;margin-left:0;margin-top:-47pt;width:528.85pt;height:790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1B1B27">
        <w:rPr>
          <w:noProof/>
        </w:rPr>
        <mc:AlternateContent>
          <mc:Choice Requires="wps">
            <w:drawing>
              <wp:anchor distT="0" distB="0" distL="114300" distR="114300" simplePos="0" relativeHeight="251654656"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94704" id="Rectangle 1" o:spid="_x0000_s1026" alt="&quot;&quot;" style="position:absolute;margin-left:0;margin-top:-72.15pt;width:593.55pt;height:870.65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1B1B27">
        <w:rPr>
          <w:noProof/>
        </w:rPr>
        <w:drawing>
          <wp:inline distT="0" distB="0" distL="0" distR="0" wp14:anchorId="3382C997" wp14:editId="78B5E59F">
            <wp:extent cx="1755224" cy="1944710"/>
            <wp:effectExtent l="0" t="0" r="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161" cy="1957935"/>
                    </a:xfrm>
                    <a:prstGeom prst="rect">
                      <a:avLst/>
                    </a:prstGeom>
                    <a:noFill/>
                    <a:ln>
                      <a:noFill/>
                    </a:ln>
                  </pic:spPr>
                </pic:pic>
              </a:graphicData>
            </a:graphic>
          </wp:inline>
        </w:drawing>
      </w:r>
    </w:p>
    <w:p w14:paraId="2FEBFBB6" w14:textId="0D3A92CB" w:rsidR="00D11DAB" w:rsidRPr="001B1B27" w:rsidRDefault="005D3585" w:rsidP="00881334">
      <w:pPr>
        <w:pStyle w:val="Title"/>
      </w:pPr>
      <w:r w:rsidRPr="001B1B27">
        <w:t>Special Rapport</w:t>
      </w:r>
      <w:r w:rsidR="00B20101" w:rsidRPr="001B1B27">
        <w:t>eu</w:t>
      </w:r>
      <w:r w:rsidRPr="001B1B27">
        <w:t>r on the rights of persons with disabilities</w:t>
      </w:r>
      <w:r w:rsidR="009140C5" w:rsidRPr="001B1B27">
        <w:t xml:space="preserve"> </w:t>
      </w:r>
      <w:r w:rsidR="00582322" w:rsidRPr="001B1B27">
        <w:t xml:space="preserve">– </w:t>
      </w:r>
      <w:r w:rsidR="00863F9B" w:rsidRPr="001B1B27">
        <w:t>Submission on Disability Inclusive Humanitarian Aid</w:t>
      </w:r>
    </w:p>
    <w:p w14:paraId="2BCF485D" w14:textId="782D9D1D" w:rsidR="008054A7" w:rsidRPr="001B1B27" w:rsidRDefault="00B20101" w:rsidP="00881334">
      <w:pPr>
        <w:pStyle w:val="Subtitle"/>
      </w:pPr>
      <w:r w:rsidRPr="001B1B27">
        <w:t>Eu</w:t>
      </w:r>
      <w:r w:rsidR="00E47FF5" w:rsidRPr="001B1B27">
        <w:t xml:space="preserve">ropean Disability </w:t>
      </w:r>
      <w:r w:rsidR="00606390" w:rsidRPr="001B1B27">
        <w:t xml:space="preserve">Forum </w:t>
      </w:r>
      <w:r w:rsidR="00094F15">
        <w:t>Brief</w:t>
      </w:r>
    </w:p>
    <w:p w14:paraId="1778242A" w14:textId="3FD4938C" w:rsidR="009140C5" w:rsidRPr="001B1B27" w:rsidRDefault="00863F9B" w:rsidP="00881334">
      <w:pPr>
        <w:pStyle w:val="Subtitle"/>
        <w:rPr>
          <w:bCs/>
          <w:sz w:val="28"/>
          <w:szCs w:val="28"/>
        </w:rPr>
      </w:pPr>
      <w:r w:rsidRPr="001B1B27">
        <w:t>April</w:t>
      </w:r>
      <w:r w:rsidR="00B768B8" w:rsidRPr="001B1B27">
        <w:t xml:space="preserve"> 2026</w:t>
      </w:r>
      <w:r w:rsidR="009140C5" w:rsidRPr="001B1B27">
        <w:rPr>
          <w:noProof/>
        </w:rPr>
        <mc:AlternateContent>
          <mc:Choice Requires="wps">
            <w:drawing>
              <wp:anchor distT="0" distB="0" distL="114300" distR="114300" simplePos="0" relativeHeight="251653632" behindDoc="1" locked="0" layoutInCell="1" allowOverlap="1" wp14:anchorId="31CD50D3" wp14:editId="1023620A">
                <wp:simplePos x="0" y="0"/>
                <wp:positionH relativeFrom="page">
                  <wp:posOffset>-10795</wp:posOffset>
                </wp:positionH>
                <wp:positionV relativeFrom="paragraph">
                  <wp:posOffset>634754</wp:posOffset>
                </wp:positionV>
                <wp:extent cx="7549116" cy="996287"/>
                <wp:effectExtent l="0" t="0" r="13970" b="139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996287"/>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B6BC" id="Rectangle 3" o:spid="_x0000_s1026" alt="&quot;&quot;" style="position:absolute;margin-left:-.85pt;margin-top:50pt;width:594.4pt;height:78.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" fillcolor="#a20000" strokecolor="#1f3763 [1604]" strokeweight="1pt">
                <w10:wrap anchorx="page"/>
              </v:rect>
            </w:pict>
          </mc:Fallback>
        </mc:AlternateContent>
      </w:r>
    </w:p>
    <w:p w14:paraId="79A4A1C9" w14:textId="08FC674B" w:rsidR="00A9576D" w:rsidRPr="001B1B27" w:rsidRDefault="00A9576D" w:rsidP="00F449E6">
      <w:pPr>
        <w:pStyle w:val="Heading1"/>
      </w:pPr>
      <w:bookmarkStart w:id="0" w:name="_Toc228456708"/>
      <w:r w:rsidRPr="001B1B27">
        <w:lastRenderedPageBreak/>
        <w:t>Table of Contents</w:t>
      </w:r>
      <w:bookmarkEnd w:id="0"/>
    </w:p>
    <w:p w14:paraId="24838119" w14:textId="0CFD6E91" w:rsidR="00907739" w:rsidRDefault="00A9576D">
      <w:pPr>
        <w:pStyle w:val="TOC1"/>
        <w:tabs>
          <w:tab w:val="right" w:leader="dot" w:pos="9182"/>
        </w:tabs>
        <w:rPr>
          <w:rFonts w:asciiTheme="minorHAnsi" w:eastAsiaTheme="minorEastAsia" w:hAnsiTheme="minorHAnsi"/>
          <w:noProof/>
          <w:kern w:val="2"/>
          <w:szCs w:val="24"/>
          <w:lang w:val="en-GB"/>
          <w14:ligatures w14:val="standardContextual"/>
        </w:rPr>
      </w:pPr>
      <w:r w:rsidRPr="001B1B27">
        <w:fldChar w:fldCharType="begin"/>
      </w:r>
      <w:r w:rsidRPr="001B1B27">
        <w:instrText xml:space="preserve"> TOC \o "1-2" \h \z \u </w:instrText>
      </w:r>
      <w:r w:rsidRPr="001B1B27">
        <w:fldChar w:fldCharType="separate"/>
      </w:r>
      <w:hyperlink w:anchor="_Toc228456708" w:history="1">
        <w:r w:rsidR="00907739" w:rsidRPr="005964AE">
          <w:rPr>
            <w:rStyle w:val="Hyperlink"/>
            <w:noProof/>
          </w:rPr>
          <w:t>Table of Contents</w:t>
        </w:r>
        <w:r w:rsidR="00907739">
          <w:rPr>
            <w:noProof/>
            <w:webHidden/>
          </w:rPr>
          <w:tab/>
        </w:r>
        <w:r w:rsidR="00907739">
          <w:rPr>
            <w:noProof/>
            <w:webHidden/>
          </w:rPr>
          <w:fldChar w:fldCharType="begin"/>
        </w:r>
        <w:r w:rsidR="00907739">
          <w:rPr>
            <w:noProof/>
            <w:webHidden/>
          </w:rPr>
          <w:instrText xml:space="preserve"> PAGEREF _Toc228456708 \h </w:instrText>
        </w:r>
        <w:r w:rsidR="00907739">
          <w:rPr>
            <w:noProof/>
            <w:webHidden/>
          </w:rPr>
        </w:r>
        <w:r w:rsidR="00907739">
          <w:rPr>
            <w:noProof/>
            <w:webHidden/>
          </w:rPr>
          <w:fldChar w:fldCharType="separate"/>
        </w:r>
        <w:r w:rsidR="00907739">
          <w:rPr>
            <w:noProof/>
            <w:webHidden/>
          </w:rPr>
          <w:t>2</w:t>
        </w:r>
        <w:r w:rsidR="00907739">
          <w:rPr>
            <w:noProof/>
            <w:webHidden/>
          </w:rPr>
          <w:fldChar w:fldCharType="end"/>
        </w:r>
      </w:hyperlink>
    </w:p>
    <w:p w14:paraId="63FC6330" w14:textId="72FA33C0"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09" w:history="1">
        <w:r w:rsidRPr="005964AE">
          <w:rPr>
            <w:rStyle w:val="Hyperlink"/>
            <w:noProof/>
            <w:lang w:val="en-GB"/>
          </w:rPr>
          <w:t>Executive Summary</w:t>
        </w:r>
        <w:r>
          <w:rPr>
            <w:noProof/>
            <w:webHidden/>
          </w:rPr>
          <w:tab/>
        </w:r>
        <w:r>
          <w:rPr>
            <w:noProof/>
            <w:webHidden/>
          </w:rPr>
          <w:fldChar w:fldCharType="begin"/>
        </w:r>
        <w:r>
          <w:rPr>
            <w:noProof/>
            <w:webHidden/>
          </w:rPr>
          <w:instrText xml:space="preserve"> PAGEREF _Toc228456709 \h </w:instrText>
        </w:r>
        <w:r>
          <w:rPr>
            <w:noProof/>
            <w:webHidden/>
          </w:rPr>
        </w:r>
        <w:r>
          <w:rPr>
            <w:noProof/>
            <w:webHidden/>
          </w:rPr>
          <w:fldChar w:fldCharType="separate"/>
        </w:r>
        <w:r>
          <w:rPr>
            <w:noProof/>
            <w:webHidden/>
          </w:rPr>
          <w:t>3</w:t>
        </w:r>
        <w:r>
          <w:rPr>
            <w:noProof/>
            <w:webHidden/>
          </w:rPr>
          <w:fldChar w:fldCharType="end"/>
        </w:r>
      </w:hyperlink>
    </w:p>
    <w:p w14:paraId="647610BC" w14:textId="35761841"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0" w:history="1">
        <w:r w:rsidRPr="005964AE">
          <w:rPr>
            <w:rStyle w:val="Hyperlink"/>
            <w:noProof/>
            <w:lang w:val="en-GB"/>
          </w:rPr>
          <w:t>Introduction</w:t>
        </w:r>
        <w:r>
          <w:rPr>
            <w:noProof/>
            <w:webHidden/>
          </w:rPr>
          <w:tab/>
        </w:r>
        <w:r>
          <w:rPr>
            <w:noProof/>
            <w:webHidden/>
          </w:rPr>
          <w:fldChar w:fldCharType="begin"/>
        </w:r>
        <w:r>
          <w:rPr>
            <w:noProof/>
            <w:webHidden/>
          </w:rPr>
          <w:instrText xml:space="preserve"> PAGEREF _Toc228456710 \h </w:instrText>
        </w:r>
        <w:r>
          <w:rPr>
            <w:noProof/>
            <w:webHidden/>
          </w:rPr>
        </w:r>
        <w:r>
          <w:rPr>
            <w:noProof/>
            <w:webHidden/>
          </w:rPr>
          <w:fldChar w:fldCharType="separate"/>
        </w:r>
        <w:r>
          <w:rPr>
            <w:noProof/>
            <w:webHidden/>
          </w:rPr>
          <w:t>4</w:t>
        </w:r>
        <w:r>
          <w:rPr>
            <w:noProof/>
            <w:webHidden/>
          </w:rPr>
          <w:fldChar w:fldCharType="end"/>
        </w:r>
      </w:hyperlink>
    </w:p>
    <w:p w14:paraId="206CF682" w14:textId="5C311DB4"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1" w:history="1">
        <w:r w:rsidRPr="005964AE">
          <w:rPr>
            <w:rStyle w:val="Hyperlink"/>
            <w:noProof/>
            <w:lang w:val="en-GB"/>
          </w:rPr>
          <w:t>Good Practice: Evidence from Ukraine</w:t>
        </w:r>
        <w:r>
          <w:rPr>
            <w:noProof/>
            <w:webHidden/>
          </w:rPr>
          <w:tab/>
        </w:r>
        <w:r>
          <w:rPr>
            <w:noProof/>
            <w:webHidden/>
          </w:rPr>
          <w:fldChar w:fldCharType="begin"/>
        </w:r>
        <w:r>
          <w:rPr>
            <w:noProof/>
            <w:webHidden/>
          </w:rPr>
          <w:instrText xml:space="preserve"> PAGEREF _Toc228456711 \h </w:instrText>
        </w:r>
        <w:r>
          <w:rPr>
            <w:noProof/>
            <w:webHidden/>
          </w:rPr>
        </w:r>
        <w:r>
          <w:rPr>
            <w:noProof/>
            <w:webHidden/>
          </w:rPr>
          <w:fldChar w:fldCharType="separate"/>
        </w:r>
        <w:r>
          <w:rPr>
            <w:noProof/>
            <w:webHidden/>
          </w:rPr>
          <w:t>4</w:t>
        </w:r>
        <w:r>
          <w:rPr>
            <w:noProof/>
            <w:webHidden/>
          </w:rPr>
          <w:fldChar w:fldCharType="end"/>
        </w:r>
      </w:hyperlink>
    </w:p>
    <w:p w14:paraId="0F399685" w14:textId="29DAF4FA"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2" w:history="1">
        <w:r w:rsidRPr="005964AE">
          <w:rPr>
            <w:rStyle w:val="Hyperlink"/>
            <w:noProof/>
            <w:lang w:val="en-GB"/>
          </w:rPr>
          <w:t>Implementation Gaps under CRPD Article 11</w:t>
        </w:r>
        <w:r>
          <w:rPr>
            <w:noProof/>
            <w:webHidden/>
          </w:rPr>
          <w:tab/>
        </w:r>
        <w:r>
          <w:rPr>
            <w:noProof/>
            <w:webHidden/>
          </w:rPr>
          <w:fldChar w:fldCharType="begin"/>
        </w:r>
        <w:r>
          <w:rPr>
            <w:noProof/>
            <w:webHidden/>
          </w:rPr>
          <w:instrText xml:space="preserve"> PAGEREF _Toc228456712 \h </w:instrText>
        </w:r>
        <w:r>
          <w:rPr>
            <w:noProof/>
            <w:webHidden/>
          </w:rPr>
        </w:r>
        <w:r>
          <w:rPr>
            <w:noProof/>
            <w:webHidden/>
          </w:rPr>
          <w:fldChar w:fldCharType="separate"/>
        </w:r>
        <w:r>
          <w:rPr>
            <w:noProof/>
            <w:webHidden/>
          </w:rPr>
          <w:t>5</w:t>
        </w:r>
        <w:r>
          <w:rPr>
            <w:noProof/>
            <w:webHidden/>
          </w:rPr>
          <w:fldChar w:fldCharType="end"/>
        </w:r>
      </w:hyperlink>
    </w:p>
    <w:p w14:paraId="2F50361F" w14:textId="02AB70F6"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3" w:history="1">
        <w:r w:rsidRPr="005964AE">
          <w:rPr>
            <w:rStyle w:val="Hyperlink"/>
            <w:noProof/>
            <w:lang w:val="en-GB"/>
          </w:rPr>
          <w:t>Key Barriers</w:t>
        </w:r>
        <w:r>
          <w:rPr>
            <w:noProof/>
            <w:webHidden/>
          </w:rPr>
          <w:tab/>
        </w:r>
        <w:r>
          <w:rPr>
            <w:noProof/>
            <w:webHidden/>
          </w:rPr>
          <w:fldChar w:fldCharType="begin"/>
        </w:r>
        <w:r>
          <w:rPr>
            <w:noProof/>
            <w:webHidden/>
          </w:rPr>
          <w:instrText xml:space="preserve"> PAGEREF _Toc228456713 \h </w:instrText>
        </w:r>
        <w:r>
          <w:rPr>
            <w:noProof/>
            <w:webHidden/>
          </w:rPr>
        </w:r>
        <w:r>
          <w:rPr>
            <w:noProof/>
            <w:webHidden/>
          </w:rPr>
          <w:fldChar w:fldCharType="separate"/>
        </w:r>
        <w:r>
          <w:rPr>
            <w:noProof/>
            <w:webHidden/>
          </w:rPr>
          <w:t>6</w:t>
        </w:r>
        <w:r>
          <w:rPr>
            <w:noProof/>
            <w:webHidden/>
          </w:rPr>
          <w:fldChar w:fldCharType="end"/>
        </w:r>
      </w:hyperlink>
    </w:p>
    <w:p w14:paraId="333919E1" w14:textId="0F35EE8A"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4" w:history="1">
        <w:r w:rsidRPr="005964AE">
          <w:rPr>
            <w:rStyle w:val="Hyperlink"/>
            <w:noProof/>
            <w:lang w:val="en-GB"/>
          </w:rPr>
          <w:t>Participation and Decision-Making</w:t>
        </w:r>
        <w:r>
          <w:rPr>
            <w:noProof/>
            <w:webHidden/>
          </w:rPr>
          <w:tab/>
        </w:r>
        <w:r>
          <w:rPr>
            <w:noProof/>
            <w:webHidden/>
          </w:rPr>
          <w:fldChar w:fldCharType="begin"/>
        </w:r>
        <w:r>
          <w:rPr>
            <w:noProof/>
            <w:webHidden/>
          </w:rPr>
          <w:instrText xml:space="preserve"> PAGEREF _Toc228456714 \h </w:instrText>
        </w:r>
        <w:r>
          <w:rPr>
            <w:noProof/>
            <w:webHidden/>
          </w:rPr>
        </w:r>
        <w:r>
          <w:rPr>
            <w:noProof/>
            <w:webHidden/>
          </w:rPr>
          <w:fldChar w:fldCharType="separate"/>
        </w:r>
        <w:r>
          <w:rPr>
            <w:noProof/>
            <w:webHidden/>
          </w:rPr>
          <w:t>6</w:t>
        </w:r>
        <w:r>
          <w:rPr>
            <w:noProof/>
            <w:webHidden/>
          </w:rPr>
          <w:fldChar w:fldCharType="end"/>
        </w:r>
      </w:hyperlink>
    </w:p>
    <w:p w14:paraId="30A2A5AE" w14:textId="3DC0BC7E"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5" w:history="1">
        <w:r w:rsidRPr="005964AE">
          <w:rPr>
            <w:rStyle w:val="Hyperlink"/>
            <w:noProof/>
            <w:lang w:val="en-GB"/>
          </w:rPr>
          <w:t>Data and Evidence</w:t>
        </w:r>
        <w:r>
          <w:rPr>
            <w:noProof/>
            <w:webHidden/>
          </w:rPr>
          <w:tab/>
        </w:r>
        <w:r>
          <w:rPr>
            <w:noProof/>
            <w:webHidden/>
          </w:rPr>
          <w:fldChar w:fldCharType="begin"/>
        </w:r>
        <w:r>
          <w:rPr>
            <w:noProof/>
            <w:webHidden/>
          </w:rPr>
          <w:instrText xml:space="preserve"> PAGEREF _Toc228456715 \h </w:instrText>
        </w:r>
        <w:r>
          <w:rPr>
            <w:noProof/>
            <w:webHidden/>
          </w:rPr>
        </w:r>
        <w:r>
          <w:rPr>
            <w:noProof/>
            <w:webHidden/>
          </w:rPr>
          <w:fldChar w:fldCharType="separate"/>
        </w:r>
        <w:r>
          <w:rPr>
            <w:noProof/>
            <w:webHidden/>
          </w:rPr>
          <w:t>7</w:t>
        </w:r>
        <w:r>
          <w:rPr>
            <w:noProof/>
            <w:webHidden/>
          </w:rPr>
          <w:fldChar w:fldCharType="end"/>
        </w:r>
      </w:hyperlink>
    </w:p>
    <w:p w14:paraId="6ABACEFD" w14:textId="352FA362"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6" w:history="1">
        <w:r w:rsidRPr="005964AE">
          <w:rPr>
            <w:rStyle w:val="Hyperlink"/>
            <w:noProof/>
            <w:lang w:val="en-GB"/>
          </w:rPr>
          <w:t>Disability-Targeted ODA and Humanitarian Aid</w:t>
        </w:r>
        <w:r>
          <w:rPr>
            <w:noProof/>
            <w:webHidden/>
          </w:rPr>
          <w:tab/>
        </w:r>
        <w:r>
          <w:rPr>
            <w:noProof/>
            <w:webHidden/>
          </w:rPr>
          <w:fldChar w:fldCharType="begin"/>
        </w:r>
        <w:r>
          <w:rPr>
            <w:noProof/>
            <w:webHidden/>
          </w:rPr>
          <w:instrText xml:space="preserve"> PAGEREF _Toc228456716 \h </w:instrText>
        </w:r>
        <w:r>
          <w:rPr>
            <w:noProof/>
            <w:webHidden/>
          </w:rPr>
        </w:r>
        <w:r>
          <w:rPr>
            <w:noProof/>
            <w:webHidden/>
          </w:rPr>
          <w:fldChar w:fldCharType="separate"/>
        </w:r>
        <w:r>
          <w:rPr>
            <w:noProof/>
            <w:webHidden/>
          </w:rPr>
          <w:t>7</w:t>
        </w:r>
        <w:r>
          <w:rPr>
            <w:noProof/>
            <w:webHidden/>
          </w:rPr>
          <w:fldChar w:fldCharType="end"/>
        </w:r>
      </w:hyperlink>
    </w:p>
    <w:p w14:paraId="1BA3A464" w14:textId="14E7C417"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7" w:history="1">
        <w:r w:rsidRPr="005964AE">
          <w:rPr>
            <w:rStyle w:val="Hyperlink"/>
            <w:noProof/>
            <w:lang w:val="en-GB"/>
          </w:rPr>
          <w:t>Capacity Building</w:t>
        </w:r>
        <w:r>
          <w:rPr>
            <w:noProof/>
            <w:webHidden/>
          </w:rPr>
          <w:tab/>
        </w:r>
        <w:r>
          <w:rPr>
            <w:noProof/>
            <w:webHidden/>
          </w:rPr>
          <w:fldChar w:fldCharType="begin"/>
        </w:r>
        <w:r>
          <w:rPr>
            <w:noProof/>
            <w:webHidden/>
          </w:rPr>
          <w:instrText xml:space="preserve"> PAGEREF _Toc228456717 \h </w:instrText>
        </w:r>
        <w:r>
          <w:rPr>
            <w:noProof/>
            <w:webHidden/>
          </w:rPr>
        </w:r>
        <w:r>
          <w:rPr>
            <w:noProof/>
            <w:webHidden/>
          </w:rPr>
          <w:fldChar w:fldCharType="separate"/>
        </w:r>
        <w:r>
          <w:rPr>
            <w:noProof/>
            <w:webHidden/>
          </w:rPr>
          <w:t>7</w:t>
        </w:r>
        <w:r>
          <w:rPr>
            <w:noProof/>
            <w:webHidden/>
          </w:rPr>
          <w:fldChar w:fldCharType="end"/>
        </w:r>
      </w:hyperlink>
    </w:p>
    <w:p w14:paraId="6FE65A0E" w14:textId="15F3208A"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8" w:history="1">
        <w:r w:rsidRPr="005964AE">
          <w:rPr>
            <w:rStyle w:val="Hyperlink"/>
            <w:noProof/>
            <w:lang w:val="en-GB"/>
          </w:rPr>
          <w:t>Humanitarian Reset: Opportunities and Risks</w:t>
        </w:r>
        <w:r>
          <w:rPr>
            <w:noProof/>
            <w:webHidden/>
          </w:rPr>
          <w:tab/>
        </w:r>
        <w:r>
          <w:rPr>
            <w:noProof/>
            <w:webHidden/>
          </w:rPr>
          <w:fldChar w:fldCharType="begin"/>
        </w:r>
        <w:r>
          <w:rPr>
            <w:noProof/>
            <w:webHidden/>
          </w:rPr>
          <w:instrText xml:space="preserve"> PAGEREF _Toc228456718 \h </w:instrText>
        </w:r>
        <w:r>
          <w:rPr>
            <w:noProof/>
            <w:webHidden/>
          </w:rPr>
        </w:r>
        <w:r>
          <w:rPr>
            <w:noProof/>
            <w:webHidden/>
          </w:rPr>
          <w:fldChar w:fldCharType="separate"/>
        </w:r>
        <w:r>
          <w:rPr>
            <w:noProof/>
            <w:webHidden/>
          </w:rPr>
          <w:t>8</w:t>
        </w:r>
        <w:r>
          <w:rPr>
            <w:noProof/>
            <w:webHidden/>
          </w:rPr>
          <w:fldChar w:fldCharType="end"/>
        </w:r>
      </w:hyperlink>
    </w:p>
    <w:p w14:paraId="7319C118" w14:textId="054B4E0E"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19" w:history="1">
        <w:r w:rsidRPr="005964AE">
          <w:rPr>
            <w:rStyle w:val="Hyperlink"/>
            <w:noProof/>
            <w:lang w:val="en-GB"/>
          </w:rPr>
          <w:t>Key Outcomes from Practice</w:t>
        </w:r>
        <w:r>
          <w:rPr>
            <w:noProof/>
            <w:webHidden/>
          </w:rPr>
          <w:tab/>
        </w:r>
        <w:r>
          <w:rPr>
            <w:noProof/>
            <w:webHidden/>
          </w:rPr>
          <w:fldChar w:fldCharType="begin"/>
        </w:r>
        <w:r>
          <w:rPr>
            <w:noProof/>
            <w:webHidden/>
          </w:rPr>
          <w:instrText xml:space="preserve"> PAGEREF _Toc228456719 \h </w:instrText>
        </w:r>
        <w:r>
          <w:rPr>
            <w:noProof/>
            <w:webHidden/>
          </w:rPr>
        </w:r>
        <w:r>
          <w:rPr>
            <w:noProof/>
            <w:webHidden/>
          </w:rPr>
          <w:fldChar w:fldCharType="separate"/>
        </w:r>
        <w:r>
          <w:rPr>
            <w:noProof/>
            <w:webHidden/>
          </w:rPr>
          <w:t>8</w:t>
        </w:r>
        <w:r>
          <w:rPr>
            <w:noProof/>
            <w:webHidden/>
          </w:rPr>
          <w:fldChar w:fldCharType="end"/>
        </w:r>
      </w:hyperlink>
    </w:p>
    <w:p w14:paraId="3E11B938" w14:textId="140245AD"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20" w:history="1">
        <w:r w:rsidRPr="005964AE">
          <w:rPr>
            <w:rStyle w:val="Hyperlink"/>
            <w:noProof/>
            <w:lang w:val="en-GB"/>
          </w:rPr>
          <w:t>Conclusion</w:t>
        </w:r>
        <w:r>
          <w:rPr>
            <w:noProof/>
            <w:webHidden/>
          </w:rPr>
          <w:tab/>
        </w:r>
        <w:r>
          <w:rPr>
            <w:noProof/>
            <w:webHidden/>
          </w:rPr>
          <w:fldChar w:fldCharType="begin"/>
        </w:r>
        <w:r>
          <w:rPr>
            <w:noProof/>
            <w:webHidden/>
          </w:rPr>
          <w:instrText xml:space="preserve"> PAGEREF _Toc228456720 \h </w:instrText>
        </w:r>
        <w:r>
          <w:rPr>
            <w:noProof/>
            <w:webHidden/>
          </w:rPr>
        </w:r>
        <w:r>
          <w:rPr>
            <w:noProof/>
            <w:webHidden/>
          </w:rPr>
          <w:fldChar w:fldCharType="separate"/>
        </w:r>
        <w:r>
          <w:rPr>
            <w:noProof/>
            <w:webHidden/>
          </w:rPr>
          <w:t>9</w:t>
        </w:r>
        <w:r>
          <w:rPr>
            <w:noProof/>
            <w:webHidden/>
          </w:rPr>
          <w:fldChar w:fldCharType="end"/>
        </w:r>
      </w:hyperlink>
    </w:p>
    <w:p w14:paraId="48FB6ACA" w14:textId="15B69F7E"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21" w:history="1">
        <w:r w:rsidRPr="005964AE">
          <w:rPr>
            <w:rStyle w:val="Hyperlink"/>
            <w:noProof/>
          </w:rPr>
          <w:t>Annexes</w:t>
        </w:r>
        <w:r>
          <w:rPr>
            <w:noProof/>
            <w:webHidden/>
          </w:rPr>
          <w:tab/>
        </w:r>
        <w:r>
          <w:rPr>
            <w:noProof/>
            <w:webHidden/>
          </w:rPr>
          <w:fldChar w:fldCharType="begin"/>
        </w:r>
        <w:r>
          <w:rPr>
            <w:noProof/>
            <w:webHidden/>
          </w:rPr>
          <w:instrText xml:space="preserve"> PAGEREF _Toc228456721 \h </w:instrText>
        </w:r>
        <w:r>
          <w:rPr>
            <w:noProof/>
            <w:webHidden/>
          </w:rPr>
        </w:r>
        <w:r>
          <w:rPr>
            <w:noProof/>
            <w:webHidden/>
          </w:rPr>
          <w:fldChar w:fldCharType="separate"/>
        </w:r>
        <w:r>
          <w:rPr>
            <w:noProof/>
            <w:webHidden/>
          </w:rPr>
          <w:t>10</w:t>
        </w:r>
        <w:r>
          <w:rPr>
            <w:noProof/>
            <w:webHidden/>
          </w:rPr>
          <w:fldChar w:fldCharType="end"/>
        </w:r>
      </w:hyperlink>
    </w:p>
    <w:p w14:paraId="703CB23A" w14:textId="2A50346F" w:rsidR="00907739" w:rsidRDefault="00907739">
      <w:pPr>
        <w:pStyle w:val="TOC1"/>
        <w:tabs>
          <w:tab w:val="right" w:leader="dot" w:pos="9182"/>
        </w:tabs>
        <w:rPr>
          <w:rFonts w:asciiTheme="minorHAnsi" w:eastAsiaTheme="minorEastAsia" w:hAnsiTheme="minorHAnsi"/>
          <w:noProof/>
          <w:kern w:val="2"/>
          <w:szCs w:val="24"/>
          <w:lang w:val="en-GB"/>
          <w14:ligatures w14:val="standardContextual"/>
        </w:rPr>
      </w:pPr>
      <w:hyperlink w:anchor="_Toc228456722" w:history="1">
        <w:r w:rsidRPr="005964AE">
          <w:rPr>
            <w:rStyle w:val="Hyperlink"/>
            <w:noProof/>
          </w:rPr>
          <w:t>Document credits</w:t>
        </w:r>
        <w:r>
          <w:rPr>
            <w:noProof/>
            <w:webHidden/>
          </w:rPr>
          <w:tab/>
        </w:r>
        <w:r>
          <w:rPr>
            <w:noProof/>
            <w:webHidden/>
          </w:rPr>
          <w:fldChar w:fldCharType="begin"/>
        </w:r>
        <w:r>
          <w:rPr>
            <w:noProof/>
            <w:webHidden/>
          </w:rPr>
          <w:instrText xml:space="preserve"> PAGEREF _Toc228456722 \h </w:instrText>
        </w:r>
        <w:r>
          <w:rPr>
            <w:noProof/>
            <w:webHidden/>
          </w:rPr>
        </w:r>
        <w:r>
          <w:rPr>
            <w:noProof/>
            <w:webHidden/>
          </w:rPr>
          <w:fldChar w:fldCharType="separate"/>
        </w:r>
        <w:r>
          <w:rPr>
            <w:noProof/>
            <w:webHidden/>
          </w:rPr>
          <w:t>10</w:t>
        </w:r>
        <w:r>
          <w:rPr>
            <w:noProof/>
            <w:webHidden/>
          </w:rPr>
          <w:fldChar w:fldCharType="end"/>
        </w:r>
      </w:hyperlink>
    </w:p>
    <w:p w14:paraId="5D4EDAF9" w14:textId="638E5C05" w:rsidR="00CA7FF9" w:rsidRDefault="00A9576D" w:rsidP="00705E84">
      <w:pPr>
        <w:rPr>
          <w:lang w:val="en-GB"/>
        </w:rPr>
      </w:pPr>
      <w:r w:rsidRPr="001B1B27">
        <w:fldChar w:fldCharType="end"/>
      </w:r>
    </w:p>
    <w:p w14:paraId="11C050A0" w14:textId="77777777" w:rsidR="00CA7FF9" w:rsidRDefault="00CA7FF9">
      <w:pPr>
        <w:spacing w:line="259" w:lineRule="auto"/>
        <w:rPr>
          <w:lang w:val="en-GB"/>
        </w:rPr>
      </w:pPr>
      <w:r>
        <w:rPr>
          <w:lang w:val="en-GB"/>
        </w:rPr>
        <w:br w:type="page"/>
      </w:r>
    </w:p>
    <w:p w14:paraId="353371CD" w14:textId="77777777" w:rsidR="00705E84" w:rsidRPr="00705E84" w:rsidRDefault="00705E84" w:rsidP="00667784">
      <w:pPr>
        <w:pStyle w:val="Heading1"/>
        <w:rPr>
          <w:lang w:val="en-GB"/>
        </w:rPr>
      </w:pPr>
      <w:bookmarkStart w:id="1" w:name="_Toc228456709"/>
      <w:r w:rsidRPr="00705E84">
        <w:rPr>
          <w:lang w:val="en-GB"/>
        </w:rPr>
        <w:lastRenderedPageBreak/>
        <w:t>Executive Summary</w:t>
      </w:r>
      <w:bookmarkEnd w:id="1"/>
    </w:p>
    <w:p w14:paraId="11A19C2B" w14:textId="77777777" w:rsidR="00705E84" w:rsidRPr="00705E84" w:rsidRDefault="00705E84" w:rsidP="00705E84">
      <w:pPr>
        <w:rPr>
          <w:lang w:val="en-GB"/>
        </w:rPr>
      </w:pPr>
      <w:r w:rsidRPr="00705E84">
        <w:rPr>
          <w:lang w:val="en-GB"/>
        </w:rPr>
        <w:t>The European Disability Forum (EDF), representing over 100 million persons with disabilities across Europe, submits this contribution to inform the Special Rapporteur’s report on inclusive humanitarian assistance within ongoing humanitarian reform processes.</w:t>
      </w:r>
    </w:p>
    <w:p w14:paraId="7FF0D72A" w14:textId="77777777" w:rsidR="00705E84" w:rsidRPr="00705E84" w:rsidRDefault="00705E84" w:rsidP="00705E84">
      <w:pPr>
        <w:rPr>
          <w:lang w:val="en-GB"/>
        </w:rPr>
      </w:pPr>
      <w:r w:rsidRPr="00705E84">
        <w:rPr>
          <w:lang w:val="en-GB"/>
        </w:rPr>
        <w:t>Despite growing recognition of disability inclusion at policy level, implementation remains inconsistent, non-systematic, and weakly monitored. Disability inclusion continues to be treated as optional rather than as a core obligation under the Convention on the Rights of Persons with Disabilities (CRPD). As a result, persons with disabilities are frequently excluded from life-saving assistance, essential services, and decision-making processes.</w:t>
      </w:r>
    </w:p>
    <w:p w14:paraId="557B5347" w14:textId="77777777" w:rsidR="00705E84" w:rsidRPr="00705E84" w:rsidRDefault="00705E84" w:rsidP="00705E84">
      <w:pPr>
        <w:rPr>
          <w:lang w:val="en-GB"/>
        </w:rPr>
      </w:pPr>
      <w:r w:rsidRPr="00705E84">
        <w:rPr>
          <w:lang w:val="en-GB"/>
        </w:rPr>
        <w:t>EDF’s evidence demonstrates that inclusive humanitarian action is both feasible and more effective when organisations of persons with disabilities (OPDs) are meaningfully engaged as leaders and partners. However, current reform processes, including the Humanitarian Reset, present both opportunities and risks for advancing inclusion.</w:t>
      </w:r>
    </w:p>
    <w:p w14:paraId="7736AFB8" w14:textId="77777777" w:rsidR="00705E84" w:rsidRPr="00705E84" w:rsidRDefault="00705E84" w:rsidP="00705E84">
      <w:pPr>
        <w:rPr>
          <w:lang w:val="en-GB"/>
        </w:rPr>
      </w:pPr>
      <w:r w:rsidRPr="00705E84">
        <w:rPr>
          <w:lang w:val="en-GB"/>
        </w:rPr>
        <w:t>Key findings include:</w:t>
      </w:r>
    </w:p>
    <w:p w14:paraId="08001963" w14:textId="77777777" w:rsidR="00705E84" w:rsidRPr="00705E84" w:rsidRDefault="00705E84" w:rsidP="00DE234E">
      <w:pPr>
        <w:numPr>
          <w:ilvl w:val="0"/>
          <w:numId w:val="2"/>
        </w:numPr>
        <w:tabs>
          <w:tab w:val="clear" w:pos="720"/>
          <w:tab w:val="num" w:pos="426"/>
          <w:tab w:val="left" w:pos="8222"/>
        </w:tabs>
        <w:spacing w:after="120" w:line="240" w:lineRule="auto"/>
        <w:ind w:left="425" w:hanging="425"/>
        <w:rPr>
          <w:lang w:val="en-GB"/>
        </w:rPr>
      </w:pPr>
      <w:r w:rsidRPr="00705E84">
        <w:rPr>
          <w:lang w:val="en-GB"/>
        </w:rPr>
        <w:t xml:space="preserve">Disability inclusion is not systematically operationalised in humanitarian programming. </w:t>
      </w:r>
    </w:p>
    <w:p w14:paraId="06DAA20A" w14:textId="77777777" w:rsidR="00705E84" w:rsidRPr="00705E84" w:rsidRDefault="00705E84" w:rsidP="00DE234E">
      <w:pPr>
        <w:numPr>
          <w:ilvl w:val="0"/>
          <w:numId w:val="2"/>
        </w:numPr>
        <w:tabs>
          <w:tab w:val="clear" w:pos="720"/>
          <w:tab w:val="num" w:pos="426"/>
          <w:tab w:val="left" w:pos="8222"/>
        </w:tabs>
        <w:spacing w:after="120" w:line="240" w:lineRule="auto"/>
        <w:ind w:left="425" w:hanging="425"/>
        <w:rPr>
          <w:lang w:val="en-GB"/>
        </w:rPr>
      </w:pPr>
      <w:r w:rsidRPr="00705E84">
        <w:rPr>
          <w:lang w:val="en-GB"/>
        </w:rPr>
        <w:t xml:space="preserve">OPD-led approaches improve access, targeting, trust, and sustainability. </w:t>
      </w:r>
    </w:p>
    <w:p w14:paraId="0C872085" w14:textId="77777777" w:rsidR="00705E84" w:rsidRPr="00705E84" w:rsidRDefault="00705E84" w:rsidP="00DE234E">
      <w:pPr>
        <w:numPr>
          <w:ilvl w:val="0"/>
          <w:numId w:val="2"/>
        </w:numPr>
        <w:tabs>
          <w:tab w:val="clear" w:pos="720"/>
          <w:tab w:val="num" w:pos="426"/>
          <w:tab w:val="left" w:pos="8222"/>
        </w:tabs>
        <w:spacing w:after="120" w:line="240" w:lineRule="auto"/>
        <w:ind w:left="425" w:hanging="425"/>
        <w:rPr>
          <w:lang w:val="en-GB"/>
        </w:rPr>
      </w:pPr>
      <w:r w:rsidRPr="00705E84">
        <w:rPr>
          <w:lang w:val="en-GB"/>
        </w:rPr>
        <w:t xml:space="preserve">Disability-disaggregated data remains insufficient and underused. </w:t>
      </w:r>
    </w:p>
    <w:p w14:paraId="36F73B59" w14:textId="77777777" w:rsidR="00705E84" w:rsidRPr="00705E84" w:rsidRDefault="00705E84" w:rsidP="00DE234E">
      <w:pPr>
        <w:numPr>
          <w:ilvl w:val="0"/>
          <w:numId w:val="2"/>
        </w:numPr>
        <w:tabs>
          <w:tab w:val="clear" w:pos="720"/>
          <w:tab w:val="num" w:pos="426"/>
          <w:tab w:val="left" w:pos="8222"/>
        </w:tabs>
        <w:spacing w:after="120" w:line="240" w:lineRule="auto"/>
        <w:ind w:left="425" w:hanging="425"/>
        <w:rPr>
          <w:lang w:val="en-GB"/>
        </w:rPr>
      </w:pPr>
      <w:r w:rsidRPr="00705E84">
        <w:rPr>
          <w:lang w:val="en-GB"/>
        </w:rPr>
        <w:t xml:space="preserve">Localisation can strengthen inclusion but risks excluding OPDs if not properly resourced. </w:t>
      </w:r>
    </w:p>
    <w:p w14:paraId="45ACA58A" w14:textId="77777777" w:rsidR="00705E84" w:rsidRPr="00705E84" w:rsidRDefault="00705E84" w:rsidP="00DE234E">
      <w:pPr>
        <w:numPr>
          <w:ilvl w:val="0"/>
          <w:numId w:val="2"/>
        </w:numPr>
        <w:tabs>
          <w:tab w:val="clear" w:pos="720"/>
          <w:tab w:val="num" w:pos="426"/>
          <w:tab w:val="left" w:pos="8222"/>
        </w:tabs>
        <w:spacing w:after="120" w:line="240" w:lineRule="auto"/>
        <w:ind w:left="425" w:hanging="425"/>
        <w:rPr>
          <w:lang w:val="en-GB"/>
        </w:rPr>
      </w:pPr>
      <w:r w:rsidRPr="00705E84">
        <w:rPr>
          <w:lang w:val="en-GB"/>
        </w:rPr>
        <w:t xml:space="preserve">Reform efforts may deprioritise inclusion under efficiency pressures. </w:t>
      </w:r>
    </w:p>
    <w:p w14:paraId="0B5781AB" w14:textId="77777777" w:rsidR="00705E84" w:rsidRPr="00705E84" w:rsidRDefault="00705E84" w:rsidP="00CA7FF9">
      <w:pPr>
        <w:tabs>
          <w:tab w:val="num" w:pos="426"/>
          <w:tab w:val="left" w:pos="8222"/>
        </w:tabs>
        <w:ind w:left="426" w:hanging="426"/>
        <w:rPr>
          <w:lang w:val="en-GB"/>
        </w:rPr>
      </w:pPr>
      <w:r w:rsidRPr="00705E84">
        <w:rPr>
          <w:lang w:val="en-GB"/>
        </w:rPr>
        <w:t>EDF recommends:</w:t>
      </w:r>
    </w:p>
    <w:p w14:paraId="37162B21" w14:textId="77777777" w:rsidR="00705E84" w:rsidRPr="00705E84" w:rsidRDefault="00705E84" w:rsidP="00DE234E">
      <w:pPr>
        <w:numPr>
          <w:ilvl w:val="0"/>
          <w:numId w:val="3"/>
        </w:numPr>
        <w:tabs>
          <w:tab w:val="clear" w:pos="720"/>
          <w:tab w:val="num" w:pos="426"/>
          <w:tab w:val="left" w:pos="8222"/>
        </w:tabs>
        <w:spacing w:after="120"/>
        <w:ind w:left="425" w:hanging="425"/>
        <w:rPr>
          <w:lang w:val="en-GB"/>
        </w:rPr>
      </w:pPr>
      <w:r w:rsidRPr="00705E84">
        <w:rPr>
          <w:lang w:val="en-GB"/>
        </w:rPr>
        <w:t xml:space="preserve">Making disability inclusion mandatory across funding and programming. </w:t>
      </w:r>
    </w:p>
    <w:p w14:paraId="688158B1" w14:textId="77777777" w:rsidR="00705E84" w:rsidRPr="00705E84" w:rsidRDefault="00705E84" w:rsidP="00DE234E">
      <w:pPr>
        <w:numPr>
          <w:ilvl w:val="0"/>
          <w:numId w:val="3"/>
        </w:numPr>
        <w:tabs>
          <w:tab w:val="clear" w:pos="720"/>
          <w:tab w:val="num" w:pos="426"/>
          <w:tab w:val="left" w:pos="8222"/>
        </w:tabs>
        <w:spacing w:after="120"/>
        <w:ind w:left="425" w:hanging="425"/>
        <w:rPr>
          <w:lang w:val="en-GB"/>
        </w:rPr>
      </w:pPr>
      <w:r w:rsidRPr="00705E84">
        <w:rPr>
          <w:lang w:val="en-GB"/>
        </w:rPr>
        <w:t xml:space="preserve">Recognising and resourcing OPDs as core humanitarian actors. </w:t>
      </w:r>
    </w:p>
    <w:p w14:paraId="453477FC" w14:textId="77777777" w:rsidR="00705E84" w:rsidRPr="00705E84" w:rsidRDefault="00705E84" w:rsidP="00DE234E">
      <w:pPr>
        <w:numPr>
          <w:ilvl w:val="0"/>
          <w:numId w:val="3"/>
        </w:numPr>
        <w:tabs>
          <w:tab w:val="clear" w:pos="720"/>
          <w:tab w:val="num" w:pos="426"/>
          <w:tab w:val="left" w:pos="8222"/>
        </w:tabs>
        <w:spacing w:after="120"/>
        <w:ind w:left="425" w:hanging="425"/>
        <w:rPr>
          <w:lang w:val="en-GB"/>
        </w:rPr>
      </w:pPr>
      <w:r w:rsidRPr="00705E84">
        <w:rPr>
          <w:lang w:val="en-GB"/>
        </w:rPr>
        <w:t xml:space="preserve">Strengthening disability-disaggregated data systems. </w:t>
      </w:r>
    </w:p>
    <w:p w14:paraId="08EBD7CA" w14:textId="77777777" w:rsidR="00705E84" w:rsidRPr="00705E84" w:rsidRDefault="00705E84" w:rsidP="00DE234E">
      <w:pPr>
        <w:numPr>
          <w:ilvl w:val="0"/>
          <w:numId w:val="3"/>
        </w:numPr>
        <w:tabs>
          <w:tab w:val="clear" w:pos="720"/>
          <w:tab w:val="num" w:pos="426"/>
          <w:tab w:val="left" w:pos="8222"/>
        </w:tabs>
        <w:spacing w:after="120"/>
        <w:ind w:left="425" w:hanging="425"/>
        <w:rPr>
          <w:lang w:val="en-GB"/>
        </w:rPr>
      </w:pPr>
      <w:r w:rsidRPr="00705E84">
        <w:rPr>
          <w:lang w:val="en-GB"/>
        </w:rPr>
        <w:t xml:space="preserve">Investing in capacity-sharing led by OPDs. </w:t>
      </w:r>
    </w:p>
    <w:p w14:paraId="5AC220AC" w14:textId="77777777" w:rsidR="00705E84" w:rsidRPr="00705E84" w:rsidRDefault="00705E84" w:rsidP="00DE234E">
      <w:pPr>
        <w:numPr>
          <w:ilvl w:val="0"/>
          <w:numId w:val="3"/>
        </w:numPr>
        <w:tabs>
          <w:tab w:val="clear" w:pos="720"/>
          <w:tab w:val="num" w:pos="426"/>
          <w:tab w:val="left" w:pos="8222"/>
        </w:tabs>
        <w:spacing w:after="120"/>
        <w:ind w:left="425" w:hanging="425"/>
        <w:rPr>
          <w:lang w:val="en-GB"/>
        </w:rPr>
      </w:pPr>
      <w:r w:rsidRPr="00705E84">
        <w:rPr>
          <w:lang w:val="en-GB"/>
        </w:rPr>
        <w:t xml:space="preserve">Linking humanitarian action with sustainable, inclusive systems. </w:t>
      </w:r>
    </w:p>
    <w:p w14:paraId="270C4BEA" w14:textId="58865972" w:rsidR="00705E84" w:rsidRPr="00705E84" w:rsidRDefault="00705E84" w:rsidP="00705E84">
      <w:pPr>
        <w:rPr>
          <w:b/>
          <w:bCs/>
          <w:lang w:val="en-GB"/>
        </w:rPr>
      </w:pPr>
      <w:r w:rsidRPr="00705E84">
        <w:rPr>
          <w:b/>
          <w:bCs/>
          <w:lang w:val="en-GB"/>
        </w:rPr>
        <w:t xml:space="preserve">Disability inclusion is not only a legal obligation but a prerequisite for effective, accountable, and sustainable humanitarian action. </w:t>
      </w:r>
    </w:p>
    <w:p w14:paraId="1DC91193" w14:textId="77777777" w:rsidR="00705E84" w:rsidRPr="00705E84" w:rsidRDefault="00705E84" w:rsidP="00667784">
      <w:pPr>
        <w:pStyle w:val="Heading1"/>
        <w:rPr>
          <w:lang w:val="en-GB"/>
        </w:rPr>
      </w:pPr>
      <w:bookmarkStart w:id="2" w:name="_Toc228456710"/>
      <w:r w:rsidRPr="00705E84">
        <w:rPr>
          <w:lang w:val="en-GB"/>
        </w:rPr>
        <w:lastRenderedPageBreak/>
        <w:t>Introduction</w:t>
      </w:r>
      <w:bookmarkEnd w:id="2"/>
    </w:p>
    <w:p w14:paraId="45B3E568" w14:textId="77777777" w:rsidR="00705E84" w:rsidRPr="00705E84" w:rsidRDefault="00705E84" w:rsidP="00705E84">
      <w:pPr>
        <w:rPr>
          <w:lang w:val="en-GB"/>
        </w:rPr>
      </w:pPr>
      <w:r w:rsidRPr="00705E84">
        <w:rPr>
          <w:lang w:val="en-GB"/>
        </w:rPr>
        <w:t>This submission responds to the Special Rapporteur’s call for input on inclusive humanitarian assistance in the context of humanitarian reform. EDF works closely with OPDs, humanitarian actors, and public authorities to advance disability-inclusive approaches across Europe and beyond.</w:t>
      </w:r>
    </w:p>
    <w:p w14:paraId="11121325" w14:textId="0367DF5D" w:rsidR="00705E84" w:rsidRPr="00705E84" w:rsidRDefault="00705E84" w:rsidP="00705E84">
      <w:pPr>
        <w:rPr>
          <w:lang w:val="en-GB"/>
        </w:rPr>
      </w:pPr>
      <w:r w:rsidRPr="00705E84">
        <w:rPr>
          <w:lang w:val="en-GB"/>
        </w:rPr>
        <w:t>The analysis draws on EDF’s policy engagement and operational experience, particularly from disability-inclusive humanitarian programming in Ukraine (2022–2026). It is grounded in CRPD obligations, especially Article 11, and informed by broader international commitments.</w:t>
      </w:r>
    </w:p>
    <w:p w14:paraId="7D75344D" w14:textId="77777777" w:rsidR="00705E84" w:rsidRPr="00705E84" w:rsidRDefault="00705E84" w:rsidP="00667784">
      <w:pPr>
        <w:pStyle w:val="Heading1"/>
        <w:rPr>
          <w:lang w:val="en-GB"/>
        </w:rPr>
      </w:pPr>
      <w:bookmarkStart w:id="3" w:name="_Toc228456711"/>
      <w:r w:rsidRPr="00705E84">
        <w:rPr>
          <w:lang w:val="en-GB"/>
        </w:rPr>
        <w:t>Good Practice: Evidence from Ukraine</w:t>
      </w:r>
      <w:bookmarkEnd w:id="3"/>
    </w:p>
    <w:p w14:paraId="14646137" w14:textId="77777777" w:rsidR="00705E84" w:rsidRPr="00705E84" w:rsidRDefault="00705E84" w:rsidP="00705E84">
      <w:pPr>
        <w:rPr>
          <w:lang w:val="en-GB"/>
        </w:rPr>
      </w:pPr>
      <w:r w:rsidRPr="00705E84">
        <w:rPr>
          <w:lang w:val="en-GB"/>
        </w:rPr>
        <w:t>EDF’s work with Ukrainian OPDs demonstrates how disability inclusion can be operationalised effectively in humanitarian contexts. Through initiatives such as Empower Ukraine, approximately 26,000 beneficiaries were reached, alongside broader systemic impacts on participation, service access, and governance.</w:t>
      </w:r>
    </w:p>
    <w:p w14:paraId="69F23C8A" w14:textId="77777777" w:rsidR="00705E84" w:rsidRPr="00705E84" w:rsidRDefault="00705E84" w:rsidP="00DE234E">
      <w:pPr>
        <w:pStyle w:val="Heading3"/>
        <w:rPr>
          <w:lang w:val="en-GB"/>
        </w:rPr>
      </w:pPr>
      <w:r w:rsidRPr="00705E84">
        <w:rPr>
          <w:lang w:val="en-GB"/>
        </w:rPr>
        <w:t>OPD Leadership and Lived Experience</w:t>
      </w:r>
    </w:p>
    <w:p w14:paraId="0D0977DE" w14:textId="77777777" w:rsidR="00705E84" w:rsidRPr="00705E84" w:rsidRDefault="00705E84" w:rsidP="00705E84">
      <w:pPr>
        <w:rPr>
          <w:lang w:val="en-GB"/>
        </w:rPr>
      </w:pPr>
      <w:r w:rsidRPr="00705E84">
        <w:rPr>
          <w:lang w:val="en-GB"/>
        </w:rPr>
        <w:t>A central lesson is the value of OPD leadership. Persons with disabilities were engaged as outreach workers, data collectors, and coordinators, ensuring that programmes reflected lived experience. This improved the accuracy of needs assessments, strengthened trust within communities, and enhanced programme relevance.</w:t>
      </w:r>
    </w:p>
    <w:p w14:paraId="3F482B2F" w14:textId="77777777" w:rsidR="00705E84" w:rsidRPr="00705E84" w:rsidRDefault="00705E84" w:rsidP="00705E84">
      <w:pPr>
        <w:rPr>
          <w:lang w:val="en-GB"/>
        </w:rPr>
      </w:pPr>
      <w:r w:rsidRPr="00705E84">
        <w:rPr>
          <w:lang w:val="en-GB"/>
        </w:rPr>
        <w:t>This approach led to more effective targeting, reduced stigma, and increased sustainability, as OPDs remain embedded in communities beyond project cycles.</w:t>
      </w:r>
    </w:p>
    <w:p w14:paraId="4EAD7201" w14:textId="77777777" w:rsidR="00705E84" w:rsidRPr="00705E84" w:rsidRDefault="00705E84" w:rsidP="00DE234E">
      <w:pPr>
        <w:pStyle w:val="Heading3"/>
        <w:rPr>
          <w:lang w:val="en-GB"/>
        </w:rPr>
      </w:pPr>
      <w:r w:rsidRPr="00705E84">
        <w:rPr>
          <w:lang w:val="en-GB"/>
        </w:rPr>
        <w:t>Disability-Disaggregated Data</w:t>
      </w:r>
    </w:p>
    <w:p w14:paraId="6EFB7896" w14:textId="77777777" w:rsidR="00705E84" w:rsidRPr="00705E84" w:rsidRDefault="00705E84" w:rsidP="00705E84">
      <w:pPr>
        <w:rPr>
          <w:lang w:val="en-GB"/>
        </w:rPr>
      </w:pPr>
      <w:r w:rsidRPr="00705E84">
        <w:rPr>
          <w:lang w:val="en-GB"/>
        </w:rPr>
        <w:t>Community-based data collection led by OPDs significantly improved visibility and targeting. Mapping exercises identified persons with disabilities, their needs, and service gaps, enabling more equitable assistance.</w:t>
      </w:r>
    </w:p>
    <w:p w14:paraId="404E05BB" w14:textId="77777777" w:rsidR="00705E84" w:rsidRPr="00705E84" w:rsidRDefault="00705E84" w:rsidP="00705E84">
      <w:pPr>
        <w:rPr>
          <w:lang w:val="en-GB"/>
        </w:rPr>
      </w:pPr>
      <w:r w:rsidRPr="00705E84">
        <w:rPr>
          <w:lang w:val="en-GB"/>
        </w:rPr>
        <w:t>This strengthened accountability, supported evidence-based decision-making, and ensured that persons with disabilities were recognised as rights-holders rather than passive recipients.</w:t>
      </w:r>
    </w:p>
    <w:p w14:paraId="0C3EBEDD" w14:textId="77777777" w:rsidR="00705E84" w:rsidRPr="00705E84" w:rsidRDefault="00705E84" w:rsidP="00DE234E">
      <w:pPr>
        <w:pStyle w:val="Heading3"/>
        <w:rPr>
          <w:lang w:val="en-GB"/>
        </w:rPr>
      </w:pPr>
      <w:r w:rsidRPr="00705E84">
        <w:rPr>
          <w:lang w:val="en-GB"/>
        </w:rPr>
        <w:lastRenderedPageBreak/>
        <w:t>Reaching the “Last Mile”</w:t>
      </w:r>
    </w:p>
    <w:p w14:paraId="5E2CD549" w14:textId="77777777" w:rsidR="00705E84" w:rsidRPr="00705E84" w:rsidRDefault="00705E84" w:rsidP="00705E84">
      <w:pPr>
        <w:rPr>
          <w:lang w:val="en-GB"/>
        </w:rPr>
      </w:pPr>
      <w:r w:rsidRPr="00705E84">
        <w:rPr>
          <w:lang w:val="en-GB"/>
        </w:rPr>
        <w:t>Innovative, low-cost solutions enabled access to remote and underserved areas. OPDs used community networks, home visits, and adapted logistics to reach individuals often excluded from mainstream humanitarian systems.</w:t>
      </w:r>
    </w:p>
    <w:p w14:paraId="78FF49C7" w14:textId="77777777" w:rsidR="00705E84" w:rsidRPr="00705E84" w:rsidRDefault="00705E84" w:rsidP="00705E84">
      <w:pPr>
        <w:rPr>
          <w:lang w:val="en-GB"/>
        </w:rPr>
      </w:pPr>
      <w:r w:rsidRPr="00705E84">
        <w:rPr>
          <w:lang w:val="en-GB"/>
        </w:rPr>
        <w:t>This resulted in increased access, reduced isolation, and improved participation, particularly in rural contexts.</w:t>
      </w:r>
    </w:p>
    <w:p w14:paraId="74BE4596" w14:textId="77777777" w:rsidR="00705E84" w:rsidRPr="00705E84" w:rsidRDefault="00705E84" w:rsidP="00DE234E">
      <w:pPr>
        <w:pStyle w:val="Heading3"/>
        <w:rPr>
          <w:lang w:val="en-GB"/>
        </w:rPr>
      </w:pPr>
      <w:r w:rsidRPr="00705E84">
        <w:rPr>
          <w:lang w:val="en-GB"/>
        </w:rPr>
        <w:t>Localisation and System Change</w:t>
      </w:r>
    </w:p>
    <w:p w14:paraId="428073B8" w14:textId="77777777" w:rsidR="00705E84" w:rsidRPr="00705E84" w:rsidRDefault="00705E84" w:rsidP="00705E84">
      <w:pPr>
        <w:rPr>
          <w:lang w:val="en-GB"/>
        </w:rPr>
      </w:pPr>
      <w:r w:rsidRPr="00705E84">
        <w:rPr>
          <w:lang w:val="en-GB"/>
        </w:rPr>
        <w:t>The programme supported local authorities to institutionalise inclusive practices, including accessible infrastructure and services. In several cases, these were integrated into municipal budgets, ensuring sustainability beyond external funding.</w:t>
      </w:r>
    </w:p>
    <w:p w14:paraId="54E426CB" w14:textId="77777777" w:rsidR="00705E84" w:rsidRPr="00705E84" w:rsidRDefault="00705E84" w:rsidP="00705E84">
      <w:pPr>
        <w:rPr>
          <w:lang w:val="en-GB"/>
        </w:rPr>
      </w:pPr>
      <w:r w:rsidRPr="00705E84">
        <w:rPr>
          <w:lang w:val="en-GB"/>
        </w:rPr>
        <w:t>This demonstrates the importance of linking humanitarian response with longer-term development and governance processes.</w:t>
      </w:r>
    </w:p>
    <w:p w14:paraId="4FB1287D" w14:textId="77777777" w:rsidR="00705E84" w:rsidRPr="00705E84" w:rsidRDefault="00705E84" w:rsidP="00DE234E">
      <w:pPr>
        <w:pStyle w:val="Heading3"/>
        <w:rPr>
          <w:lang w:val="en-GB"/>
        </w:rPr>
      </w:pPr>
      <w:r w:rsidRPr="00705E84">
        <w:rPr>
          <w:lang w:val="en-GB"/>
        </w:rPr>
        <w:t>Integrated Approaches</w:t>
      </w:r>
    </w:p>
    <w:p w14:paraId="5A6B2F15" w14:textId="77777777" w:rsidR="00705E84" w:rsidRPr="00705E84" w:rsidRDefault="00705E84" w:rsidP="00705E84">
      <w:pPr>
        <w:rPr>
          <w:lang w:val="en-GB"/>
        </w:rPr>
      </w:pPr>
      <w:r w:rsidRPr="00705E84">
        <w:rPr>
          <w:lang w:val="en-GB"/>
        </w:rPr>
        <w:t>Combining immediate assistance (cash, assistive devices, healthcare) with longer-term interventions (capacity-building, advocacy, system strengthening) proved highly effective.</w:t>
      </w:r>
    </w:p>
    <w:p w14:paraId="00BD361B" w14:textId="27DB057F" w:rsidR="00705E84" w:rsidRPr="00705E84" w:rsidRDefault="00705E84" w:rsidP="00705E84">
      <w:pPr>
        <w:rPr>
          <w:lang w:val="en-GB"/>
        </w:rPr>
      </w:pPr>
      <w:r w:rsidRPr="00705E84">
        <w:rPr>
          <w:lang w:val="en-GB"/>
        </w:rPr>
        <w:t>The result was a shift from isolation to participation for individuals and from service delivery to leadership for OPDs.</w:t>
      </w:r>
    </w:p>
    <w:p w14:paraId="75D15E1B" w14:textId="77777777" w:rsidR="00705E84" w:rsidRPr="00705E84" w:rsidRDefault="00705E84" w:rsidP="00667784">
      <w:pPr>
        <w:pStyle w:val="Heading1"/>
        <w:rPr>
          <w:lang w:val="en-GB"/>
        </w:rPr>
      </w:pPr>
      <w:bookmarkStart w:id="4" w:name="_Toc228456712"/>
      <w:r w:rsidRPr="00705E84">
        <w:rPr>
          <w:lang w:val="en-GB"/>
        </w:rPr>
        <w:t>Implementation Gaps under CRPD Article 11</w:t>
      </w:r>
      <w:bookmarkEnd w:id="4"/>
    </w:p>
    <w:p w14:paraId="7C1429C4" w14:textId="77777777" w:rsidR="00705E84" w:rsidRPr="00705E84" w:rsidRDefault="00705E84" w:rsidP="00705E84">
      <w:pPr>
        <w:rPr>
          <w:lang w:val="en-GB"/>
        </w:rPr>
      </w:pPr>
      <w:r w:rsidRPr="00705E84">
        <w:rPr>
          <w:lang w:val="en-GB"/>
        </w:rPr>
        <w:t>While progress has been made in aligning humanitarian frameworks with CRPD principles, implementation remains uneven, fragmented, and weakly enforced.</w:t>
      </w:r>
    </w:p>
    <w:p w14:paraId="2C93489A" w14:textId="77777777" w:rsidR="00705E84" w:rsidRPr="00705E84" w:rsidRDefault="00705E84" w:rsidP="00705E84">
      <w:pPr>
        <w:rPr>
          <w:lang w:val="en-GB"/>
        </w:rPr>
      </w:pPr>
      <w:r w:rsidRPr="00705E84">
        <w:rPr>
          <w:lang w:val="en-GB"/>
        </w:rPr>
        <w:t>Policies referencing disability inclusion are not consistently translated into operational requirements, funding criteria, or accountability mechanisms. As a result, inclusion often depends on individual initiatives rather than systemic practice.</w:t>
      </w:r>
    </w:p>
    <w:p w14:paraId="2955144A" w14:textId="77777777" w:rsidR="00705E84" w:rsidRPr="00705E84" w:rsidRDefault="00705E84" w:rsidP="00705E84">
      <w:pPr>
        <w:rPr>
          <w:lang w:val="en-GB"/>
        </w:rPr>
      </w:pPr>
      <w:r w:rsidRPr="00705E84">
        <w:rPr>
          <w:lang w:val="en-GB"/>
        </w:rPr>
        <w:t>This leads to persistent exclusion, including:</w:t>
      </w:r>
    </w:p>
    <w:p w14:paraId="3FF81447" w14:textId="77777777" w:rsidR="00705E84" w:rsidRPr="00705E84" w:rsidRDefault="00705E84" w:rsidP="00C33965">
      <w:pPr>
        <w:numPr>
          <w:ilvl w:val="0"/>
          <w:numId w:val="4"/>
        </w:numPr>
        <w:rPr>
          <w:lang w:val="en-GB"/>
        </w:rPr>
      </w:pPr>
      <w:r w:rsidRPr="00705E84">
        <w:rPr>
          <w:lang w:val="en-GB"/>
        </w:rPr>
        <w:t xml:space="preserve">Barriers to accessing life-saving assistance </w:t>
      </w:r>
    </w:p>
    <w:p w14:paraId="2B2EC6E1" w14:textId="77777777" w:rsidR="00705E84" w:rsidRPr="00705E84" w:rsidRDefault="00705E84" w:rsidP="00C33965">
      <w:pPr>
        <w:numPr>
          <w:ilvl w:val="0"/>
          <w:numId w:val="4"/>
        </w:numPr>
        <w:rPr>
          <w:lang w:val="en-GB"/>
        </w:rPr>
      </w:pPr>
      <w:r w:rsidRPr="00705E84">
        <w:rPr>
          <w:lang w:val="en-GB"/>
        </w:rPr>
        <w:t xml:space="preserve">Limited participation in planning and coordination </w:t>
      </w:r>
    </w:p>
    <w:p w14:paraId="3C906C79" w14:textId="77777777" w:rsidR="00705E84" w:rsidRPr="00705E84" w:rsidRDefault="00705E84" w:rsidP="00C33965">
      <w:pPr>
        <w:numPr>
          <w:ilvl w:val="0"/>
          <w:numId w:val="4"/>
        </w:numPr>
        <w:rPr>
          <w:lang w:val="en-GB"/>
        </w:rPr>
      </w:pPr>
      <w:r w:rsidRPr="00705E84">
        <w:rPr>
          <w:lang w:val="en-GB"/>
        </w:rPr>
        <w:t xml:space="preserve">Disruption of essential services such as healthcare and rehabilitation </w:t>
      </w:r>
    </w:p>
    <w:p w14:paraId="4CC181F5" w14:textId="71F25276" w:rsidR="00705E84" w:rsidRPr="00705E84" w:rsidRDefault="00705E84" w:rsidP="00705E84">
      <w:pPr>
        <w:rPr>
          <w:lang w:val="en-GB"/>
        </w:rPr>
      </w:pPr>
      <w:r w:rsidRPr="00705E84">
        <w:rPr>
          <w:lang w:val="en-GB"/>
        </w:rPr>
        <w:lastRenderedPageBreak/>
        <w:t>These gaps expose persons with disabilities to heightened risks, including isolation and protection concerns throughout crises.</w:t>
      </w:r>
    </w:p>
    <w:p w14:paraId="36A375C9" w14:textId="77777777" w:rsidR="00705E84" w:rsidRPr="00705E84" w:rsidRDefault="00705E84" w:rsidP="00667784">
      <w:pPr>
        <w:pStyle w:val="Heading1"/>
        <w:rPr>
          <w:lang w:val="en-GB"/>
        </w:rPr>
      </w:pPr>
      <w:bookmarkStart w:id="5" w:name="_Toc228456713"/>
      <w:r w:rsidRPr="00705E84">
        <w:rPr>
          <w:lang w:val="en-GB"/>
        </w:rPr>
        <w:t>Key Barriers</w:t>
      </w:r>
      <w:bookmarkEnd w:id="5"/>
    </w:p>
    <w:p w14:paraId="37EA7B6F" w14:textId="77777777" w:rsidR="00705E84" w:rsidRPr="00705E84" w:rsidRDefault="00705E84" w:rsidP="00DE234E">
      <w:pPr>
        <w:pStyle w:val="Heading3"/>
        <w:rPr>
          <w:lang w:val="en-GB"/>
        </w:rPr>
      </w:pPr>
      <w:r w:rsidRPr="00705E84">
        <w:rPr>
          <w:lang w:val="en-GB"/>
        </w:rPr>
        <w:t>Structural Barriers</w:t>
      </w:r>
    </w:p>
    <w:p w14:paraId="398E1BE1" w14:textId="77777777" w:rsidR="00705E84" w:rsidRPr="00705E84" w:rsidRDefault="00705E84" w:rsidP="00705E84">
      <w:pPr>
        <w:rPr>
          <w:lang w:val="en-GB"/>
        </w:rPr>
      </w:pPr>
      <w:r w:rsidRPr="00705E84">
        <w:rPr>
          <w:lang w:val="en-GB"/>
        </w:rPr>
        <w:t>Disability inclusion is rarely mandated across funding and programming, resulting in inconsistent implementation. Accountability mechanisms remain weak, and disability is often treated as a specialised issue rather than a cross-cutting obligation.</w:t>
      </w:r>
    </w:p>
    <w:p w14:paraId="1BD05651" w14:textId="77777777" w:rsidR="00705E84" w:rsidRPr="00705E84" w:rsidRDefault="00705E84" w:rsidP="00DE234E">
      <w:pPr>
        <w:pStyle w:val="Heading3"/>
        <w:rPr>
          <w:lang w:val="en-GB"/>
        </w:rPr>
      </w:pPr>
      <w:r w:rsidRPr="00705E84">
        <w:rPr>
          <w:lang w:val="en-GB"/>
        </w:rPr>
        <w:t>Operational Barriers</w:t>
      </w:r>
    </w:p>
    <w:p w14:paraId="228C1128" w14:textId="77777777" w:rsidR="00705E84" w:rsidRPr="00705E84" w:rsidRDefault="00705E84" w:rsidP="00705E84">
      <w:pPr>
        <w:rPr>
          <w:lang w:val="en-GB"/>
        </w:rPr>
      </w:pPr>
      <w:r w:rsidRPr="00705E84">
        <w:rPr>
          <w:lang w:val="en-GB"/>
        </w:rPr>
        <w:t>Humanitarian systems frequently fail to integrate accessibility, assistive devices, or rehabilitation services. Without consultation with OPDs, programmes often do not meet basic standards of availability, accessibility, acceptability, and quality.</w:t>
      </w:r>
    </w:p>
    <w:p w14:paraId="727AFA0E" w14:textId="77777777" w:rsidR="00705E84" w:rsidRPr="00705E84" w:rsidRDefault="00705E84" w:rsidP="00DE234E">
      <w:pPr>
        <w:pStyle w:val="Heading3"/>
        <w:rPr>
          <w:lang w:val="en-GB"/>
        </w:rPr>
      </w:pPr>
      <w:r w:rsidRPr="00705E84">
        <w:rPr>
          <w:lang w:val="en-GB"/>
        </w:rPr>
        <w:t>Attitudinal Barriers</w:t>
      </w:r>
    </w:p>
    <w:p w14:paraId="72D7D2B6" w14:textId="77777777" w:rsidR="00705E84" w:rsidRPr="00705E84" w:rsidRDefault="00705E84" w:rsidP="00705E84">
      <w:pPr>
        <w:rPr>
          <w:lang w:val="en-GB"/>
        </w:rPr>
      </w:pPr>
      <w:r w:rsidRPr="00705E84">
        <w:rPr>
          <w:lang w:val="en-GB"/>
        </w:rPr>
        <w:t>Limited awareness and persistent biases undermine inclusion. OPDs are often not recognised as equal partners or technical experts, reducing the effectiveness of humanitarian responses.</w:t>
      </w:r>
    </w:p>
    <w:p w14:paraId="5CBB720C" w14:textId="77777777" w:rsidR="00705E84" w:rsidRPr="00705E84" w:rsidRDefault="00705E84" w:rsidP="00DE234E">
      <w:pPr>
        <w:pStyle w:val="Heading3"/>
        <w:rPr>
          <w:lang w:val="en-GB"/>
        </w:rPr>
      </w:pPr>
      <w:r w:rsidRPr="00705E84">
        <w:rPr>
          <w:lang w:val="en-GB"/>
        </w:rPr>
        <w:t>Data Barriers</w:t>
      </w:r>
    </w:p>
    <w:p w14:paraId="5EB72B4C" w14:textId="3BAB1D62" w:rsidR="00705E84" w:rsidRPr="00705E84" w:rsidRDefault="00705E84" w:rsidP="00705E84">
      <w:pPr>
        <w:rPr>
          <w:lang w:val="en-GB"/>
        </w:rPr>
      </w:pPr>
      <w:r w:rsidRPr="00705E84">
        <w:rPr>
          <w:lang w:val="en-GB"/>
        </w:rPr>
        <w:t>Disability-disaggregated data is often lacking or inconsistent. Where data exists, it is not systematically used in decision-making, limiting its impact on programming and resource allocation.</w:t>
      </w:r>
    </w:p>
    <w:p w14:paraId="3404F52D" w14:textId="77777777" w:rsidR="00705E84" w:rsidRPr="00705E84" w:rsidRDefault="00705E84" w:rsidP="00667784">
      <w:pPr>
        <w:pStyle w:val="Heading1"/>
        <w:rPr>
          <w:lang w:val="en-GB"/>
        </w:rPr>
      </w:pPr>
      <w:bookmarkStart w:id="6" w:name="_Toc228456714"/>
      <w:r w:rsidRPr="00705E84">
        <w:rPr>
          <w:lang w:val="en-GB"/>
        </w:rPr>
        <w:t>Participation and Decision-Making</w:t>
      </w:r>
      <w:bookmarkEnd w:id="6"/>
    </w:p>
    <w:p w14:paraId="3D3E8EC6" w14:textId="77777777" w:rsidR="00705E84" w:rsidRPr="00705E84" w:rsidRDefault="00705E84" w:rsidP="00705E84">
      <w:pPr>
        <w:rPr>
          <w:lang w:val="en-GB"/>
        </w:rPr>
      </w:pPr>
      <w:r w:rsidRPr="00705E84">
        <w:rPr>
          <w:lang w:val="en-GB"/>
        </w:rPr>
        <w:t>Despite CRPD obligations, participation of persons with disabilities remains limited. Engagement is often ad hoc, consultative, and occurs too late to influence outcomes meaningfully.</w:t>
      </w:r>
    </w:p>
    <w:p w14:paraId="23F80A16" w14:textId="77777777" w:rsidR="00705E84" w:rsidRPr="00705E84" w:rsidRDefault="00705E84" w:rsidP="00705E84">
      <w:pPr>
        <w:rPr>
          <w:lang w:val="en-GB"/>
        </w:rPr>
      </w:pPr>
      <w:r w:rsidRPr="00705E84">
        <w:rPr>
          <w:lang w:val="en-GB"/>
        </w:rPr>
        <w:t>Insufficient and short-term funding further constrains sustained engagement of OPDs.</w:t>
      </w:r>
    </w:p>
    <w:p w14:paraId="7DA7C4C1" w14:textId="77777777" w:rsidR="00705E84" w:rsidRPr="00705E84" w:rsidRDefault="00705E84" w:rsidP="00705E84">
      <w:pPr>
        <w:rPr>
          <w:lang w:val="en-GB"/>
        </w:rPr>
      </w:pPr>
      <w:r w:rsidRPr="00705E84">
        <w:rPr>
          <w:lang w:val="en-GB"/>
        </w:rPr>
        <w:t>Evidence from Ukraine shows that when OPDs are placed at the centre of decision-making, programmes become more responsive, adaptive, and effective. Their involvement also strengthens collaboration with authorities and contributes to broader systemic change.</w:t>
      </w:r>
    </w:p>
    <w:p w14:paraId="74BCBEAB" w14:textId="77777777" w:rsidR="00705E84" w:rsidRPr="00705E84" w:rsidRDefault="00705E84" w:rsidP="00C33965">
      <w:pPr>
        <w:pStyle w:val="Heading1"/>
        <w:rPr>
          <w:lang w:val="en-GB"/>
        </w:rPr>
      </w:pPr>
      <w:bookmarkStart w:id="7" w:name="_Toc228456715"/>
      <w:r w:rsidRPr="00705E84">
        <w:rPr>
          <w:lang w:val="en-GB"/>
        </w:rPr>
        <w:lastRenderedPageBreak/>
        <w:t>Data and Evidence</w:t>
      </w:r>
      <w:bookmarkEnd w:id="7"/>
    </w:p>
    <w:p w14:paraId="07EB9252" w14:textId="77777777" w:rsidR="00705E84" w:rsidRPr="00705E84" w:rsidRDefault="00705E84" w:rsidP="00705E84">
      <w:pPr>
        <w:rPr>
          <w:lang w:val="en-GB"/>
        </w:rPr>
      </w:pPr>
      <w:r w:rsidRPr="00705E84">
        <w:rPr>
          <w:lang w:val="en-GB"/>
        </w:rPr>
        <w:t>The lack of reliable disability-disaggregated data undermines humanitarian effectiveness. Without accurate information, persons with disabilities remain invisible in assessments and resource allocation.</w:t>
      </w:r>
    </w:p>
    <w:p w14:paraId="7359125A" w14:textId="77777777" w:rsidR="00705E84" w:rsidRPr="00705E84" w:rsidRDefault="00705E84" w:rsidP="00705E84">
      <w:pPr>
        <w:rPr>
          <w:lang w:val="en-GB"/>
        </w:rPr>
      </w:pPr>
      <w:r w:rsidRPr="00705E84">
        <w:rPr>
          <w:lang w:val="en-GB"/>
        </w:rPr>
        <w:t>The Ukraine experience demonstrates that OPD-led data collection, combined with continuous feedback mechanisms, improves targeting, accountability, and responsiveness.</w:t>
      </w:r>
    </w:p>
    <w:p w14:paraId="2189AD3C" w14:textId="15C8C470" w:rsidR="00705E84" w:rsidRPr="00705E84" w:rsidRDefault="00705E84" w:rsidP="00705E84">
      <w:pPr>
        <w:rPr>
          <w:lang w:val="en-GB"/>
        </w:rPr>
      </w:pPr>
      <w:r w:rsidRPr="00705E84">
        <w:rPr>
          <w:lang w:val="en-GB"/>
        </w:rPr>
        <w:t>Standardised tools, such as the Washington Group questions and OECD DAC disability marker, should be systematically applied.</w:t>
      </w:r>
    </w:p>
    <w:p w14:paraId="39C79DAE" w14:textId="77777777" w:rsidR="00705E84" w:rsidRPr="00705E84" w:rsidRDefault="00705E84" w:rsidP="00667784">
      <w:pPr>
        <w:pStyle w:val="Heading1"/>
        <w:rPr>
          <w:lang w:val="en-GB"/>
        </w:rPr>
      </w:pPr>
      <w:bookmarkStart w:id="8" w:name="_Toc228456716"/>
      <w:r w:rsidRPr="00705E84">
        <w:rPr>
          <w:lang w:val="en-GB"/>
        </w:rPr>
        <w:t>Disability-Targeted ODA and Humanitarian Aid</w:t>
      </w:r>
      <w:bookmarkEnd w:id="8"/>
    </w:p>
    <w:p w14:paraId="39F8EF9B" w14:textId="77777777" w:rsidR="00705E84" w:rsidRPr="00705E84" w:rsidRDefault="00705E84" w:rsidP="00705E84">
      <w:pPr>
        <w:rPr>
          <w:lang w:val="en-GB"/>
        </w:rPr>
      </w:pPr>
      <w:r w:rsidRPr="00705E84">
        <w:rPr>
          <w:lang w:val="en-GB"/>
        </w:rPr>
        <w:t>EDF’s analysis of EU Official Development Assistance (ODA) highlights significant gaps in disability inclusion:</w:t>
      </w:r>
    </w:p>
    <w:p w14:paraId="1E0CED85" w14:textId="77777777" w:rsidR="00705E84" w:rsidRPr="00705E84" w:rsidRDefault="00705E84" w:rsidP="00C33965">
      <w:pPr>
        <w:numPr>
          <w:ilvl w:val="0"/>
          <w:numId w:val="5"/>
        </w:numPr>
        <w:rPr>
          <w:lang w:val="en-GB"/>
        </w:rPr>
      </w:pPr>
      <w:r w:rsidRPr="00705E84">
        <w:rPr>
          <w:lang w:val="en-GB"/>
        </w:rPr>
        <w:t xml:space="preserve">63% of activities are not disability-related </w:t>
      </w:r>
    </w:p>
    <w:p w14:paraId="7100C37B" w14:textId="77777777" w:rsidR="00705E84" w:rsidRPr="00705E84" w:rsidRDefault="00705E84" w:rsidP="00C33965">
      <w:pPr>
        <w:numPr>
          <w:ilvl w:val="0"/>
          <w:numId w:val="5"/>
        </w:numPr>
        <w:rPr>
          <w:lang w:val="en-GB"/>
        </w:rPr>
      </w:pPr>
      <w:r w:rsidRPr="00705E84">
        <w:rPr>
          <w:lang w:val="en-GB"/>
        </w:rPr>
        <w:t xml:space="preserve">Progress has stalled since 2019 </w:t>
      </w:r>
    </w:p>
    <w:p w14:paraId="4558406B" w14:textId="77777777" w:rsidR="00705E84" w:rsidRPr="00705E84" w:rsidRDefault="00705E84" w:rsidP="00C33965">
      <w:pPr>
        <w:numPr>
          <w:ilvl w:val="0"/>
          <w:numId w:val="5"/>
        </w:numPr>
        <w:rPr>
          <w:lang w:val="en-GB"/>
        </w:rPr>
      </w:pPr>
      <w:r w:rsidRPr="00705E84">
        <w:rPr>
          <w:lang w:val="en-GB"/>
        </w:rPr>
        <w:t xml:space="preserve">€49 billion of ODA did not meaningfully address disability </w:t>
      </w:r>
    </w:p>
    <w:p w14:paraId="65AC10BA" w14:textId="77777777" w:rsidR="00705E84" w:rsidRPr="00705E84" w:rsidRDefault="00705E84" w:rsidP="00C33965">
      <w:pPr>
        <w:numPr>
          <w:ilvl w:val="0"/>
          <w:numId w:val="5"/>
        </w:numPr>
        <w:rPr>
          <w:lang w:val="en-GB"/>
        </w:rPr>
      </w:pPr>
      <w:r w:rsidRPr="00705E84">
        <w:rPr>
          <w:lang w:val="en-GB"/>
        </w:rPr>
        <w:t xml:space="preserve">Only a small number of programmes prioritise inclusion </w:t>
      </w:r>
    </w:p>
    <w:p w14:paraId="150A90D5" w14:textId="77777777" w:rsidR="00705E84" w:rsidRPr="00705E84" w:rsidRDefault="00705E84" w:rsidP="00705E84">
      <w:pPr>
        <w:rPr>
          <w:lang w:val="en-GB"/>
        </w:rPr>
      </w:pPr>
      <w:r w:rsidRPr="00705E84">
        <w:rPr>
          <w:lang w:val="en-GB"/>
        </w:rPr>
        <w:t>These findings indicate that disability inclusion remains marginal even among leading donors.</w:t>
      </w:r>
    </w:p>
    <w:p w14:paraId="5A1EE87D" w14:textId="1437A992" w:rsidR="00705E84" w:rsidRPr="00705E84" w:rsidRDefault="00705E84" w:rsidP="00705E84">
      <w:pPr>
        <w:rPr>
          <w:lang w:val="en-GB"/>
        </w:rPr>
      </w:pPr>
      <w:r w:rsidRPr="00705E84">
        <w:rPr>
          <w:lang w:val="en-GB"/>
        </w:rPr>
        <w:t>To address this, donors must ensure that all humanitarian aid is inclusive, increase disability-targeted funding, and involve OPDs across all stages of programming.</w:t>
      </w:r>
    </w:p>
    <w:p w14:paraId="6EC9F6B9" w14:textId="77777777" w:rsidR="00705E84" w:rsidRPr="00705E84" w:rsidRDefault="00705E84" w:rsidP="00C33965">
      <w:pPr>
        <w:pStyle w:val="Heading1"/>
        <w:rPr>
          <w:lang w:val="en-GB"/>
        </w:rPr>
      </w:pPr>
      <w:bookmarkStart w:id="9" w:name="_Toc228456717"/>
      <w:r w:rsidRPr="00705E84">
        <w:rPr>
          <w:lang w:val="en-GB"/>
        </w:rPr>
        <w:t>Capacity Building</w:t>
      </w:r>
      <w:bookmarkEnd w:id="9"/>
    </w:p>
    <w:p w14:paraId="550B05F3" w14:textId="77777777" w:rsidR="00705E84" w:rsidRPr="00705E84" w:rsidRDefault="00705E84" w:rsidP="00705E84">
      <w:pPr>
        <w:rPr>
          <w:lang w:val="en-GB"/>
        </w:rPr>
      </w:pPr>
      <w:r w:rsidRPr="00705E84">
        <w:rPr>
          <w:lang w:val="en-GB"/>
        </w:rPr>
        <w:t>Capacity gaps remain a major barrier to inclusion.</w:t>
      </w:r>
    </w:p>
    <w:p w14:paraId="22F0271A" w14:textId="77777777" w:rsidR="00705E84" w:rsidRPr="00705E84" w:rsidRDefault="00705E84" w:rsidP="00705E84">
      <w:pPr>
        <w:rPr>
          <w:lang w:val="en-GB"/>
        </w:rPr>
      </w:pPr>
      <w:r w:rsidRPr="00705E84">
        <w:rPr>
          <w:lang w:val="en-GB"/>
        </w:rPr>
        <w:t>Key priorities include:</w:t>
      </w:r>
    </w:p>
    <w:p w14:paraId="7218D288" w14:textId="77777777" w:rsidR="00705E84" w:rsidRPr="00705E84" w:rsidRDefault="00705E84" w:rsidP="00C33965">
      <w:pPr>
        <w:numPr>
          <w:ilvl w:val="0"/>
          <w:numId w:val="6"/>
        </w:numPr>
        <w:rPr>
          <w:lang w:val="en-GB"/>
        </w:rPr>
      </w:pPr>
      <w:r w:rsidRPr="00705E84">
        <w:rPr>
          <w:lang w:val="en-GB"/>
        </w:rPr>
        <w:t xml:space="preserve">Training humanitarian actors on disability inclusion </w:t>
      </w:r>
    </w:p>
    <w:p w14:paraId="3D518D30" w14:textId="77777777" w:rsidR="00705E84" w:rsidRPr="00705E84" w:rsidRDefault="00705E84" w:rsidP="00C33965">
      <w:pPr>
        <w:numPr>
          <w:ilvl w:val="0"/>
          <w:numId w:val="6"/>
        </w:numPr>
        <w:rPr>
          <w:lang w:val="en-GB"/>
        </w:rPr>
      </w:pPr>
      <w:r w:rsidRPr="00705E84">
        <w:rPr>
          <w:lang w:val="en-GB"/>
        </w:rPr>
        <w:t xml:space="preserve">Recognising OPDs as trainers and technical experts </w:t>
      </w:r>
    </w:p>
    <w:p w14:paraId="7CA245EC" w14:textId="77777777" w:rsidR="00705E84" w:rsidRPr="00705E84" w:rsidRDefault="00705E84" w:rsidP="00C33965">
      <w:pPr>
        <w:numPr>
          <w:ilvl w:val="0"/>
          <w:numId w:val="6"/>
        </w:numPr>
        <w:rPr>
          <w:lang w:val="en-GB"/>
        </w:rPr>
      </w:pPr>
      <w:r w:rsidRPr="00705E84">
        <w:rPr>
          <w:lang w:val="en-GB"/>
        </w:rPr>
        <w:t xml:space="preserve">Bridging the gap between humanitarian and disability sectors </w:t>
      </w:r>
    </w:p>
    <w:p w14:paraId="7861669E" w14:textId="77777777" w:rsidR="00705E84" w:rsidRPr="00705E84" w:rsidRDefault="00705E84" w:rsidP="00C33965">
      <w:pPr>
        <w:numPr>
          <w:ilvl w:val="0"/>
          <w:numId w:val="6"/>
        </w:numPr>
        <w:rPr>
          <w:lang w:val="en-GB"/>
        </w:rPr>
      </w:pPr>
      <w:r w:rsidRPr="00705E84">
        <w:rPr>
          <w:lang w:val="en-GB"/>
        </w:rPr>
        <w:t xml:space="preserve">Strengthening OPD organisational capacity </w:t>
      </w:r>
    </w:p>
    <w:p w14:paraId="4BAAAD37" w14:textId="77777777" w:rsidR="00705E84" w:rsidRPr="00705E84" w:rsidRDefault="00705E84" w:rsidP="00C33965">
      <w:pPr>
        <w:numPr>
          <w:ilvl w:val="0"/>
          <w:numId w:val="6"/>
        </w:numPr>
        <w:rPr>
          <w:lang w:val="en-GB"/>
        </w:rPr>
      </w:pPr>
      <w:r w:rsidRPr="00705E84">
        <w:rPr>
          <w:lang w:val="en-GB"/>
        </w:rPr>
        <w:lastRenderedPageBreak/>
        <w:t xml:space="preserve">Promoting continuous learning and mentoring </w:t>
      </w:r>
    </w:p>
    <w:p w14:paraId="6DC3ED85" w14:textId="77777777" w:rsidR="00705E84" w:rsidRPr="00705E84" w:rsidRDefault="00705E84" w:rsidP="00C33965">
      <w:pPr>
        <w:numPr>
          <w:ilvl w:val="0"/>
          <w:numId w:val="6"/>
        </w:numPr>
        <w:rPr>
          <w:lang w:val="en-GB"/>
        </w:rPr>
      </w:pPr>
      <w:r w:rsidRPr="00705E84">
        <w:rPr>
          <w:lang w:val="en-GB"/>
        </w:rPr>
        <w:t xml:space="preserve">Building capacity of local authorities and service providers </w:t>
      </w:r>
    </w:p>
    <w:p w14:paraId="000B78B9" w14:textId="68ACA8CA" w:rsidR="00705E84" w:rsidRPr="00705E84" w:rsidRDefault="00705E84" w:rsidP="00705E84">
      <w:pPr>
        <w:rPr>
          <w:lang w:val="en-GB"/>
        </w:rPr>
      </w:pPr>
      <w:r w:rsidRPr="00705E84">
        <w:rPr>
          <w:lang w:val="en-GB"/>
        </w:rPr>
        <w:t>The Ukraine programme demonstrates that such investments enable OPDs to transition from under-resourced actors to recognised partners in humanitarian response.</w:t>
      </w:r>
    </w:p>
    <w:p w14:paraId="5322F685" w14:textId="77777777" w:rsidR="00705E84" w:rsidRPr="00705E84" w:rsidRDefault="00705E84" w:rsidP="00667784">
      <w:pPr>
        <w:pStyle w:val="Heading1"/>
        <w:rPr>
          <w:lang w:val="en-GB"/>
        </w:rPr>
      </w:pPr>
      <w:bookmarkStart w:id="10" w:name="_Toc228456718"/>
      <w:r w:rsidRPr="00705E84">
        <w:rPr>
          <w:lang w:val="en-GB"/>
        </w:rPr>
        <w:t>Humanitarian Reset: Opportunities and Risks</w:t>
      </w:r>
      <w:bookmarkEnd w:id="10"/>
    </w:p>
    <w:p w14:paraId="7F5837B0" w14:textId="77777777" w:rsidR="00705E84" w:rsidRPr="00705E84" w:rsidRDefault="00705E84" w:rsidP="00DE234E">
      <w:pPr>
        <w:pStyle w:val="Heading3"/>
        <w:rPr>
          <w:lang w:val="en-GB"/>
        </w:rPr>
      </w:pPr>
      <w:r w:rsidRPr="00705E84">
        <w:rPr>
          <w:lang w:val="en-GB"/>
        </w:rPr>
        <w:t>Localisation</w:t>
      </w:r>
    </w:p>
    <w:p w14:paraId="765D4D93" w14:textId="77777777" w:rsidR="00705E84" w:rsidRPr="00705E84" w:rsidRDefault="00705E84" w:rsidP="00705E84">
      <w:pPr>
        <w:rPr>
          <w:lang w:val="en-GB"/>
        </w:rPr>
      </w:pPr>
      <w:r w:rsidRPr="00705E84">
        <w:rPr>
          <w:lang w:val="en-GB"/>
        </w:rPr>
        <w:t>Localisation can strengthen inclusion when OPDs are central actors. However, without adequate funding and support, it risks overburdening under-resourced organisations.</w:t>
      </w:r>
    </w:p>
    <w:p w14:paraId="7475FD4E" w14:textId="77777777" w:rsidR="00705E84" w:rsidRPr="00705E84" w:rsidRDefault="00705E84" w:rsidP="00705E84">
      <w:pPr>
        <w:rPr>
          <w:lang w:val="en-GB"/>
        </w:rPr>
      </w:pPr>
      <w:r w:rsidRPr="00705E84">
        <w:rPr>
          <w:lang w:val="en-GB"/>
        </w:rPr>
        <w:t>Localisation must recognise lived experience and community expertise, not just nationality or language.</w:t>
      </w:r>
    </w:p>
    <w:p w14:paraId="6D8391BE" w14:textId="77777777" w:rsidR="00705E84" w:rsidRPr="00705E84" w:rsidRDefault="00705E84" w:rsidP="00DE234E">
      <w:pPr>
        <w:pStyle w:val="Heading3"/>
        <w:rPr>
          <w:lang w:val="en-GB"/>
        </w:rPr>
      </w:pPr>
      <w:r w:rsidRPr="00705E84">
        <w:rPr>
          <w:lang w:val="en-GB"/>
        </w:rPr>
        <w:t>Systems Strengthening</w:t>
      </w:r>
    </w:p>
    <w:p w14:paraId="6B7B2254" w14:textId="77777777" w:rsidR="00705E84" w:rsidRPr="00705E84" w:rsidRDefault="00705E84" w:rsidP="00705E84">
      <w:pPr>
        <w:rPr>
          <w:lang w:val="en-GB"/>
        </w:rPr>
      </w:pPr>
      <w:r w:rsidRPr="00705E84">
        <w:rPr>
          <w:lang w:val="en-GB"/>
        </w:rPr>
        <w:t>Inclusive humanitarian action can contribute to long-term system change when embedded from the outset. Engagement with local authorities supports sustainability and continuity of services.</w:t>
      </w:r>
    </w:p>
    <w:p w14:paraId="6DE0D78A" w14:textId="77777777" w:rsidR="00705E84" w:rsidRPr="00705E84" w:rsidRDefault="00705E84" w:rsidP="00DE234E">
      <w:pPr>
        <w:pStyle w:val="Heading3"/>
        <w:rPr>
          <w:lang w:val="en-GB"/>
        </w:rPr>
      </w:pPr>
      <w:r w:rsidRPr="00705E84">
        <w:rPr>
          <w:lang w:val="en-GB"/>
        </w:rPr>
        <w:t>Key Risks</w:t>
      </w:r>
    </w:p>
    <w:p w14:paraId="65B9C00B" w14:textId="77777777" w:rsidR="00705E84" w:rsidRPr="00705E84" w:rsidRDefault="00705E84" w:rsidP="00C33965">
      <w:pPr>
        <w:numPr>
          <w:ilvl w:val="0"/>
          <w:numId w:val="7"/>
        </w:numPr>
        <w:rPr>
          <w:lang w:val="en-GB"/>
        </w:rPr>
      </w:pPr>
      <w:r w:rsidRPr="00705E84">
        <w:rPr>
          <w:lang w:val="en-GB"/>
        </w:rPr>
        <w:t xml:space="preserve">Inclusion deprioritised under efficiency pressures </w:t>
      </w:r>
    </w:p>
    <w:p w14:paraId="22094A07" w14:textId="77777777" w:rsidR="00705E84" w:rsidRPr="00705E84" w:rsidRDefault="00705E84" w:rsidP="00C33965">
      <w:pPr>
        <w:numPr>
          <w:ilvl w:val="0"/>
          <w:numId w:val="7"/>
        </w:numPr>
        <w:rPr>
          <w:lang w:val="en-GB"/>
        </w:rPr>
      </w:pPr>
      <w:r w:rsidRPr="00705E84">
        <w:rPr>
          <w:lang w:val="en-GB"/>
        </w:rPr>
        <w:t xml:space="preserve">Localisation without adequate resourcing </w:t>
      </w:r>
    </w:p>
    <w:p w14:paraId="5969B4D3" w14:textId="77777777" w:rsidR="00705E84" w:rsidRPr="00705E84" w:rsidRDefault="00705E84" w:rsidP="00C33965">
      <w:pPr>
        <w:numPr>
          <w:ilvl w:val="0"/>
          <w:numId w:val="7"/>
        </w:numPr>
        <w:rPr>
          <w:lang w:val="en-GB"/>
        </w:rPr>
      </w:pPr>
      <w:r w:rsidRPr="00705E84">
        <w:rPr>
          <w:lang w:val="en-GB"/>
        </w:rPr>
        <w:t xml:space="preserve">Narrow definitions of local actors </w:t>
      </w:r>
    </w:p>
    <w:p w14:paraId="474AEB07" w14:textId="77777777" w:rsidR="00705E84" w:rsidRPr="00705E84" w:rsidRDefault="00705E84" w:rsidP="00C33965">
      <w:pPr>
        <w:numPr>
          <w:ilvl w:val="0"/>
          <w:numId w:val="7"/>
        </w:numPr>
        <w:rPr>
          <w:lang w:val="en-GB"/>
        </w:rPr>
      </w:pPr>
      <w:r w:rsidRPr="00705E84">
        <w:rPr>
          <w:lang w:val="en-GB"/>
        </w:rPr>
        <w:t xml:space="preserve">Reduced flexibility in programming </w:t>
      </w:r>
    </w:p>
    <w:p w14:paraId="2027465C" w14:textId="77777777" w:rsidR="00705E84" w:rsidRPr="00705E84" w:rsidRDefault="00705E84" w:rsidP="00C33965">
      <w:pPr>
        <w:numPr>
          <w:ilvl w:val="0"/>
          <w:numId w:val="7"/>
        </w:numPr>
        <w:rPr>
          <w:lang w:val="en-GB"/>
        </w:rPr>
      </w:pPr>
      <w:r w:rsidRPr="00705E84">
        <w:rPr>
          <w:lang w:val="en-GB"/>
        </w:rPr>
        <w:t xml:space="preserve">Weakening of participation and accountability </w:t>
      </w:r>
    </w:p>
    <w:p w14:paraId="5A94C165" w14:textId="61CDF5EB" w:rsidR="00705E84" w:rsidRPr="00705E84" w:rsidRDefault="00705E84" w:rsidP="00C33965">
      <w:pPr>
        <w:numPr>
          <w:ilvl w:val="0"/>
          <w:numId w:val="7"/>
        </w:numPr>
        <w:rPr>
          <w:lang w:val="en-GB"/>
        </w:rPr>
      </w:pPr>
      <w:r w:rsidRPr="00705E84">
        <w:rPr>
          <w:lang w:val="en-GB"/>
        </w:rPr>
        <w:t xml:space="preserve">Fragmentation between humanitarian and development approaches </w:t>
      </w:r>
    </w:p>
    <w:p w14:paraId="17CC3927" w14:textId="77777777" w:rsidR="00705E84" w:rsidRPr="00705E84" w:rsidRDefault="00705E84" w:rsidP="00586C92">
      <w:pPr>
        <w:pStyle w:val="Heading1"/>
        <w:rPr>
          <w:lang w:val="en-GB"/>
        </w:rPr>
      </w:pPr>
      <w:bookmarkStart w:id="11" w:name="_Toc228456719"/>
      <w:r w:rsidRPr="00705E84">
        <w:rPr>
          <w:lang w:val="en-GB"/>
        </w:rPr>
        <w:t>Key Outcomes from Practice</w:t>
      </w:r>
      <w:bookmarkEnd w:id="11"/>
    </w:p>
    <w:p w14:paraId="10B95181" w14:textId="77777777" w:rsidR="00705E84" w:rsidRPr="00705E84" w:rsidRDefault="00705E84" w:rsidP="00705E84">
      <w:pPr>
        <w:rPr>
          <w:lang w:val="en-GB"/>
        </w:rPr>
      </w:pPr>
      <w:r w:rsidRPr="00705E84">
        <w:rPr>
          <w:lang w:val="en-GB"/>
        </w:rPr>
        <w:t>EDF’s work in Ukraine provides clear evidence that OPD participation improves humanitarian outcomes:</w:t>
      </w:r>
    </w:p>
    <w:p w14:paraId="30788E84" w14:textId="77777777" w:rsidR="00705E84" w:rsidRPr="00705E84" w:rsidRDefault="00705E84" w:rsidP="00C33965">
      <w:pPr>
        <w:numPr>
          <w:ilvl w:val="0"/>
          <w:numId w:val="8"/>
        </w:numPr>
        <w:rPr>
          <w:lang w:val="en-GB"/>
        </w:rPr>
      </w:pPr>
      <w:r w:rsidRPr="00705E84">
        <w:rPr>
          <w:lang w:val="en-GB"/>
        </w:rPr>
        <w:t xml:space="preserve">Persons with disabilities employed as staff and leaders </w:t>
      </w:r>
    </w:p>
    <w:p w14:paraId="1C0030D4" w14:textId="77777777" w:rsidR="00705E84" w:rsidRPr="00705E84" w:rsidRDefault="00705E84" w:rsidP="00C33965">
      <w:pPr>
        <w:numPr>
          <w:ilvl w:val="0"/>
          <w:numId w:val="8"/>
        </w:numPr>
        <w:rPr>
          <w:lang w:val="en-GB"/>
        </w:rPr>
      </w:pPr>
      <w:r w:rsidRPr="00705E84">
        <w:rPr>
          <w:lang w:val="en-GB"/>
        </w:rPr>
        <w:t xml:space="preserve">More accurate identification of beneficiaries </w:t>
      </w:r>
    </w:p>
    <w:p w14:paraId="4E5DE472" w14:textId="77777777" w:rsidR="00705E84" w:rsidRPr="00705E84" w:rsidRDefault="00705E84" w:rsidP="00C33965">
      <w:pPr>
        <w:numPr>
          <w:ilvl w:val="0"/>
          <w:numId w:val="8"/>
        </w:numPr>
        <w:rPr>
          <w:lang w:val="en-GB"/>
        </w:rPr>
      </w:pPr>
      <w:r w:rsidRPr="00705E84">
        <w:rPr>
          <w:lang w:val="en-GB"/>
        </w:rPr>
        <w:lastRenderedPageBreak/>
        <w:t xml:space="preserve">Increased trust and community engagement </w:t>
      </w:r>
    </w:p>
    <w:p w14:paraId="0311C26F" w14:textId="77777777" w:rsidR="00705E84" w:rsidRPr="00705E84" w:rsidRDefault="00705E84" w:rsidP="00C33965">
      <w:pPr>
        <w:numPr>
          <w:ilvl w:val="0"/>
          <w:numId w:val="8"/>
        </w:numPr>
        <w:rPr>
          <w:lang w:val="en-GB"/>
        </w:rPr>
      </w:pPr>
      <w:r w:rsidRPr="00705E84">
        <w:rPr>
          <w:lang w:val="en-GB"/>
        </w:rPr>
        <w:t xml:space="preserve">Better tailored and individualised assistance </w:t>
      </w:r>
    </w:p>
    <w:p w14:paraId="5B5CC7B5" w14:textId="77777777" w:rsidR="00705E84" w:rsidRPr="00705E84" w:rsidRDefault="00705E84" w:rsidP="00C33965">
      <w:pPr>
        <w:numPr>
          <w:ilvl w:val="0"/>
          <w:numId w:val="8"/>
        </w:numPr>
        <w:rPr>
          <w:lang w:val="en-GB"/>
        </w:rPr>
      </w:pPr>
      <w:r w:rsidRPr="00705E84">
        <w:rPr>
          <w:lang w:val="en-GB"/>
        </w:rPr>
        <w:t xml:space="preserve">Expanded reach, including to underserved populations </w:t>
      </w:r>
    </w:p>
    <w:p w14:paraId="11664B1E" w14:textId="77777777" w:rsidR="00705E84" w:rsidRPr="00705E84" w:rsidRDefault="00705E84" w:rsidP="00C33965">
      <w:pPr>
        <w:numPr>
          <w:ilvl w:val="0"/>
          <w:numId w:val="8"/>
        </w:numPr>
        <w:rPr>
          <w:lang w:val="en-GB"/>
        </w:rPr>
      </w:pPr>
      <w:r w:rsidRPr="00705E84">
        <w:rPr>
          <w:lang w:val="en-GB"/>
        </w:rPr>
        <w:t xml:space="preserve">Strengthened local systems and long-term impact </w:t>
      </w:r>
    </w:p>
    <w:p w14:paraId="228D1501" w14:textId="7694FD87" w:rsidR="00705E84" w:rsidRPr="00705E84" w:rsidRDefault="00705E84" w:rsidP="00C33965">
      <w:pPr>
        <w:numPr>
          <w:ilvl w:val="0"/>
          <w:numId w:val="8"/>
        </w:numPr>
        <w:rPr>
          <w:lang w:val="en-GB"/>
        </w:rPr>
      </w:pPr>
      <w:r w:rsidRPr="00705E84">
        <w:rPr>
          <w:lang w:val="en-GB"/>
        </w:rPr>
        <w:t xml:space="preserve">Improved accountability and programme quality </w:t>
      </w:r>
    </w:p>
    <w:p w14:paraId="196B90A5" w14:textId="77777777" w:rsidR="00705E84" w:rsidRPr="00705E84" w:rsidRDefault="00705E84" w:rsidP="00667784">
      <w:pPr>
        <w:pStyle w:val="Heading1"/>
        <w:rPr>
          <w:lang w:val="en-GB"/>
        </w:rPr>
      </w:pPr>
      <w:bookmarkStart w:id="12" w:name="_Toc228456720"/>
      <w:r w:rsidRPr="00705E84">
        <w:rPr>
          <w:lang w:val="en-GB"/>
        </w:rPr>
        <w:t>Conclusion</w:t>
      </w:r>
      <w:bookmarkEnd w:id="12"/>
    </w:p>
    <w:p w14:paraId="4E98D625" w14:textId="77777777" w:rsidR="00705E84" w:rsidRPr="00705E84" w:rsidRDefault="00705E84" w:rsidP="00705E84">
      <w:pPr>
        <w:rPr>
          <w:lang w:val="en-GB"/>
        </w:rPr>
      </w:pPr>
      <w:r w:rsidRPr="00705E84">
        <w:rPr>
          <w:lang w:val="en-GB"/>
        </w:rPr>
        <w:t>Disability-inclusive humanitarian action is achievable, scalable, and effective. However, it requires a shift from voluntary approaches to mandatory, system-wide implementation.</w:t>
      </w:r>
    </w:p>
    <w:p w14:paraId="585C18DD" w14:textId="77777777" w:rsidR="00705E84" w:rsidRPr="00705E84" w:rsidRDefault="00705E84" w:rsidP="00705E84">
      <w:pPr>
        <w:rPr>
          <w:lang w:val="en-GB"/>
        </w:rPr>
      </w:pPr>
      <w:r w:rsidRPr="00705E84">
        <w:rPr>
          <w:lang w:val="en-GB"/>
        </w:rPr>
        <w:t>OPDs must be recognised and resourced as essential humanitarian actors. Data systems must be strengthened, and capacity-building must be sustained.</w:t>
      </w:r>
    </w:p>
    <w:p w14:paraId="6032C4CE" w14:textId="77777777" w:rsidR="00705E84" w:rsidRPr="00705E84" w:rsidRDefault="00705E84" w:rsidP="00705E84">
      <w:pPr>
        <w:rPr>
          <w:lang w:val="en-GB"/>
        </w:rPr>
      </w:pPr>
      <w:r w:rsidRPr="00705E84">
        <w:rPr>
          <w:lang w:val="en-GB"/>
        </w:rPr>
        <w:t>As humanitarian reform progresses, it is critical to ensure that inclusion is not weakened but reinforced.</w:t>
      </w:r>
    </w:p>
    <w:p w14:paraId="4BB5571C" w14:textId="10A57D37" w:rsidR="00907739" w:rsidRDefault="00705E84" w:rsidP="00C33965">
      <w:pPr>
        <w:rPr>
          <w:lang w:val="en-GB"/>
        </w:rPr>
      </w:pPr>
      <w:r w:rsidRPr="00705E84">
        <w:rPr>
          <w:lang w:val="en-GB"/>
        </w:rPr>
        <w:t xml:space="preserve">Ultimately, participation and leadership of persons with disabilities are not only rights-based obligations but fundamental to delivering effective and accountable humanitarian action. </w:t>
      </w:r>
    </w:p>
    <w:p w14:paraId="37C15703" w14:textId="77777777" w:rsidR="00907739" w:rsidRDefault="00907739">
      <w:pPr>
        <w:spacing w:line="259" w:lineRule="auto"/>
        <w:rPr>
          <w:lang w:val="en-GB"/>
        </w:rPr>
      </w:pPr>
      <w:r>
        <w:rPr>
          <w:lang w:val="en-GB"/>
        </w:rPr>
        <w:br w:type="page"/>
      </w:r>
    </w:p>
    <w:p w14:paraId="27D32963" w14:textId="6C9303D5" w:rsidR="005913E6" w:rsidRPr="001B1B27" w:rsidRDefault="00907739" w:rsidP="00C33965">
      <w:pPr>
        <w:pStyle w:val="Heading1"/>
      </w:pPr>
      <w:bookmarkStart w:id="13" w:name="_Toc228456721"/>
      <w:r>
        <w:lastRenderedPageBreak/>
        <w:t>An</w:t>
      </w:r>
      <w:r w:rsidRPr="001B1B27">
        <w:t>ne</w:t>
      </w:r>
      <w:r>
        <w:t>xes</w:t>
      </w:r>
      <w:bookmarkEnd w:id="13"/>
    </w:p>
    <w:p w14:paraId="644F6112" w14:textId="4A0F0D03" w:rsidR="001120E4" w:rsidRDefault="0009295E" w:rsidP="00881334">
      <w:hyperlink r:id="rId12" w:history="1">
        <w:r w:rsidRPr="00207BB2">
          <w:rPr>
            <w:rStyle w:val="Hyperlink"/>
          </w:rPr>
          <w:t>Empower Ukraine External MEAL Report</w:t>
        </w:r>
      </w:hyperlink>
    </w:p>
    <w:p w14:paraId="5DB60F9E" w14:textId="2B1547DD" w:rsidR="0009295E" w:rsidRPr="001B1B27" w:rsidRDefault="0009295E" w:rsidP="00881334">
      <w:hyperlink r:id="rId13" w:history="1">
        <w:r w:rsidRPr="00207BB2">
          <w:rPr>
            <w:rStyle w:val="Hyperlink"/>
          </w:rPr>
          <w:t>EDF advisory note to DG ECHO on the Communication on Humanitarian Aid to the European Parliament and the Council</w:t>
        </w:r>
      </w:hyperlink>
      <w:r>
        <w:t xml:space="preserve"> </w:t>
      </w:r>
    </w:p>
    <w:p w14:paraId="026961C1" w14:textId="6A72B0EA" w:rsidR="00382268" w:rsidRDefault="00207BB2" w:rsidP="00881334">
      <w:hyperlink r:id="rId14" w:history="1">
        <w:r w:rsidRPr="001B1B27">
          <w:rPr>
            <w:rStyle w:val="Hyperlink"/>
            <w:b/>
          </w:rPr>
          <w:t>No time to lose: Assessing EU ODA for disability inclusion, 2018-2023</w:t>
        </w:r>
      </w:hyperlink>
    </w:p>
    <w:p w14:paraId="13809BBB" w14:textId="77777777" w:rsidR="00C62969" w:rsidRPr="00C62969" w:rsidRDefault="00C62969" w:rsidP="00C62969">
      <w:pPr>
        <w:rPr>
          <w:lang w:val="en-GB"/>
        </w:rPr>
      </w:pPr>
      <w:hyperlink r:id="rId15" w:history="1">
        <w:r w:rsidRPr="00C62969">
          <w:rPr>
            <w:rStyle w:val="Hyperlink"/>
            <w:lang w:val="en-GB"/>
          </w:rPr>
          <w:t>Report on Disability Inclusive Emergency Preparedness and Response in Europe - European Disability Forum</w:t>
        </w:r>
      </w:hyperlink>
    </w:p>
    <w:p w14:paraId="2C07DD92" w14:textId="77777777" w:rsidR="00207BB2" w:rsidRPr="00C62969" w:rsidRDefault="00207BB2" w:rsidP="00881334">
      <w:pPr>
        <w:rPr>
          <w:lang w:val="en-GB"/>
        </w:rPr>
      </w:pPr>
    </w:p>
    <w:p w14:paraId="63B7F075" w14:textId="61C3BB80" w:rsidR="00A9576D" w:rsidRPr="001B1B27" w:rsidRDefault="00A9576D" w:rsidP="00F449E6">
      <w:pPr>
        <w:pStyle w:val="Heading1"/>
      </w:pPr>
      <w:bookmarkStart w:id="14" w:name="_Toc228456722"/>
      <w:r w:rsidRPr="001B1B27">
        <w:t>Document credits</w:t>
      </w:r>
      <w:bookmarkEnd w:id="14"/>
    </w:p>
    <w:p w14:paraId="72B6B2CA" w14:textId="43A1D6CE" w:rsidR="0046255D" w:rsidRPr="00881334" w:rsidRDefault="00A9576D" w:rsidP="00881334">
      <w:r w:rsidRPr="00881334">
        <w:t>This document was prepared by</w:t>
      </w:r>
      <w:r w:rsidR="00774A30" w:rsidRPr="00881334">
        <w:t xml:space="preserve"> Phillipa Tucker, Coordinator for Central and </w:t>
      </w:r>
      <w:r w:rsidR="007325F2" w:rsidRPr="00881334">
        <w:t>E</w:t>
      </w:r>
      <w:r w:rsidR="00774A30" w:rsidRPr="00881334">
        <w:t xml:space="preserve">astern </w:t>
      </w:r>
      <w:r w:rsidR="00B20101" w:rsidRPr="00881334">
        <w:t>Eu</w:t>
      </w:r>
      <w:r w:rsidR="00774A30" w:rsidRPr="00881334">
        <w:t>rope</w:t>
      </w:r>
      <w:r w:rsidR="00B768C5" w:rsidRPr="00881334">
        <w:t>.</w:t>
      </w:r>
      <w:r w:rsidR="00774A30" w:rsidRPr="00881334">
        <w:t xml:space="preserve"> </w:t>
      </w:r>
      <w:r w:rsidR="00C62969" w:rsidRPr="001B1B27">
        <w:t>Views and opinions expressed are however those of the author(s) only and do not necessarily reflect those of the German Foreign Federal Office nor of CBM. Neither the GFFO nor CBM can be held responsible for them</w:t>
      </w:r>
    </w:p>
    <w:p w14:paraId="229411AE" w14:textId="105D95CC" w:rsidR="0046255D" w:rsidRPr="00881334" w:rsidRDefault="0046255D" w:rsidP="00881334">
      <w:r w:rsidRPr="00881334">
        <w:t xml:space="preserve">For more information, please contact </w:t>
      </w:r>
      <w:r w:rsidR="0053179C" w:rsidRPr="00881334">
        <w:t>Phillipa</w:t>
      </w:r>
      <w:r w:rsidRPr="00881334">
        <w:t xml:space="preserve"> Tucker, Coordinator for Central and Eastern </w:t>
      </w:r>
      <w:r w:rsidR="00B20101" w:rsidRPr="00881334">
        <w:t>Eu</w:t>
      </w:r>
      <w:r w:rsidRPr="00881334">
        <w:t>rope, International Cooperation and Humanitarian Action Team, Email phillipa.tucker@edf-feph.org</w:t>
      </w:r>
    </w:p>
    <w:p w14:paraId="177D1331" w14:textId="425A3F9E" w:rsidR="009277BC" w:rsidRPr="001B1B27" w:rsidRDefault="009277BC" w:rsidP="00881334">
      <w:r w:rsidRPr="001B1B27">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71485BDE" w:rsidR="00A9576D" w:rsidRPr="001B1B27" w:rsidRDefault="00A9576D" w:rsidP="00881334">
      <w:r w:rsidRPr="001B1B27">
        <w:t xml:space="preserve">The </w:t>
      </w:r>
      <w:r w:rsidR="00B20101" w:rsidRPr="001B1B27">
        <w:t>Eu</w:t>
      </w:r>
      <w:r w:rsidRPr="001B1B27">
        <w:t>ropean Disability Forum</w:t>
      </w:r>
      <w:r w:rsidR="009277BC" w:rsidRPr="001B1B27">
        <w:br/>
        <w:t>Mundo Madou</w:t>
      </w:r>
      <w:r w:rsidR="009277BC" w:rsidRPr="001B1B27">
        <w:br/>
      </w:r>
      <w:r w:rsidRPr="001B1B27">
        <w:t>Avenue des Arts 7-8</w:t>
      </w:r>
      <w:r w:rsidR="009277BC" w:rsidRPr="001B1B27">
        <w:br/>
        <w:t>1210 Brussels, Belgium.</w:t>
      </w:r>
    </w:p>
    <w:p w14:paraId="63FAD6C0" w14:textId="2B69825D" w:rsidR="00A9576D" w:rsidRPr="001B1B27" w:rsidRDefault="00A9576D" w:rsidP="00881334">
      <w:hyperlink r:id="rId16" w:history="1">
        <w:r w:rsidRPr="001B1B27">
          <w:rPr>
            <w:rStyle w:val="Hyperlink"/>
          </w:rPr>
          <w:t>www.edf-feph.org</w:t>
        </w:r>
      </w:hyperlink>
    </w:p>
    <w:p w14:paraId="7B572B14" w14:textId="763AF427" w:rsidR="009277BC" w:rsidRPr="001B1B27" w:rsidRDefault="009277BC" w:rsidP="00881334">
      <w:hyperlink r:id="rId17" w:history="1">
        <w:r w:rsidRPr="001B1B27">
          <w:rPr>
            <w:rStyle w:val="Hyperlink"/>
          </w:rPr>
          <w:t>info@edf-feph.org</w:t>
        </w:r>
      </w:hyperlink>
    </w:p>
    <w:p w14:paraId="7D2C5430" w14:textId="040B27E0" w:rsidR="005E0EEE" w:rsidRPr="001B1B27" w:rsidRDefault="005E0EEE" w:rsidP="00881334">
      <w:r w:rsidRPr="001B1B27">
        <w:rPr>
          <w:noProof/>
        </w:rPr>
        <w:drawing>
          <wp:anchor distT="0" distB="0" distL="114300" distR="114300" simplePos="0" relativeHeight="251661824" behindDoc="0" locked="0" layoutInCell="1" allowOverlap="1" wp14:anchorId="29AB6D3E" wp14:editId="4E4F2BE0">
            <wp:simplePos x="0" y="0"/>
            <wp:positionH relativeFrom="column">
              <wp:posOffset>-491237</wp:posOffset>
            </wp:positionH>
            <wp:positionV relativeFrom="paragraph">
              <wp:posOffset>151837</wp:posOffset>
            </wp:positionV>
            <wp:extent cx="6525312" cy="1517086"/>
            <wp:effectExtent l="0" t="0" r="8890" b="6985"/>
            <wp:wrapNone/>
            <wp:docPr id="578337617" name="Picture 5"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7617" name="Picture 5" descr="Logos"/>
                    <pic:cNvPicPr/>
                  </pic:nvPicPr>
                  <pic:blipFill rotWithShape="1">
                    <a:blip r:embed="rId18" cstate="print">
                      <a:extLst>
                        <a:ext uri="{28A0092B-C50C-407E-A947-70E740481C1C}">
                          <a14:useLocalDpi xmlns:a14="http://schemas.microsoft.com/office/drawing/2010/main" val="0"/>
                        </a:ext>
                      </a:extLst>
                    </a:blip>
                    <a:srcRect l="4726" t="33347" r="11297" b="39036"/>
                    <a:stretch>
                      <a:fillRect/>
                    </a:stretch>
                  </pic:blipFill>
                  <pic:spPr bwMode="auto">
                    <a:xfrm>
                      <a:off x="0" y="0"/>
                      <a:ext cx="6525312" cy="1517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0EC0D7" w14:textId="7DF7E9C8" w:rsidR="005E0EEE" w:rsidRPr="001B1B27" w:rsidRDefault="005E0EEE" w:rsidP="00881334"/>
    <w:sectPr w:rsidR="005E0EEE" w:rsidRPr="001B1B27" w:rsidSect="00CA7FF9">
      <w:footerReference w:type="default" r:id="rId19"/>
      <w:pgSz w:w="11906" w:h="16838" w:code="9"/>
      <w:pgMar w:top="1440" w:right="1274"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D6FB" w14:textId="77777777" w:rsidR="008A37F7" w:rsidRDefault="008A37F7" w:rsidP="00881334">
      <w:r>
        <w:separator/>
      </w:r>
    </w:p>
  </w:endnote>
  <w:endnote w:type="continuationSeparator" w:id="0">
    <w:p w14:paraId="061CB9B0" w14:textId="77777777" w:rsidR="008A37F7" w:rsidRDefault="008A37F7" w:rsidP="0088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rsidP="00881334">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rsidP="0088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A056" w14:textId="77777777" w:rsidR="008A37F7" w:rsidRDefault="008A37F7" w:rsidP="00881334">
      <w:r>
        <w:separator/>
      </w:r>
    </w:p>
  </w:footnote>
  <w:footnote w:type="continuationSeparator" w:id="0">
    <w:p w14:paraId="28A1BDA9" w14:textId="77777777" w:rsidR="008A37F7" w:rsidRDefault="008A37F7" w:rsidP="0088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266"/>
    <w:multiLevelType w:val="multilevel"/>
    <w:tmpl w:val="BE8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C2CD3"/>
    <w:multiLevelType w:val="multilevel"/>
    <w:tmpl w:val="A412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232B"/>
    <w:multiLevelType w:val="multilevel"/>
    <w:tmpl w:val="E74C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72F50"/>
    <w:multiLevelType w:val="multilevel"/>
    <w:tmpl w:val="8B1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B1269"/>
    <w:multiLevelType w:val="multilevel"/>
    <w:tmpl w:val="D1D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F33BF"/>
    <w:multiLevelType w:val="hybridMultilevel"/>
    <w:tmpl w:val="6EE22BAE"/>
    <w:lvl w:ilvl="0" w:tplc="09A41FC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A03292"/>
    <w:multiLevelType w:val="multilevel"/>
    <w:tmpl w:val="A41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F6AC1"/>
    <w:multiLevelType w:val="multilevel"/>
    <w:tmpl w:val="60C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3135">
    <w:abstractNumId w:val="5"/>
  </w:num>
  <w:num w:numId="2" w16cid:durableId="164592267">
    <w:abstractNumId w:val="3"/>
  </w:num>
  <w:num w:numId="3" w16cid:durableId="1423259815">
    <w:abstractNumId w:val="7"/>
  </w:num>
  <w:num w:numId="4" w16cid:durableId="1705666062">
    <w:abstractNumId w:val="1"/>
  </w:num>
  <w:num w:numId="5" w16cid:durableId="658272551">
    <w:abstractNumId w:val="6"/>
  </w:num>
  <w:num w:numId="6" w16cid:durableId="1288777514">
    <w:abstractNumId w:val="2"/>
  </w:num>
  <w:num w:numId="7" w16cid:durableId="1426030421">
    <w:abstractNumId w:val="0"/>
  </w:num>
  <w:num w:numId="8" w16cid:durableId="7947163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colormru v:ext="edit" colors="#f9fb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CEFE25-C7B2-451E-B4B1-D1C1AA4E15CB}"/>
    <w:docVar w:name="dgnword-eventsink" w:val="2272953552560"/>
  </w:docVars>
  <w:rsids>
    <w:rsidRoot w:val="00E47FF5"/>
    <w:rsid w:val="00016FA2"/>
    <w:rsid w:val="0004049B"/>
    <w:rsid w:val="00040DAC"/>
    <w:rsid w:val="00054D5A"/>
    <w:rsid w:val="00055E1D"/>
    <w:rsid w:val="00084126"/>
    <w:rsid w:val="0008516E"/>
    <w:rsid w:val="00086B24"/>
    <w:rsid w:val="0009295E"/>
    <w:rsid w:val="00094F15"/>
    <w:rsid w:val="000A30DB"/>
    <w:rsid w:val="000B2D52"/>
    <w:rsid w:val="000B4C96"/>
    <w:rsid w:val="000C4E0A"/>
    <w:rsid w:val="000D37CF"/>
    <w:rsid w:val="000D37E5"/>
    <w:rsid w:val="000E1708"/>
    <w:rsid w:val="000E29FD"/>
    <w:rsid w:val="000E2FFF"/>
    <w:rsid w:val="000E664A"/>
    <w:rsid w:val="000E7F8D"/>
    <w:rsid w:val="00100761"/>
    <w:rsid w:val="00101F14"/>
    <w:rsid w:val="00102B6E"/>
    <w:rsid w:val="001120E4"/>
    <w:rsid w:val="00116F07"/>
    <w:rsid w:val="00147AEF"/>
    <w:rsid w:val="00151105"/>
    <w:rsid w:val="00151438"/>
    <w:rsid w:val="0015515E"/>
    <w:rsid w:val="00155B43"/>
    <w:rsid w:val="001716A5"/>
    <w:rsid w:val="00173155"/>
    <w:rsid w:val="00180A7F"/>
    <w:rsid w:val="00187E62"/>
    <w:rsid w:val="001A0112"/>
    <w:rsid w:val="001B1B27"/>
    <w:rsid w:val="001E0F08"/>
    <w:rsid w:val="001E3FAE"/>
    <w:rsid w:val="001F207D"/>
    <w:rsid w:val="001F2797"/>
    <w:rsid w:val="001F47C9"/>
    <w:rsid w:val="002065E9"/>
    <w:rsid w:val="00207BB2"/>
    <w:rsid w:val="00221B40"/>
    <w:rsid w:val="00224809"/>
    <w:rsid w:val="00237BCB"/>
    <w:rsid w:val="00244545"/>
    <w:rsid w:val="00246451"/>
    <w:rsid w:val="00250302"/>
    <w:rsid w:val="00255B78"/>
    <w:rsid w:val="00256152"/>
    <w:rsid w:val="00261A0A"/>
    <w:rsid w:val="00282B80"/>
    <w:rsid w:val="00292D94"/>
    <w:rsid w:val="002941B1"/>
    <w:rsid w:val="00297E72"/>
    <w:rsid w:val="002A5982"/>
    <w:rsid w:val="002C4D35"/>
    <w:rsid w:val="002D6570"/>
    <w:rsid w:val="002E043C"/>
    <w:rsid w:val="002E221E"/>
    <w:rsid w:val="002E25E5"/>
    <w:rsid w:val="002F4D0E"/>
    <w:rsid w:val="00301C49"/>
    <w:rsid w:val="00307CE3"/>
    <w:rsid w:val="00320EBB"/>
    <w:rsid w:val="003454BE"/>
    <w:rsid w:val="00355289"/>
    <w:rsid w:val="0036656E"/>
    <w:rsid w:val="00382268"/>
    <w:rsid w:val="003B1E30"/>
    <w:rsid w:val="003B60A1"/>
    <w:rsid w:val="003C3ABD"/>
    <w:rsid w:val="003C78D1"/>
    <w:rsid w:val="003D1BF3"/>
    <w:rsid w:val="003E7242"/>
    <w:rsid w:val="003F2ECC"/>
    <w:rsid w:val="00402FC8"/>
    <w:rsid w:val="004136FE"/>
    <w:rsid w:val="00443446"/>
    <w:rsid w:val="00445E49"/>
    <w:rsid w:val="00453C01"/>
    <w:rsid w:val="0046255D"/>
    <w:rsid w:val="00472A0C"/>
    <w:rsid w:val="004746DC"/>
    <w:rsid w:val="004A4256"/>
    <w:rsid w:val="004B3D6D"/>
    <w:rsid w:val="004B734B"/>
    <w:rsid w:val="004C3659"/>
    <w:rsid w:val="004C558C"/>
    <w:rsid w:val="004C6598"/>
    <w:rsid w:val="004E3AC2"/>
    <w:rsid w:val="004F7A64"/>
    <w:rsid w:val="0051366E"/>
    <w:rsid w:val="00520906"/>
    <w:rsid w:val="00530C53"/>
    <w:rsid w:val="0053179C"/>
    <w:rsid w:val="00541EBA"/>
    <w:rsid w:val="00573E19"/>
    <w:rsid w:val="00582322"/>
    <w:rsid w:val="00586C92"/>
    <w:rsid w:val="005913E6"/>
    <w:rsid w:val="005A1D30"/>
    <w:rsid w:val="005A4889"/>
    <w:rsid w:val="005B01F0"/>
    <w:rsid w:val="005B4B01"/>
    <w:rsid w:val="005D06DD"/>
    <w:rsid w:val="005D3585"/>
    <w:rsid w:val="005D414D"/>
    <w:rsid w:val="005E0EEE"/>
    <w:rsid w:val="005E749D"/>
    <w:rsid w:val="005F71CB"/>
    <w:rsid w:val="00601A68"/>
    <w:rsid w:val="00606390"/>
    <w:rsid w:val="00614F24"/>
    <w:rsid w:val="0062393F"/>
    <w:rsid w:val="00632676"/>
    <w:rsid w:val="00655A11"/>
    <w:rsid w:val="006567F6"/>
    <w:rsid w:val="00667784"/>
    <w:rsid w:val="0067777E"/>
    <w:rsid w:val="0068691E"/>
    <w:rsid w:val="00691AEA"/>
    <w:rsid w:val="006A2AB3"/>
    <w:rsid w:val="006A4D22"/>
    <w:rsid w:val="006A6BD9"/>
    <w:rsid w:val="006B7EF7"/>
    <w:rsid w:val="006C1A26"/>
    <w:rsid w:val="006C7C7E"/>
    <w:rsid w:val="006D0B23"/>
    <w:rsid w:val="006D336A"/>
    <w:rsid w:val="006F5CF4"/>
    <w:rsid w:val="0070317D"/>
    <w:rsid w:val="00705E84"/>
    <w:rsid w:val="007131A1"/>
    <w:rsid w:val="00713AB1"/>
    <w:rsid w:val="00725087"/>
    <w:rsid w:val="007325F2"/>
    <w:rsid w:val="00754BF0"/>
    <w:rsid w:val="00765881"/>
    <w:rsid w:val="00765FEF"/>
    <w:rsid w:val="00774A30"/>
    <w:rsid w:val="00775121"/>
    <w:rsid w:val="00782425"/>
    <w:rsid w:val="007B5B2F"/>
    <w:rsid w:val="007C01AA"/>
    <w:rsid w:val="007C5410"/>
    <w:rsid w:val="007C7CD3"/>
    <w:rsid w:val="007D2F62"/>
    <w:rsid w:val="007E0BB5"/>
    <w:rsid w:val="00802CD5"/>
    <w:rsid w:val="008044C0"/>
    <w:rsid w:val="008054A7"/>
    <w:rsid w:val="008065A5"/>
    <w:rsid w:val="008073A6"/>
    <w:rsid w:val="00810C47"/>
    <w:rsid w:val="00823794"/>
    <w:rsid w:val="00823945"/>
    <w:rsid w:val="008521E3"/>
    <w:rsid w:val="00852CFE"/>
    <w:rsid w:val="00863F9B"/>
    <w:rsid w:val="00881334"/>
    <w:rsid w:val="008864C9"/>
    <w:rsid w:val="00894F2F"/>
    <w:rsid w:val="00895E8A"/>
    <w:rsid w:val="008A0905"/>
    <w:rsid w:val="008A37F7"/>
    <w:rsid w:val="008B51E4"/>
    <w:rsid w:val="008C4E44"/>
    <w:rsid w:val="008D7F12"/>
    <w:rsid w:val="008E0E8F"/>
    <w:rsid w:val="00901312"/>
    <w:rsid w:val="00903D6E"/>
    <w:rsid w:val="00906577"/>
    <w:rsid w:val="00907739"/>
    <w:rsid w:val="009140C5"/>
    <w:rsid w:val="00915036"/>
    <w:rsid w:val="009277BC"/>
    <w:rsid w:val="0093066D"/>
    <w:rsid w:val="009342BD"/>
    <w:rsid w:val="00941C74"/>
    <w:rsid w:val="0094467F"/>
    <w:rsid w:val="00945658"/>
    <w:rsid w:val="00950157"/>
    <w:rsid w:val="0095551A"/>
    <w:rsid w:val="00957260"/>
    <w:rsid w:val="009A7896"/>
    <w:rsid w:val="009C4F73"/>
    <w:rsid w:val="009D40BB"/>
    <w:rsid w:val="009D7F1B"/>
    <w:rsid w:val="00A025CE"/>
    <w:rsid w:val="00A36CE8"/>
    <w:rsid w:val="00A51F0A"/>
    <w:rsid w:val="00A57667"/>
    <w:rsid w:val="00A90B76"/>
    <w:rsid w:val="00A9576D"/>
    <w:rsid w:val="00A9671D"/>
    <w:rsid w:val="00AA66C4"/>
    <w:rsid w:val="00AB65AD"/>
    <w:rsid w:val="00AC014E"/>
    <w:rsid w:val="00AC556B"/>
    <w:rsid w:val="00AD235B"/>
    <w:rsid w:val="00AD55B8"/>
    <w:rsid w:val="00AF5049"/>
    <w:rsid w:val="00B02C1C"/>
    <w:rsid w:val="00B02E0D"/>
    <w:rsid w:val="00B055D0"/>
    <w:rsid w:val="00B156C9"/>
    <w:rsid w:val="00B20101"/>
    <w:rsid w:val="00B27E1D"/>
    <w:rsid w:val="00B30927"/>
    <w:rsid w:val="00B4367C"/>
    <w:rsid w:val="00B515CD"/>
    <w:rsid w:val="00B531A7"/>
    <w:rsid w:val="00B768B8"/>
    <w:rsid w:val="00B768C5"/>
    <w:rsid w:val="00BA377D"/>
    <w:rsid w:val="00BC2508"/>
    <w:rsid w:val="00BC6BEC"/>
    <w:rsid w:val="00C040B4"/>
    <w:rsid w:val="00C078B8"/>
    <w:rsid w:val="00C13AD4"/>
    <w:rsid w:val="00C16635"/>
    <w:rsid w:val="00C20275"/>
    <w:rsid w:val="00C329E5"/>
    <w:rsid w:val="00C330DC"/>
    <w:rsid w:val="00C33965"/>
    <w:rsid w:val="00C47230"/>
    <w:rsid w:val="00C52C21"/>
    <w:rsid w:val="00C62969"/>
    <w:rsid w:val="00C62E69"/>
    <w:rsid w:val="00C66968"/>
    <w:rsid w:val="00C86CBA"/>
    <w:rsid w:val="00C93F4E"/>
    <w:rsid w:val="00CA7FF9"/>
    <w:rsid w:val="00CC649D"/>
    <w:rsid w:val="00CC7430"/>
    <w:rsid w:val="00CD5C83"/>
    <w:rsid w:val="00CE1DA4"/>
    <w:rsid w:val="00CE20CE"/>
    <w:rsid w:val="00CE4F50"/>
    <w:rsid w:val="00D01FC6"/>
    <w:rsid w:val="00D02D67"/>
    <w:rsid w:val="00D11DAB"/>
    <w:rsid w:val="00D31D82"/>
    <w:rsid w:val="00D36362"/>
    <w:rsid w:val="00D37EDB"/>
    <w:rsid w:val="00D71C17"/>
    <w:rsid w:val="00D92AF0"/>
    <w:rsid w:val="00D93355"/>
    <w:rsid w:val="00D96B6F"/>
    <w:rsid w:val="00DA27C3"/>
    <w:rsid w:val="00DD362D"/>
    <w:rsid w:val="00DD440D"/>
    <w:rsid w:val="00DE234E"/>
    <w:rsid w:val="00E175BC"/>
    <w:rsid w:val="00E41423"/>
    <w:rsid w:val="00E47FF5"/>
    <w:rsid w:val="00E53F26"/>
    <w:rsid w:val="00E62CBF"/>
    <w:rsid w:val="00E666D7"/>
    <w:rsid w:val="00E950B2"/>
    <w:rsid w:val="00E97923"/>
    <w:rsid w:val="00EA0706"/>
    <w:rsid w:val="00EB6B74"/>
    <w:rsid w:val="00EC688E"/>
    <w:rsid w:val="00EF674A"/>
    <w:rsid w:val="00F07D2D"/>
    <w:rsid w:val="00F10493"/>
    <w:rsid w:val="00F12807"/>
    <w:rsid w:val="00F21571"/>
    <w:rsid w:val="00F260B7"/>
    <w:rsid w:val="00F34A74"/>
    <w:rsid w:val="00F449E6"/>
    <w:rsid w:val="00F46829"/>
    <w:rsid w:val="00F4725B"/>
    <w:rsid w:val="00F5051D"/>
    <w:rsid w:val="00F5544C"/>
    <w:rsid w:val="00FD2FB9"/>
    <w:rsid w:val="00FE5382"/>
    <w:rsid w:val="00FE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fbfd"/>
    </o:shapedefaults>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81"/>
    <w:pPr>
      <w:spacing w:line="276" w:lineRule="auto"/>
    </w:pPr>
    <w:rPr>
      <w:rFonts w:ascii="Verdana" w:hAnsi="Verdana"/>
      <w:sz w:val="24"/>
      <w:lang w:val="en-CA" w:eastAsia="en-GB"/>
    </w:rPr>
  </w:style>
  <w:style w:type="paragraph" w:styleId="Heading1">
    <w:name w:val="heading 1"/>
    <w:basedOn w:val="Heading2"/>
    <w:next w:val="Normal"/>
    <w:link w:val="Heading1Char"/>
    <w:uiPriority w:val="9"/>
    <w:qFormat/>
    <w:rsid w:val="00F449E6"/>
    <w:pPr>
      <w:outlineLvl w:val="0"/>
    </w:pPr>
    <w:rPr>
      <w:rFonts w:eastAsia="Times New Roman"/>
      <w:sz w:val="36"/>
      <w:szCs w:val="36"/>
    </w:rPr>
  </w:style>
  <w:style w:type="paragraph" w:styleId="Heading2">
    <w:name w:val="heading 2"/>
    <w:basedOn w:val="Normal"/>
    <w:next w:val="Normal"/>
    <w:link w:val="Heading2Char"/>
    <w:uiPriority w:val="9"/>
    <w:unhideWhenUsed/>
    <w:qFormat/>
    <w:rsid w:val="00320EBB"/>
    <w:pPr>
      <w:keepNext/>
      <w:keepLines/>
      <w:pBdr>
        <w:top w:val="single" w:sz="4" w:space="1" w:color="A20000"/>
        <w:left w:val="single" w:sz="4" w:space="31" w:color="A20000"/>
        <w:bottom w:val="single" w:sz="4" w:space="1" w:color="A20000"/>
        <w:right w:val="single" w:sz="4" w:space="31" w:color="A20000"/>
      </w:pBdr>
      <w:shd w:val="clear" w:color="auto" w:fill="C00000"/>
      <w:spacing w:before="360" w:after="24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9D40BB"/>
    <w:pPr>
      <w:keepNext/>
      <w:keepLines/>
      <w:spacing w:before="240" w:after="120"/>
      <w:outlineLvl w:val="2"/>
    </w:pPr>
    <w:rPr>
      <w:rFonts w:ascii="Arial" w:eastAsiaTheme="majorEastAsia" w:hAnsi="Arial" w:cstheme="majorBidi"/>
      <w:b/>
      <w:color w:val="000099"/>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F449E6"/>
    <w:rPr>
      <w:rFonts w:ascii="Arial" w:eastAsia="Times New Roman" w:hAnsi="Arial" w:cstheme="majorBidi"/>
      <w:b/>
      <w:color w:val="FFFFFF" w:themeColor="background1"/>
      <w:sz w:val="36"/>
      <w:szCs w:val="36"/>
      <w:shd w:val="clear" w:color="auto" w:fill="C00000"/>
      <w:lang w:val="en-CA" w:eastAsia="en-GB"/>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7C9"/>
    <w:pPr>
      <w:numPr>
        <w:numId w:val="1"/>
      </w:numPr>
      <w:spacing w:before="120" w:after="120"/>
      <w:ind w:left="357" w:hanging="357"/>
      <w:contextualSpacing/>
    </w:pPr>
  </w:style>
  <w:style w:type="character" w:customStyle="1" w:styleId="Heading2Char">
    <w:name w:val="Heading 2 Char"/>
    <w:basedOn w:val="DefaultParagraphFont"/>
    <w:link w:val="Heading2"/>
    <w:uiPriority w:val="9"/>
    <w:rsid w:val="00320EBB"/>
    <w:rPr>
      <w:rFonts w:ascii="Arial" w:eastAsiaTheme="majorEastAsia" w:hAnsi="Arial" w:cstheme="majorBidi"/>
      <w:b/>
      <w:color w:val="FFFFFF" w:themeColor="background1"/>
      <w:sz w:val="28"/>
      <w:szCs w:val="26"/>
      <w:shd w:val="clear" w:color="auto" w:fill="C00000"/>
      <w:lang w:val="en-CA"/>
    </w:rPr>
  </w:style>
  <w:style w:type="character" w:customStyle="1" w:styleId="Heading3Char">
    <w:name w:val="Heading 3 Char"/>
    <w:basedOn w:val="DefaultParagraphFont"/>
    <w:link w:val="Heading3"/>
    <w:uiPriority w:val="9"/>
    <w:rsid w:val="009D40BB"/>
    <w:rPr>
      <w:rFonts w:ascii="Arial" w:eastAsiaTheme="majorEastAsia" w:hAnsi="Arial" w:cstheme="majorBidi"/>
      <w:b/>
      <w:color w:val="000099"/>
      <w:sz w:val="28"/>
      <w:szCs w:val="24"/>
      <w:lang w:val="en-GB" w:eastAsia="en-GB"/>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NormalWeb">
    <w:name w:val="Normal (Web)"/>
    <w:basedOn w:val="Normal"/>
    <w:uiPriority w:val="99"/>
    <w:semiHidden/>
    <w:unhideWhenUsed/>
    <w:rsid w:val="00224809"/>
    <w:rPr>
      <w:rFonts w:ascii="Times New Roman" w:hAnsi="Times New Roman" w:cs="Times New Roman"/>
      <w:szCs w:val="24"/>
    </w:rPr>
  </w:style>
  <w:style w:type="paragraph" w:styleId="FootnoteText">
    <w:name w:val="footnote text"/>
    <w:basedOn w:val="Normal"/>
    <w:link w:val="FootnoteTextChar"/>
    <w:uiPriority w:val="99"/>
    <w:unhideWhenUsed/>
    <w:rsid w:val="00FD2FB9"/>
    <w:pPr>
      <w:spacing w:after="0" w:line="240" w:lineRule="auto"/>
    </w:pPr>
    <w:rPr>
      <w:sz w:val="20"/>
      <w:szCs w:val="20"/>
    </w:rPr>
  </w:style>
  <w:style w:type="character" w:customStyle="1" w:styleId="FootnoteTextChar">
    <w:name w:val="Footnote Text Char"/>
    <w:basedOn w:val="DefaultParagraphFont"/>
    <w:link w:val="FootnoteText"/>
    <w:uiPriority w:val="99"/>
    <w:rsid w:val="00FD2FB9"/>
    <w:rPr>
      <w:rFonts w:ascii="Verdana" w:hAnsi="Verdana"/>
      <w:sz w:val="20"/>
      <w:szCs w:val="20"/>
    </w:rPr>
  </w:style>
  <w:style w:type="character" w:styleId="FootnoteReference">
    <w:name w:val="footnote reference"/>
    <w:basedOn w:val="DefaultParagraphFont"/>
    <w:uiPriority w:val="99"/>
    <w:semiHidden/>
    <w:unhideWhenUsed/>
    <w:rsid w:val="00FD2FB9"/>
    <w:rPr>
      <w:vertAlign w:val="superscript"/>
    </w:rPr>
  </w:style>
  <w:style w:type="character" w:styleId="CommentReference">
    <w:name w:val="annotation reference"/>
    <w:basedOn w:val="DefaultParagraphFont"/>
    <w:uiPriority w:val="99"/>
    <w:semiHidden/>
    <w:unhideWhenUsed/>
    <w:rsid w:val="00E666D7"/>
    <w:rPr>
      <w:sz w:val="16"/>
      <w:szCs w:val="16"/>
    </w:rPr>
  </w:style>
  <w:style w:type="paragraph" w:styleId="CommentText">
    <w:name w:val="annotation text"/>
    <w:basedOn w:val="Normal"/>
    <w:link w:val="CommentTextChar"/>
    <w:uiPriority w:val="99"/>
    <w:unhideWhenUsed/>
    <w:rsid w:val="00E666D7"/>
    <w:pPr>
      <w:spacing w:line="240" w:lineRule="auto"/>
    </w:pPr>
    <w:rPr>
      <w:sz w:val="20"/>
      <w:szCs w:val="20"/>
    </w:rPr>
  </w:style>
  <w:style w:type="character" w:customStyle="1" w:styleId="CommentTextChar">
    <w:name w:val="Comment Text Char"/>
    <w:basedOn w:val="DefaultParagraphFont"/>
    <w:link w:val="CommentText"/>
    <w:uiPriority w:val="99"/>
    <w:rsid w:val="00E666D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666D7"/>
    <w:rPr>
      <w:b/>
      <w:bCs/>
    </w:rPr>
  </w:style>
  <w:style w:type="character" w:customStyle="1" w:styleId="CommentSubjectChar">
    <w:name w:val="Comment Subject Char"/>
    <w:basedOn w:val="CommentTextChar"/>
    <w:link w:val="CommentSubject"/>
    <w:uiPriority w:val="99"/>
    <w:semiHidden/>
    <w:rsid w:val="00E666D7"/>
    <w:rPr>
      <w:rFonts w:ascii="Verdana" w:hAnsi="Verdana"/>
      <w:b/>
      <w:bCs/>
      <w:sz w:val="20"/>
      <w:szCs w:val="20"/>
    </w:rPr>
  </w:style>
  <w:style w:type="character" w:styleId="Mention">
    <w:name w:val="Mention"/>
    <w:basedOn w:val="DefaultParagraphFont"/>
    <w:uiPriority w:val="99"/>
    <w:unhideWhenUsed/>
    <w:rsid w:val="00CC649D"/>
    <w:rPr>
      <w:color w:val="2B579A"/>
      <w:shd w:val="clear" w:color="auto" w:fill="E1DFDD"/>
    </w:rPr>
  </w:style>
  <w:style w:type="character" w:customStyle="1" w:styleId="whitespace-normal">
    <w:name w:val="whitespace-normal"/>
    <w:basedOn w:val="DefaultParagraphFont"/>
    <w:rsid w:val="000E2FFF"/>
  </w:style>
  <w:style w:type="character" w:styleId="FollowedHyperlink">
    <w:name w:val="FollowedHyperlink"/>
    <w:basedOn w:val="DefaultParagraphFont"/>
    <w:uiPriority w:val="99"/>
    <w:semiHidden/>
    <w:unhideWhenUsed/>
    <w:rsid w:val="000929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ublications/communication-on-humanitarian-aid-edfs-input-into-the-dg-echo-consultation/"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f-feph.org/content/uploads/2023/09/Empower-Ukraine-Final-External-Monitoring-Report.pdf" TargetMode="External"/><Relationship Id="rId17" Type="http://schemas.openxmlformats.org/officeDocument/2006/relationships/hyperlink" Target="mailto:info@edf-feph.org" TargetMode="External"/><Relationship Id="rId2" Type="http://schemas.openxmlformats.org/officeDocument/2006/relationships/customXml" Target="../customXml/item2.xml"/><Relationship Id="rId16" Type="http://schemas.openxmlformats.org/officeDocument/2006/relationships/hyperlink" Target="http://www.edf-fep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2.safelinks.protection.outlook.com/?url=https%3A%2F%2Fwww.edf-feph.org%2Fpublications%2Freport-on-disability-inclusive-emergency-preparedness-and-response-in-europe%2F&amp;data=05%7C02%7Cphillipa.tucker%40edf-feph.org%7C4d86053bdd9b4fb8281808dea5803848%7C44778fc7c4d54ea3b59bd83c01859bce%7C0%7C0%7C639130167347030924%7CUnknown%7CTWFpbGZsb3d8eyJFbXB0eU1hcGkiOnRydWUsIlYiOiIwLjAuMDAwMCIsIlAiOiJXaW4zMiIsIkFOIjoiTWFpbCIsIldUIjoyfQ%3D%3D%7C0%7C%7C%7C&amp;sdata=%2BZOa8epDltm28oBafhf1KsaYSOSvZXVllgs7Fn7%2BD1I%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5/12/Final-DAC-marker-report-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e00467fe-ee27-498a-abbb-350178a6aa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80DBD27FDBBB4F9BB6C93BBEAEBEC7" ma:contentTypeVersion="12" ma:contentTypeDescription="Create a new document." ma:contentTypeScope="" ma:versionID="9ba1c127b13085007b2d326cc4f1e45a">
  <xsd:schema xmlns:xsd="http://www.w3.org/2001/XMLSchema" xmlns:xs="http://www.w3.org/2001/XMLSchema" xmlns:p="http://schemas.microsoft.com/office/2006/metadata/properties" xmlns:ns2="e00467fe-ee27-498a-abbb-350178a6aae3" xmlns:ns3="252f4827-23ce-43c5-a232-6be14f1d3f55" targetNamespace="http://schemas.microsoft.com/office/2006/metadata/properties" ma:root="true" ma:fieldsID="85ba4953e6885e00e0d4a50d120650ba" ns2:_="" ns3:_="">
    <xsd:import namespace="e00467fe-ee27-498a-abbb-350178a6aae3"/>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467fe-ee27-498a-abbb-350178a6a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2.xml><?xml version="1.0" encoding="utf-8"?>
<ds:datastoreItem xmlns:ds="http://schemas.openxmlformats.org/officeDocument/2006/customXml" ds:itemID="{14AFACE6-0306-4992-9A4A-619CB41FFE96}">
  <ds:schemaRefs>
    <ds:schemaRef ds:uri="http://schemas.microsoft.com/office/2006/metadata/properties"/>
    <ds:schemaRef ds:uri="http://schemas.microsoft.com/office/infopath/2007/PartnerControls"/>
    <ds:schemaRef ds:uri="252f4827-23ce-43c5-a232-6be14f1d3f55"/>
    <ds:schemaRef ds:uri="e00467fe-ee27-498a-abbb-350178a6aae3"/>
  </ds:schemaRefs>
</ds:datastoreItem>
</file>

<file path=customXml/itemProps3.xml><?xml version="1.0" encoding="utf-8"?>
<ds:datastoreItem xmlns:ds="http://schemas.openxmlformats.org/officeDocument/2006/customXml" ds:itemID="{29B71CE6-0248-48CA-85B8-5BFE14289119}">
  <ds:schemaRefs>
    <ds:schemaRef ds:uri="http://schemas.openxmlformats.org/officeDocument/2006/bibliography"/>
  </ds:schemaRefs>
</ds:datastoreItem>
</file>

<file path=customXml/itemProps4.xml><?xml version="1.0" encoding="utf-8"?>
<ds:datastoreItem xmlns:ds="http://schemas.openxmlformats.org/officeDocument/2006/customXml" ds:itemID="{B350E716-F592-4437-8A3F-2FF360EA8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467fe-ee27-498a-abbb-350178a6aae3"/>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Phillipa Tucker</cp:lastModifiedBy>
  <cp:revision>11</cp:revision>
  <dcterms:created xsi:type="dcterms:W3CDTF">2026-04-30T13:43:00Z</dcterms:created>
  <dcterms:modified xsi:type="dcterms:W3CDTF">2026-04-30T13:51:00Z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0x010100AE80DBD27FDBBB4F9BB6C93BBEAEBEC7</vt:lpwstr>
  </property>
  <property fmtid="{D5CDD505-2E9C-101B-9397-08002B2CF9AE}" pid="3" name="Order">
    <vt:r8>4021600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