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BFD"/>
  <w:body>
    <w:p w14:paraId="190F546B" w14:textId="44109376" w:rsidR="008054A7" w:rsidRPr="001B1B27" w:rsidRDefault="008054A7" w:rsidP="00881334">
      <w:r w:rsidRPr="001B1B27">
        <w:rPr>
          <w:noProof/>
        </w:rPr>
        <mc:AlternateContent>
          <mc:Choice Requires="wps">
            <w:drawing>
              <wp:anchor distT="0" distB="0" distL="114300" distR="114300" simplePos="0" relativeHeight="251655680"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283B69" id="Rectangle 6" o:spid="_x0000_s1026" alt="&quot;&quot;" style="position:absolute;margin-left:0;margin-top:-47pt;width:528.85pt;height:790pt;z-index:-2516608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1B1B27">
        <w:rPr>
          <w:noProof/>
        </w:rPr>
        <mc:AlternateContent>
          <mc:Choice Requires="wps">
            <w:drawing>
              <wp:anchor distT="0" distB="0" distL="114300" distR="114300" simplePos="0" relativeHeight="251654656"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9CF31C" id="Rectangle 1" o:spid="_x0000_s1026" alt="&quot;&quot;" style="position:absolute;margin-left:0;margin-top:-72.15pt;width:593.55pt;height:870.65pt;z-index:-25166182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sidRPr="001B1B27">
        <w:rPr>
          <w:noProof/>
        </w:rPr>
        <w:drawing>
          <wp:inline distT="0" distB="0" distL="0" distR="0" wp14:anchorId="3382C997" wp14:editId="78B5E59F">
            <wp:extent cx="1755224" cy="1944710"/>
            <wp:effectExtent l="0" t="0" r="0" b="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7161" cy="1957935"/>
                    </a:xfrm>
                    <a:prstGeom prst="rect">
                      <a:avLst/>
                    </a:prstGeom>
                    <a:noFill/>
                    <a:ln>
                      <a:noFill/>
                    </a:ln>
                  </pic:spPr>
                </pic:pic>
              </a:graphicData>
            </a:graphic>
          </wp:inline>
        </w:drawing>
      </w:r>
    </w:p>
    <w:p w14:paraId="2FEBFBB6" w14:textId="0D3A92CB" w:rsidR="00D11DAB" w:rsidRPr="001B1B27" w:rsidRDefault="005D3585" w:rsidP="00881334">
      <w:pPr>
        <w:pStyle w:val="Title"/>
      </w:pPr>
      <w:r w:rsidRPr="001B1B27">
        <w:t>Special Rapport</w:t>
      </w:r>
      <w:r w:rsidR="00B20101" w:rsidRPr="001B1B27">
        <w:t>eu</w:t>
      </w:r>
      <w:r w:rsidRPr="001B1B27">
        <w:t>r on the rights of persons with disabilities</w:t>
      </w:r>
      <w:r w:rsidR="009140C5" w:rsidRPr="001B1B27">
        <w:t xml:space="preserve"> </w:t>
      </w:r>
      <w:r w:rsidR="00582322" w:rsidRPr="001B1B27">
        <w:t xml:space="preserve">– </w:t>
      </w:r>
      <w:r w:rsidR="00863F9B" w:rsidRPr="001B1B27">
        <w:t>Submission on Disability Inclusive Humanitarian Aid</w:t>
      </w:r>
    </w:p>
    <w:p w14:paraId="2BCF485D" w14:textId="6E1185A6" w:rsidR="008054A7" w:rsidRPr="001B1B27" w:rsidRDefault="00B20101" w:rsidP="00881334">
      <w:pPr>
        <w:pStyle w:val="Subtitle"/>
      </w:pPr>
      <w:r w:rsidRPr="001B1B27">
        <w:t>Eu</w:t>
      </w:r>
      <w:r w:rsidR="00E47FF5" w:rsidRPr="001B1B27">
        <w:t xml:space="preserve">ropean Disability </w:t>
      </w:r>
      <w:r w:rsidR="00606390" w:rsidRPr="001B1B27">
        <w:t xml:space="preserve">Forum </w:t>
      </w:r>
      <w:r w:rsidR="00E47FF5" w:rsidRPr="001B1B27">
        <w:t>Position</w:t>
      </w:r>
      <w:r w:rsidR="00B768B8" w:rsidRPr="001B1B27">
        <w:t xml:space="preserve"> Paper</w:t>
      </w:r>
    </w:p>
    <w:p w14:paraId="1778242A" w14:textId="72CDD225" w:rsidR="009140C5" w:rsidRPr="001B1B27" w:rsidRDefault="00863F9B" w:rsidP="00881334">
      <w:pPr>
        <w:pStyle w:val="Subtitle"/>
        <w:rPr>
          <w:bCs/>
          <w:sz w:val="28"/>
          <w:szCs w:val="28"/>
        </w:rPr>
      </w:pPr>
      <w:r w:rsidRPr="001B1B27">
        <w:t>April</w:t>
      </w:r>
      <w:r w:rsidR="00B768B8" w:rsidRPr="001B1B27">
        <w:t xml:space="preserve"> 2026</w:t>
      </w:r>
      <w:r w:rsidR="009140C5" w:rsidRPr="001B1B27">
        <w:rPr>
          <w:noProof/>
        </w:rPr>
        <mc:AlternateContent>
          <mc:Choice Requires="wps">
            <w:drawing>
              <wp:anchor distT="0" distB="0" distL="114300" distR="114300" simplePos="0" relativeHeight="251653632" behindDoc="1" locked="0" layoutInCell="1" allowOverlap="1" wp14:anchorId="31CD50D3" wp14:editId="0B1E9F8A">
                <wp:simplePos x="0" y="0"/>
                <wp:positionH relativeFrom="page">
                  <wp:posOffset>-10795</wp:posOffset>
                </wp:positionH>
                <wp:positionV relativeFrom="paragraph">
                  <wp:posOffset>634754</wp:posOffset>
                </wp:positionV>
                <wp:extent cx="7549116" cy="996287"/>
                <wp:effectExtent l="0" t="0" r="13970" b="1397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996287"/>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1C378" id="Rectangle 3" o:spid="_x0000_s1026" alt="&quot;&quot;" style="position:absolute;margin-left:-.85pt;margin-top:50pt;width:594.4pt;height:78.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" fillcolor="#a20000" strokecolor="#1f3763 [1604]" strokeweight="1pt">
                <w10:wrap anchorx="page"/>
              </v:rect>
            </w:pict>
          </mc:Fallback>
        </mc:AlternateContent>
      </w:r>
    </w:p>
    <w:p w14:paraId="79A4A1C9" w14:textId="08FC674B" w:rsidR="00A9576D" w:rsidRPr="001B1B27" w:rsidRDefault="00A9576D" w:rsidP="00F449E6">
      <w:pPr>
        <w:pStyle w:val="Heading1"/>
      </w:pPr>
      <w:bookmarkStart w:id="0" w:name="_Toc228456050"/>
      <w:r w:rsidRPr="001B1B27">
        <w:lastRenderedPageBreak/>
        <w:t>Table of Contents</w:t>
      </w:r>
      <w:bookmarkEnd w:id="0"/>
    </w:p>
    <w:p w14:paraId="3EDACC6E" w14:textId="28A84F40" w:rsidR="00C62969" w:rsidRDefault="00A9576D">
      <w:pPr>
        <w:pStyle w:val="TOC1"/>
        <w:tabs>
          <w:tab w:val="right" w:leader="dot" w:pos="9016"/>
        </w:tabs>
        <w:rPr>
          <w:rFonts w:asciiTheme="minorHAnsi" w:eastAsiaTheme="minorEastAsia" w:hAnsiTheme="minorHAnsi"/>
          <w:noProof/>
          <w:kern w:val="2"/>
          <w:szCs w:val="24"/>
          <w:lang w:val="en-GB"/>
          <w14:ligatures w14:val="standardContextual"/>
        </w:rPr>
      </w:pPr>
      <w:r w:rsidRPr="001B1B27">
        <w:fldChar w:fldCharType="begin"/>
      </w:r>
      <w:r w:rsidRPr="001B1B27">
        <w:instrText xml:space="preserve"> TOC \o "1-2" \h \z \u </w:instrText>
      </w:r>
      <w:r w:rsidRPr="001B1B27">
        <w:fldChar w:fldCharType="separate"/>
      </w:r>
      <w:hyperlink w:anchor="_Toc228456050" w:history="1">
        <w:r w:rsidR="00C62969" w:rsidRPr="00826B38">
          <w:rPr>
            <w:rStyle w:val="Hyperlink"/>
            <w:noProof/>
          </w:rPr>
          <w:t>Table of Contents</w:t>
        </w:r>
        <w:r w:rsidR="00C62969">
          <w:rPr>
            <w:noProof/>
            <w:webHidden/>
          </w:rPr>
          <w:tab/>
        </w:r>
        <w:r w:rsidR="00C62969">
          <w:rPr>
            <w:noProof/>
            <w:webHidden/>
          </w:rPr>
          <w:fldChar w:fldCharType="begin"/>
        </w:r>
        <w:r w:rsidR="00C62969">
          <w:rPr>
            <w:noProof/>
            <w:webHidden/>
          </w:rPr>
          <w:instrText xml:space="preserve"> PAGEREF _Toc228456050 \h </w:instrText>
        </w:r>
        <w:r w:rsidR="00C62969">
          <w:rPr>
            <w:noProof/>
            <w:webHidden/>
          </w:rPr>
        </w:r>
        <w:r w:rsidR="00C62969">
          <w:rPr>
            <w:noProof/>
            <w:webHidden/>
          </w:rPr>
          <w:fldChar w:fldCharType="separate"/>
        </w:r>
        <w:r w:rsidR="00C62969">
          <w:rPr>
            <w:noProof/>
            <w:webHidden/>
          </w:rPr>
          <w:t>2</w:t>
        </w:r>
        <w:r w:rsidR="00C62969">
          <w:rPr>
            <w:noProof/>
            <w:webHidden/>
          </w:rPr>
          <w:fldChar w:fldCharType="end"/>
        </w:r>
      </w:hyperlink>
    </w:p>
    <w:p w14:paraId="6AE16D87" w14:textId="64A4ACFA" w:rsidR="00C62969" w:rsidRDefault="00C62969">
      <w:pPr>
        <w:pStyle w:val="TOC1"/>
        <w:tabs>
          <w:tab w:val="right" w:leader="dot" w:pos="9016"/>
        </w:tabs>
        <w:rPr>
          <w:rFonts w:asciiTheme="minorHAnsi" w:eastAsiaTheme="minorEastAsia" w:hAnsiTheme="minorHAnsi"/>
          <w:noProof/>
          <w:kern w:val="2"/>
          <w:szCs w:val="24"/>
          <w:lang w:val="en-GB"/>
          <w14:ligatures w14:val="standardContextual"/>
        </w:rPr>
      </w:pPr>
      <w:hyperlink w:anchor="_Toc228456051" w:history="1">
        <w:r w:rsidRPr="00826B38">
          <w:rPr>
            <w:rStyle w:val="Hyperlink"/>
            <w:noProof/>
          </w:rPr>
          <w:t>The European Disability Forum</w:t>
        </w:r>
        <w:r>
          <w:rPr>
            <w:noProof/>
            <w:webHidden/>
          </w:rPr>
          <w:tab/>
        </w:r>
        <w:r>
          <w:rPr>
            <w:noProof/>
            <w:webHidden/>
          </w:rPr>
          <w:fldChar w:fldCharType="begin"/>
        </w:r>
        <w:r>
          <w:rPr>
            <w:noProof/>
            <w:webHidden/>
          </w:rPr>
          <w:instrText xml:space="preserve"> PAGEREF _Toc228456051 \h </w:instrText>
        </w:r>
        <w:r>
          <w:rPr>
            <w:noProof/>
            <w:webHidden/>
          </w:rPr>
        </w:r>
        <w:r>
          <w:rPr>
            <w:noProof/>
            <w:webHidden/>
          </w:rPr>
          <w:fldChar w:fldCharType="separate"/>
        </w:r>
        <w:r>
          <w:rPr>
            <w:noProof/>
            <w:webHidden/>
          </w:rPr>
          <w:t>2</w:t>
        </w:r>
        <w:r>
          <w:rPr>
            <w:noProof/>
            <w:webHidden/>
          </w:rPr>
          <w:fldChar w:fldCharType="end"/>
        </w:r>
      </w:hyperlink>
    </w:p>
    <w:p w14:paraId="6533BE84" w14:textId="62D32733" w:rsidR="00C62969" w:rsidRDefault="00C62969">
      <w:pPr>
        <w:pStyle w:val="TOC1"/>
        <w:tabs>
          <w:tab w:val="right" w:leader="dot" w:pos="9016"/>
        </w:tabs>
        <w:rPr>
          <w:rFonts w:asciiTheme="minorHAnsi" w:eastAsiaTheme="minorEastAsia" w:hAnsiTheme="minorHAnsi"/>
          <w:noProof/>
          <w:kern w:val="2"/>
          <w:szCs w:val="24"/>
          <w:lang w:val="en-GB"/>
          <w14:ligatures w14:val="standardContextual"/>
        </w:rPr>
      </w:pPr>
      <w:hyperlink w:anchor="_Toc228456052" w:history="1">
        <w:r w:rsidRPr="00826B38">
          <w:rPr>
            <w:rStyle w:val="Hyperlink"/>
            <w:noProof/>
          </w:rPr>
          <w:t>Executive Summary</w:t>
        </w:r>
        <w:r>
          <w:rPr>
            <w:noProof/>
            <w:webHidden/>
          </w:rPr>
          <w:tab/>
        </w:r>
        <w:r>
          <w:rPr>
            <w:noProof/>
            <w:webHidden/>
          </w:rPr>
          <w:fldChar w:fldCharType="begin"/>
        </w:r>
        <w:r>
          <w:rPr>
            <w:noProof/>
            <w:webHidden/>
          </w:rPr>
          <w:instrText xml:space="preserve"> PAGEREF _Toc228456052 \h </w:instrText>
        </w:r>
        <w:r>
          <w:rPr>
            <w:noProof/>
            <w:webHidden/>
          </w:rPr>
        </w:r>
        <w:r>
          <w:rPr>
            <w:noProof/>
            <w:webHidden/>
          </w:rPr>
          <w:fldChar w:fldCharType="separate"/>
        </w:r>
        <w:r>
          <w:rPr>
            <w:noProof/>
            <w:webHidden/>
          </w:rPr>
          <w:t>3</w:t>
        </w:r>
        <w:r>
          <w:rPr>
            <w:noProof/>
            <w:webHidden/>
          </w:rPr>
          <w:fldChar w:fldCharType="end"/>
        </w:r>
      </w:hyperlink>
    </w:p>
    <w:p w14:paraId="0D20AC24" w14:textId="13BAEB75" w:rsidR="00C62969" w:rsidRDefault="00C62969">
      <w:pPr>
        <w:pStyle w:val="TOC1"/>
        <w:tabs>
          <w:tab w:val="right" w:leader="dot" w:pos="9016"/>
        </w:tabs>
        <w:rPr>
          <w:rFonts w:asciiTheme="minorHAnsi" w:eastAsiaTheme="minorEastAsia" w:hAnsiTheme="minorHAnsi"/>
          <w:noProof/>
          <w:kern w:val="2"/>
          <w:szCs w:val="24"/>
          <w:lang w:val="en-GB"/>
          <w14:ligatures w14:val="standardContextual"/>
        </w:rPr>
      </w:pPr>
      <w:hyperlink w:anchor="_Toc228456053" w:history="1">
        <w:r w:rsidRPr="00826B38">
          <w:rPr>
            <w:rStyle w:val="Hyperlink"/>
            <w:noProof/>
          </w:rPr>
          <w:t>Introduction and positioning</w:t>
        </w:r>
        <w:r>
          <w:rPr>
            <w:noProof/>
            <w:webHidden/>
          </w:rPr>
          <w:tab/>
        </w:r>
        <w:r>
          <w:rPr>
            <w:noProof/>
            <w:webHidden/>
          </w:rPr>
          <w:fldChar w:fldCharType="begin"/>
        </w:r>
        <w:r>
          <w:rPr>
            <w:noProof/>
            <w:webHidden/>
          </w:rPr>
          <w:instrText xml:space="preserve"> PAGEREF _Toc228456053 \h </w:instrText>
        </w:r>
        <w:r>
          <w:rPr>
            <w:noProof/>
            <w:webHidden/>
          </w:rPr>
        </w:r>
        <w:r>
          <w:rPr>
            <w:noProof/>
            <w:webHidden/>
          </w:rPr>
          <w:fldChar w:fldCharType="separate"/>
        </w:r>
        <w:r>
          <w:rPr>
            <w:noProof/>
            <w:webHidden/>
          </w:rPr>
          <w:t>4</w:t>
        </w:r>
        <w:r>
          <w:rPr>
            <w:noProof/>
            <w:webHidden/>
          </w:rPr>
          <w:fldChar w:fldCharType="end"/>
        </w:r>
      </w:hyperlink>
    </w:p>
    <w:p w14:paraId="3978A0EB" w14:textId="45C3CEC0" w:rsidR="00C62969" w:rsidRDefault="00C62969">
      <w:pPr>
        <w:pStyle w:val="TOC1"/>
        <w:tabs>
          <w:tab w:val="right" w:leader="dot" w:pos="9016"/>
        </w:tabs>
        <w:rPr>
          <w:rFonts w:asciiTheme="minorHAnsi" w:eastAsiaTheme="minorEastAsia" w:hAnsiTheme="minorHAnsi"/>
          <w:noProof/>
          <w:kern w:val="2"/>
          <w:szCs w:val="24"/>
          <w:lang w:val="en-GB"/>
          <w14:ligatures w14:val="standardContextual"/>
        </w:rPr>
      </w:pPr>
      <w:hyperlink w:anchor="_Toc228456054" w:history="1">
        <w:r w:rsidRPr="00826B38">
          <w:rPr>
            <w:rStyle w:val="Hyperlink"/>
            <w:noProof/>
          </w:rPr>
          <w:t>Good practice</w:t>
        </w:r>
        <w:r>
          <w:rPr>
            <w:noProof/>
            <w:webHidden/>
          </w:rPr>
          <w:tab/>
        </w:r>
        <w:r>
          <w:rPr>
            <w:noProof/>
            <w:webHidden/>
          </w:rPr>
          <w:fldChar w:fldCharType="begin"/>
        </w:r>
        <w:r>
          <w:rPr>
            <w:noProof/>
            <w:webHidden/>
          </w:rPr>
          <w:instrText xml:space="preserve"> PAGEREF _Toc228456054 \h </w:instrText>
        </w:r>
        <w:r>
          <w:rPr>
            <w:noProof/>
            <w:webHidden/>
          </w:rPr>
        </w:r>
        <w:r>
          <w:rPr>
            <w:noProof/>
            <w:webHidden/>
          </w:rPr>
          <w:fldChar w:fldCharType="separate"/>
        </w:r>
        <w:r>
          <w:rPr>
            <w:noProof/>
            <w:webHidden/>
          </w:rPr>
          <w:t>5</w:t>
        </w:r>
        <w:r>
          <w:rPr>
            <w:noProof/>
            <w:webHidden/>
          </w:rPr>
          <w:fldChar w:fldCharType="end"/>
        </w:r>
      </w:hyperlink>
    </w:p>
    <w:p w14:paraId="63C227EB" w14:textId="2E6436E4" w:rsidR="00C62969" w:rsidRDefault="00C62969">
      <w:pPr>
        <w:pStyle w:val="TOC1"/>
        <w:tabs>
          <w:tab w:val="right" w:leader="dot" w:pos="9016"/>
        </w:tabs>
        <w:rPr>
          <w:rFonts w:asciiTheme="minorHAnsi" w:eastAsiaTheme="minorEastAsia" w:hAnsiTheme="minorHAnsi"/>
          <w:noProof/>
          <w:kern w:val="2"/>
          <w:szCs w:val="24"/>
          <w:lang w:val="en-GB"/>
          <w14:ligatures w14:val="standardContextual"/>
        </w:rPr>
      </w:pPr>
      <w:hyperlink w:anchor="_Toc228456055" w:history="1">
        <w:r w:rsidRPr="00826B38">
          <w:rPr>
            <w:rStyle w:val="Hyperlink"/>
            <w:noProof/>
          </w:rPr>
          <w:t>Implementation of CRPD Article 11</w:t>
        </w:r>
        <w:r>
          <w:rPr>
            <w:noProof/>
            <w:webHidden/>
          </w:rPr>
          <w:tab/>
        </w:r>
        <w:r>
          <w:rPr>
            <w:noProof/>
            <w:webHidden/>
          </w:rPr>
          <w:fldChar w:fldCharType="begin"/>
        </w:r>
        <w:r>
          <w:rPr>
            <w:noProof/>
            <w:webHidden/>
          </w:rPr>
          <w:instrText xml:space="preserve"> PAGEREF _Toc228456055 \h </w:instrText>
        </w:r>
        <w:r>
          <w:rPr>
            <w:noProof/>
            <w:webHidden/>
          </w:rPr>
        </w:r>
        <w:r>
          <w:rPr>
            <w:noProof/>
            <w:webHidden/>
          </w:rPr>
          <w:fldChar w:fldCharType="separate"/>
        </w:r>
        <w:r>
          <w:rPr>
            <w:noProof/>
            <w:webHidden/>
          </w:rPr>
          <w:t>9</w:t>
        </w:r>
        <w:r>
          <w:rPr>
            <w:noProof/>
            <w:webHidden/>
          </w:rPr>
          <w:fldChar w:fldCharType="end"/>
        </w:r>
      </w:hyperlink>
    </w:p>
    <w:p w14:paraId="2A824654" w14:textId="271D5A47" w:rsidR="00C62969" w:rsidRDefault="00C62969">
      <w:pPr>
        <w:pStyle w:val="TOC1"/>
        <w:tabs>
          <w:tab w:val="right" w:leader="dot" w:pos="9016"/>
        </w:tabs>
        <w:rPr>
          <w:rFonts w:asciiTheme="minorHAnsi" w:eastAsiaTheme="minorEastAsia" w:hAnsiTheme="minorHAnsi"/>
          <w:noProof/>
          <w:kern w:val="2"/>
          <w:szCs w:val="24"/>
          <w:lang w:val="en-GB"/>
          <w14:ligatures w14:val="standardContextual"/>
        </w:rPr>
      </w:pPr>
      <w:hyperlink w:anchor="_Toc228456056" w:history="1">
        <w:r w:rsidRPr="00826B38">
          <w:rPr>
            <w:rStyle w:val="Hyperlink"/>
            <w:noProof/>
          </w:rPr>
          <w:t>Key barriers to inclusive humanitarian assistance</w:t>
        </w:r>
        <w:r>
          <w:rPr>
            <w:noProof/>
            <w:webHidden/>
          </w:rPr>
          <w:tab/>
        </w:r>
        <w:r>
          <w:rPr>
            <w:noProof/>
            <w:webHidden/>
          </w:rPr>
          <w:fldChar w:fldCharType="begin"/>
        </w:r>
        <w:r>
          <w:rPr>
            <w:noProof/>
            <w:webHidden/>
          </w:rPr>
          <w:instrText xml:space="preserve"> PAGEREF _Toc228456056 \h </w:instrText>
        </w:r>
        <w:r>
          <w:rPr>
            <w:noProof/>
            <w:webHidden/>
          </w:rPr>
        </w:r>
        <w:r>
          <w:rPr>
            <w:noProof/>
            <w:webHidden/>
          </w:rPr>
          <w:fldChar w:fldCharType="separate"/>
        </w:r>
        <w:r>
          <w:rPr>
            <w:noProof/>
            <w:webHidden/>
          </w:rPr>
          <w:t>10</w:t>
        </w:r>
        <w:r>
          <w:rPr>
            <w:noProof/>
            <w:webHidden/>
          </w:rPr>
          <w:fldChar w:fldCharType="end"/>
        </w:r>
      </w:hyperlink>
    </w:p>
    <w:p w14:paraId="62D0C3D4" w14:textId="76D5EA3A" w:rsidR="00C62969" w:rsidRDefault="00C62969">
      <w:pPr>
        <w:pStyle w:val="TOC1"/>
        <w:tabs>
          <w:tab w:val="right" w:leader="dot" w:pos="9016"/>
        </w:tabs>
        <w:rPr>
          <w:rFonts w:asciiTheme="minorHAnsi" w:eastAsiaTheme="minorEastAsia" w:hAnsiTheme="minorHAnsi"/>
          <w:noProof/>
          <w:kern w:val="2"/>
          <w:szCs w:val="24"/>
          <w:lang w:val="en-GB"/>
          <w14:ligatures w14:val="standardContextual"/>
        </w:rPr>
      </w:pPr>
      <w:hyperlink w:anchor="_Toc228456057" w:history="1">
        <w:r w:rsidRPr="00826B38">
          <w:rPr>
            <w:rStyle w:val="Hyperlink"/>
            <w:noProof/>
          </w:rPr>
          <w:t>Decision making and participation</w:t>
        </w:r>
        <w:r>
          <w:rPr>
            <w:noProof/>
            <w:webHidden/>
          </w:rPr>
          <w:tab/>
        </w:r>
        <w:r>
          <w:rPr>
            <w:noProof/>
            <w:webHidden/>
          </w:rPr>
          <w:fldChar w:fldCharType="begin"/>
        </w:r>
        <w:r>
          <w:rPr>
            <w:noProof/>
            <w:webHidden/>
          </w:rPr>
          <w:instrText xml:space="preserve"> PAGEREF _Toc228456057 \h </w:instrText>
        </w:r>
        <w:r>
          <w:rPr>
            <w:noProof/>
            <w:webHidden/>
          </w:rPr>
        </w:r>
        <w:r>
          <w:rPr>
            <w:noProof/>
            <w:webHidden/>
          </w:rPr>
          <w:fldChar w:fldCharType="separate"/>
        </w:r>
        <w:r>
          <w:rPr>
            <w:noProof/>
            <w:webHidden/>
          </w:rPr>
          <w:t>11</w:t>
        </w:r>
        <w:r>
          <w:rPr>
            <w:noProof/>
            <w:webHidden/>
          </w:rPr>
          <w:fldChar w:fldCharType="end"/>
        </w:r>
      </w:hyperlink>
    </w:p>
    <w:p w14:paraId="7DF58882" w14:textId="7B76DBDD" w:rsidR="00C62969" w:rsidRDefault="00C62969">
      <w:pPr>
        <w:pStyle w:val="TOC1"/>
        <w:tabs>
          <w:tab w:val="right" w:leader="dot" w:pos="9016"/>
        </w:tabs>
        <w:rPr>
          <w:rFonts w:asciiTheme="minorHAnsi" w:eastAsiaTheme="minorEastAsia" w:hAnsiTheme="minorHAnsi"/>
          <w:noProof/>
          <w:kern w:val="2"/>
          <w:szCs w:val="24"/>
          <w:lang w:val="en-GB"/>
          <w14:ligatures w14:val="standardContextual"/>
        </w:rPr>
      </w:pPr>
      <w:hyperlink w:anchor="_Toc228456058" w:history="1">
        <w:r w:rsidRPr="00826B38">
          <w:rPr>
            <w:rStyle w:val="Hyperlink"/>
            <w:noProof/>
          </w:rPr>
          <w:t>Data – disaggregated and in decision making</w:t>
        </w:r>
        <w:r>
          <w:rPr>
            <w:noProof/>
            <w:webHidden/>
          </w:rPr>
          <w:tab/>
        </w:r>
        <w:r>
          <w:rPr>
            <w:noProof/>
            <w:webHidden/>
          </w:rPr>
          <w:fldChar w:fldCharType="begin"/>
        </w:r>
        <w:r>
          <w:rPr>
            <w:noProof/>
            <w:webHidden/>
          </w:rPr>
          <w:instrText xml:space="preserve"> PAGEREF _Toc228456058 \h </w:instrText>
        </w:r>
        <w:r>
          <w:rPr>
            <w:noProof/>
            <w:webHidden/>
          </w:rPr>
        </w:r>
        <w:r>
          <w:rPr>
            <w:noProof/>
            <w:webHidden/>
          </w:rPr>
          <w:fldChar w:fldCharType="separate"/>
        </w:r>
        <w:r>
          <w:rPr>
            <w:noProof/>
            <w:webHidden/>
          </w:rPr>
          <w:t>12</w:t>
        </w:r>
        <w:r>
          <w:rPr>
            <w:noProof/>
            <w:webHidden/>
          </w:rPr>
          <w:fldChar w:fldCharType="end"/>
        </w:r>
      </w:hyperlink>
    </w:p>
    <w:p w14:paraId="4F82E407" w14:textId="67BD0D16" w:rsidR="00C62969" w:rsidRDefault="00C62969">
      <w:pPr>
        <w:pStyle w:val="TOC1"/>
        <w:tabs>
          <w:tab w:val="right" w:leader="dot" w:pos="9016"/>
        </w:tabs>
        <w:rPr>
          <w:rFonts w:asciiTheme="minorHAnsi" w:eastAsiaTheme="minorEastAsia" w:hAnsiTheme="minorHAnsi"/>
          <w:noProof/>
          <w:kern w:val="2"/>
          <w:szCs w:val="24"/>
          <w:lang w:val="en-GB"/>
          <w14:ligatures w14:val="standardContextual"/>
        </w:rPr>
      </w:pPr>
      <w:hyperlink w:anchor="_Toc228456059" w:history="1">
        <w:r w:rsidRPr="00826B38">
          <w:rPr>
            <w:rStyle w:val="Hyperlink"/>
            <w:noProof/>
          </w:rPr>
          <w:t>Disability targeted ODA and humanitarian aid</w:t>
        </w:r>
        <w:r>
          <w:rPr>
            <w:noProof/>
            <w:webHidden/>
          </w:rPr>
          <w:tab/>
        </w:r>
        <w:r>
          <w:rPr>
            <w:noProof/>
            <w:webHidden/>
          </w:rPr>
          <w:fldChar w:fldCharType="begin"/>
        </w:r>
        <w:r>
          <w:rPr>
            <w:noProof/>
            <w:webHidden/>
          </w:rPr>
          <w:instrText xml:space="preserve"> PAGEREF _Toc228456059 \h </w:instrText>
        </w:r>
        <w:r>
          <w:rPr>
            <w:noProof/>
            <w:webHidden/>
          </w:rPr>
        </w:r>
        <w:r>
          <w:rPr>
            <w:noProof/>
            <w:webHidden/>
          </w:rPr>
          <w:fldChar w:fldCharType="separate"/>
        </w:r>
        <w:r>
          <w:rPr>
            <w:noProof/>
            <w:webHidden/>
          </w:rPr>
          <w:t>13</w:t>
        </w:r>
        <w:r>
          <w:rPr>
            <w:noProof/>
            <w:webHidden/>
          </w:rPr>
          <w:fldChar w:fldCharType="end"/>
        </w:r>
      </w:hyperlink>
    </w:p>
    <w:p w14:paraId="6B72C3AC" w14:textId="0ED28014" w:rsidR="00C62969" w:rsidRDefault="00C62969">
      <w:pPr>
        <w:pStyle w:val="TOC1"/>
        <w:tabs>
          <w:tab w:val="right" w:leader="dot" w:pos="9016"/>
        </w:tabs>
        <w:rPr>
          <w:rFonts w:asciiTheme="minorHAnsi" w:eastAsiaTheme="minorEastAsia" w:hAnsiTheme="minorHAnsi"/>
          <w:noProof/>
          <w:kern w:val="2"/>
          <w:szCs w:val="24"/>
          <w:lang w:val="en-GB"/>
          <w14:ligatures w14:val="standardContextual"/>
        </w:rPr>
      </w:pPr>
      <w:hyperlink w:anchor="_Toc228456060" w:history="1">
        <w:r w:rsidRPr="00826B38">
          <w:rPr>
            <w:rStyle w:val="Hyperlink"/>
            <w:noProof/>
          </w:rPr>
          <w:t>Capacity building and institutional support</w:t>
        </w:r>
        <w:r>
          <w:rPr>
            <w:noProof/>
            <w:webHidden/>
          </w:rPr>
          <w:tab/>
        </w:r>
        <w:r>
          <w:rPr>
            <w:noProof/>
            <w:webHidden/>
          </w:rPr>
          <w:fldChar w:fldCharType="begin"/>
        </w:r>
        <w:r>
          <w:rPr>
            <w:noProof/>
            <w:webHidden/>
          </w:rPr>
          <w:instrText xml:space="preserve"> PAGEREF _Toc228456060 \h </w:instrText>
        </w:r>
        <w:r>
          <w:rPr>
            <w:noProof/>
            <w:webHidden/>
          </w:rPr>
        </w:r>
        <w:r>
          <w:rPr>
            <w:noProof/>
            <w:webHidden/>
          </w:rPr>
          <w:fldChar w:fldCharType="separate"/>
        </w:r>
        <w:r>
          <w:rPr>
            <w:noProof/>
            <w:webHidden/>
          </w:rPr>
          <w:t>14</w:t>
        </w:r>
        <w:r>
          <w:rPr>
            <w:noProof/>
            <w:webHidden/>
          </w:rPr>
          <w:fldChar w:fldCharType="end"/>
        </w:r>
      </w:hyperlink>
    </w:p>
    <w:p w14:paraId="2CC9833D" w14:textId="5309326C" w:rsidR="00C62969" w:rsidRDefault="00C62969">
      <w:pPr>
        <w:pStyle w:val="TOC1"/>
        <w:tabs>
          <w:tab w:val="right" w:leader="dot" w:pos="9016"/>
        </w:tabs>
        <w:rPr>
          <w:rFonts w:asciiTheme="minorHAnsi" w:eastAsiaTheme="minorEastAsia" w:hAnsiTheme="minorHAnsi"/>
          <w:noProof/>
          <w:kern w:val="2"/>
          <w:szCs w:val="24"/>
          <w:lang w:val="en-GB"/>
          <w14:ligatures w14:val="standardContextual"/>
        </w:rPr>
      </w:pPr>
      <w:hyperlink w:anchor="_Toc228456061" w:history="1">
        <w:r w:rsidRPr="00826B38">
          <w:rPr>
            <w:rStyle w:val="Hyperlink"/>
            <w:noProof/>
          </w:rPr>
          <w:t>Humanitarian reset</w:t>
        </w:r>
        <w:r>
          <w:rPr>
            <w:noProof/>
            <w:webHidden/>
          </w:rPr>
          <w:tab/>
        </w:r>
        <w:r>
          <w:rPr>
            <w:noProof/>
            <w:webHidden/>
          </w:rPr>
          <w:fldChar w:fldCharType="begin"/>
        </w:r>
        <w:r>
          <w:rPr>
            <w:noProof/>
            <w:webHidden/>
          </w:rPr>
          <w:instrText xml:space="preserve"> PAGEREF _Toc228456061 \h </w:instrText>
        </w:r>
        <w:r>
          <w:rPr>
            <w:noProof/>
            <w:webHidden/>
          </w:rPr>
        </w:r>
        <w:r>
          <w:rPr>
            <w:noProof/>
            <w:webHidden/>
          </w:rPr>
          <w:fldChar w:fldCharType="separate"/>
        </w:r>
        <w:r>
          <w:rPr>
            <w:noProof/>
            <w:webHidden/>
          </w:rPr>
          <w:t>16</w:t>
        </w:r>
        <w:r>
          <w:rPr>
            <w:noProof/>
            <w:webHidden/>
          </w:rPr>
          <w:fldChar w:fldCharType="end"/>
        </w:r>
      </w:hyperlink>
    </w:p>
    <w:p w14:paraId="49BC8869" w14:textId="1113AF0C" w:rsidR="00C62969" w:rsidRDefault="00C62969">
      <w:pPr>
        <w:pStyle w:val="TOC1"/>
        <w:tabs>
          <w:tab w:val="right" w:leader="dot" w:pos="9016"/>
        </w:tabs>
        <w:rPr>
          <w:rFonts w:asciiTheme="minorHAnsi" w:eastAsiaTheme="minorEastAsia" w:hAnsiTheme="minorHAnsi"/>
          <w:noProof/>
          <w:kern w:val="2"/>
          <w:szCs w:val="24"/>
          <w:lang w:val="en-GB"/>
          <w14:ligatures w14:val="standardContextual"/>
        </w:rPr>
      </w:pPr>
      <w:hyperlink w:anchor="_Toc228456062" w:history="1">
        <w:r w:rsidRPr="00826B38">
          <w:rPr>
            <w:rStyle w:val="Hyperlink"/>
            <w:noProof/>
          </w:rPr>
          <w:t>Key outcomes: Evidence from practice (Ukraine)</w:t>
        </w:r>
        <w:r>
          <w:rPr>
            <w:noProof/>
            <w:webHidden/>
          </w:rPr>
          <w:tab/>
        </w:r>
        <w:r>
          <w:rPr>
            <w:noProof/>
            <w:webHidden/>
          </w:rPr>
          <w:fldChar w:fldCharType="begin"/>
        </w:r>
        <w:r>
          <w:rPr>
            <w:noProof/>
            <w:webHidden/>
          </w:rPr>
          <w:instrText xml:space="preserve"> PAGEREF _Toc228456062 \h </w:instrText>
        </w:r>
        <w:r>
          <w:rPr>
            <w:noProof/>
            <w:webHidden/>
          </w:rPr>
        </w:r>
        <w:r>
          <w:rPr>
            <w:noProof/>
            <w:webHidden/>
          </w:rPr>
          <w:fldChar w:fldCharType="separate"/>
        </w:r>
        <w:r>
          <w:rPr>
            <w:noProof/>
            <w:webHidden/>
          </w:rPr>
          <w:t>17</w:t>
        </w:r>
        <w:r>
          <w:rPr>
            <w:noProof/>
            <w:webHidden/>
          </w:rPr>
          <w:fldChar w:fldCharType="end"/>
        </w:r>
      </w:hyperlink>
    </w:p>
    <w:p w14:paraId="60CA0866" w14:textId="19B5B91D" w:rsidR="00C62969" w:rsidRDefault="00C62969">
      <w:pPr>
        <w:pStyle w:val="TOC1"/>
        <w:tabs>
          <w:tab w:val="right" w:leader="dot" w:pos="9016"/>
        </w:tabs>
        <w:rPr>
          <w:rFonts w:asciiTheme="minorHAnsi" w:eastAsiaTheme="minorEastAsia" w:hAnsiTheme="minorHAnsi"/>
          <w:noProof/>
          <w:kern w:val="2"/>
          <w:szCs w:val="24"/>
          <w:lang w:val="en-GB"/>
          <w14:ligatures w14:val="standardContextual"/>
        </w:rPr>
      </w:pPr>
      <w:hyperlink w:anchor="_Toc228456063" w:history="1">
        <w:r w:rsidRPr="00826B38">
          <w:rPr>
            <w:rStyle w:val="Hyperlink"/>
            <w:noProof/>
          </w:rPr>
          <w:t>Annex</w:t>
        </w:r>
        <w:r>
          <w:rPr>
            <w:noProof/>
            <w:webHidden/>
          </w:rPr>
          <w:tab/>
        </w:r>
        <w:r>
          <w:rPr>
            <w:noProof/>
            <w:webHidden/>
          </w:rPr>
          <w:fldChar w:fldCharType="begin"/>
        </w:r>
        <w:r>
          <w:rPr>
            <w:noProof/>
            <w:webHidden/>
          </w:rPr>
          <w:instrText xml:space="preserve"> PAGEREF _Toc228456063 \h </w:instrText>
        </w:r>
        <w:r>
          <w:rPr>
            <w:noProof/>
            <w:webHidden/>
          </w:rPr>
        </w:r>
        <w:r>
          <w:rPr>
            <w:noProof/>
            <w:webHidden/>
          </w:rPr>
          <w:fldChar w:fldCharType="separate"/>
        </w:r>
        <w:r>
          <w:rPr>
            <w:noProof/>
            <w:webHidden/>
          </w:rPr>
          <w:t>19</w:t>
        </w:r>
        <w:r>
          <w:rPr>
            <w:noProof/>
            <w:webHidden/>
          </w:rPr>
          <w:fldChar w:fldCharType="end"/>
        </w:r>
      </w:hyperlink>
    </w:p>
    <w:p w14:paraId="41B10C3E" w14:textId="58FEF99D" w:rsidR="00C62969" w:rsidRDefault="00C62969">
      <w:pPr>
        <w:pStyle w:val="TOC1"/>
        <w:tabs>
          <w:tab w:val="right" w:leader="dot" w:pos="9016"/>
        </w:tabs>
        <w:rPr>
          <w:rFonts w:asciiTheme="minorHAnsi" w:eastAsiaTheme="minorEastAsia" w:hAnsiTheme="minorHAnsi"/>
          <w:noProof/>
          <w:kern w:val="2"/>
          <w:szCs w:val="24"/>
          <w:lang w:val="en-GB"/>
          <w14:ligatures w14:val="standardContextual"/>
        </w:rPr>
      </w:pPr>
      <w:hyperlink w:anchor="_Toc228456064" w:history="1">
        <w:r w:rsidRPr="00826B38">
          <w:rPr>
            <w:rStyle w:val="Hyperlink"/>
            <w:noProof/>
          </w:rPr>
          <w:t>Document credits</w:t>
        </w:r>
        <w:r>
          <w:rPr>
            <w:noProof/>
            <w:webHidden/>
          </w:rPr>
          <w:tab/>
        </w:r>
        <w:r>
          <w:rPr>
            <w:noProof/>
            <w:webHidden/>
          </w:rPr>
          <w:fldChar w:fldCharType="begin"/>
        </w:r>
        <w:r>
          <w:rPr>
            <w:noProof/>
            <w:webHidden/>
          </w:rPr>
          <w:instrText xml:space="preserve"> PAGEREF _Toc228456064 \h </w:instrText>
        </w:r>
        <w:r>
          <w:rPr>
            <w:noProof/>
            <w:webHidden/>
          </w:rPr>
        </w:r>
        <w:r>
          <w:rPr>
            <w:noProof/>
            <w:webHidden/>
          </w:rPr>
          <w:fldChar w:fldCharType="separate"/>
        </w:r>
        <w:r>
          <w:rPr>
            <w:noProof/>
            <w:webHidden/>
          </w:rPr>
          <w:t>19</w:t>
        </w:r>
        <w:r>
          <w:rPr>
            <w:noProof/>
            <w:webHidden/>
          </w:rPr>
          <w:fldChar w:fldCharType="end"/>
        </w:r>
      </w:hyperlink>
    </w:p>
    <w:p w14:paraId="588D3280" w14:textId="402F8289" w:rsidR="001E0F08" w:rsidRPr="001B1B27" w:rsidRDefault="00A9576D" w:rsidP="00F449E6">
      <w:r w:rsidRPr="001B1B27">
        <w:fldChar w:fldCharType="end"/>
      </w:r>
    </w:p>
    <w:p w14:paraId="70F30724" w14:textId="7537021D" w:rsidR="00282B80" w:rsidRPr="001B1B27" w:rsidRDefault="00282B80" w:rsidP="00F449E6">
      <w:pPr>
        <w:pStyle w:val="Heading1"/>
      </w:pPr>
      <w:bookmarkStart w:id="1" w:name="_Toc228456051"/>
      <w:r w:rsidRPr="001B1B27">
        <w:t xml:space="preserve">The </w:t>
      </w:r>
      <w:r w:rsidR="00B20101" w:rsidRPr="001B1B27">
        <w:t>Eu</w:t>
      </w:r>
      <w:r w:rsidRPr="001B1B27">
        <w:t>ropean Disability Forum</w:t>
      </w:r>
      <w:bookmarkEnd w:id="1"/>
    </w:p>
    <w:p w14:paraId="06C637A5" w14:textId="08F044EB" w:rsidR="008D7F12" w:rsidRPr="001B1B27" w:rsidRDefault="00282B80" w:rsidP="00881334">
      <w:r w:rsidRPr="001B1B27">
        <w:t xml:space="preserve">The </w:t>
      </w:r>
      <w:r w:rsidR="00B20101" w:rsidRPr="001B1B27">
        <w:t>Eu</w:t>
      </w:r>
      <w:r w:rsidRPr="001B1B27">
        <w:t xml:space="preserve">ropean Disability Forum is an independent NGO that represents the interests of 100 million </w:t>
      </w:r>
      <w:r w:rsidR="00B20101" w:rsidRPr="001B1B27">
        <w:t>Eu</w:t>
      </w:r>
      <w:r w:rsidRPr="001B1B27">
        <w:t>ropeans with disabilities. EDF is a unique platform which brings together representative organisation</w:t>
      </w:r>
      <w:r w:rsidR="00A9671D">
        <w:t>s</w:t>
      </w:r>
      <w:r w:rsidRPr="001B1B27">
        <w:t xml:space="preserve"> of persons with disabilities from across </w:t>
      </w:r>
      <w:r w:rsidR="00B20101" w:rsidRPr="001B1B27">
        <w:t>Eu</w:t>
      </w:r>
      <w:r w:rsidRPr="001B1B27">
        <w:t xml:space="preserve">rope. EDF is run by persons with disabilities and their families. We are a strong, united voice of persons with disabilities in </w:t>
      </w:r>
      <w:r w:rsidR="00B20101" w:rsidRPr="001B1B27">
        <w:t>Eu</w:t>
      </w:r>
      <w:r w:rsidRPr="001B1B27">
        <w:t>rope.</w:t>
      </w:r>
    </w:p>
    <w:p w14:paraId="705B4586" w14:textId="77777777" w:rsidR="008D7F12" w:rsidRPr="001B1B27" w:rsidRDefault="008D7F12" w:rsidP="00881334">
      <w:r w:rsidRPr="001B1B27">
        <w:br w:type="page"/>
      </w:r>
    </w:p>
    <w:p w14:paraId="5F2DC615" w14:textId="55C8A389" w:rsidR="00282B80" w:rsidRPr="001B1B27" w:rsidRDefault="00282B80" w:rsidP="00F449E6">
      <w:pPr>
        <w:pStyle w:val="Heading1"/>
      </w:pPr>
      <w:bookmarkStart w:id="2" w:name="_Toc228456052"/>
      <w:r w:rsidRPr="001B1B27">
        <w:lastRenderedPageBreak/>
        <w:t>Executive Summary</w:t>
      </w:r>
      <w:bookmarkEnd w:id="2"/>
    </w:p>
    <w:p w14:paraId="564DA4BB" w14:textId="3B264BD3" w:rsidR="00C66968" w:rsidRPr="00C66968" w:rsidRDefault="00C66968" w:rsidP="00881334">
      <w:r w:rsidRPr="00C66968">
        <w:t>The European Disability Forum (EDF), representing over 100 million persons with disabilities, submits this contribution to inform the Special Rapporteur’s report on inclusive humanitarian assistance in the context of humanitarian reform. EDF highlights persistent implementation gaps alongside practical, scalable solutions to advance obligations under the Convention on the Rights of Persons with Disabilities (CRPD)</w:t>
      </w:r>
      <w:r w:rsidRPr="001B1B27">
        <w:t>.</w:t>
      </w:r>
    </w:p>
    <w:p w14:paraId="7BB5720C" w14:textId="77777777" w:rsidR="00C66968" w:rsidRPr="00C66968" w:rsidRDefault="00C66968" w:rsidP="00881334">
      <w:r w:rsidRPr="00C66968">
        <w:t>Despite progress at policy level, implementation remains uneven, non-systematic, and weakly monitored. Disability inclusion continues to be treated as optional, resulting in ongoing exclusion of persons with disabilities from life-saving assistance, decision-making, and essential services. These gaps undermine both the effectiveness of humanitarian action and compliance with CRPD obligations.</w:t>
      </w:r>
    </w:p>
    <w:p w14:paraId="7AE52793" w14:textId="77777777" w:rsidR="00C66968" w:rsidRPr="00C66968" w:rsidRDefault="00C66968" w:rsidP="00881334">
      <w:r w:rsidRPr="00C66968">
        <w:t>EDF evidence demonstrates that inclusive humanitarian action is achievable and improves outcomes when organisations of persons with disabilities (OPDs) are meaningfully engaged as leaders and partners. At the same time, current humanitarian reform processes, including the Humanitarian Reset, present both opportunities and risks for disability inclusion.</w:t>
      </w:r>
    </w:p>
    <w:p w14:paraId="442C1DED" w14:textId="77777777" w:rsidR="00C66968" w:rsidRPr="00C66968" w:rsidRDefault="00C66968" w:rsidP="00881334">
      <w:r w:rsidRPr="00C66968">
        <w:t>Key findings:</w:t>
      </w:r>
    </w:p>
    <w:p w14:paraId="6B84D9BF" w14:textId="77777777" w:rsidR="00C66968" w:rsidRPr="00C66968" w:rsidRDefault="00C66968" w:rsidP="00881334">
      <w:pPr>
        <w:pStyle w:val="ListParagraph"/>
        <w:numPr>
          <w:ilvl w:val="0"/>
          <w:numId w:val="42"/>
        </w:numPr>
      </w:pPr>
      <w:r w:rsidRPr="00C66968">
        <w:t xml:space="preserve">Disability inclusion is not systematically operationalised in humanitarian programming and remains inconsistently applied. </w:t>
      </w:r>
    </w:p>
    <w:p w14:paraId="62A26D9E" w14:textId="77777777" w:rsidR="00C66968" w:rsidRPr="00C66968" w:rsidRDefault="00C66968" w:rsidP="00881334">
      <w:pPr>
        <w:pStyle w:val="ListParagraph"/>
        <w:numPr>
          <w:ilvl w:val="0"/>
          <w:numId w:val="42"/>
        </w:numPr>
      </w:pPr>
      <w:r w:rsidRPr="00C66968">
        <w:t xml:space="preserve">OPD-led approaches improve targeting, access, trust, and sustainability of humanitarian assistance. </w:t>
      </w:r>
    </w:p>
    <w:p w14:paraId="0C5442B5" w14:textId="77777777" w:rsidR="00C66968" w:rsidRPr="00C66968" w:rsidRDefault="00C66968" w:rsidP="00881334">
      <w:pPr>
        <w:pStyle w:val="ListParagraph"/>
        <w:numPr>
          <w:ilvl w:val="0"/>
          <w:numId w:val="42"/>
        </w:numPr>
      </w:pPr>
      <w:r w:rsidRPr="00C66968">
        <w:t xml:space="preserve">Disability-disaggregated data is essential but often lacking or underused in decision-making. </w:t>
      </w:r>
    </w:p>
    <w:p w14:paraId="178FDA58" w14:textId="77777777" w:rsidR="00C66968" w:rsidRPr="00C66968" w:rsidRDefault="00C66968" w:rsidP="00881334">
      <w:pPr>
        <w:pStyle w:val="ListParagraph"/>
        <w:numPr>
          <w:ilvl w:val="0"/>
          <w:numId w:val="42"/>
        </w:numPr>
      </w:pPr>
      <w:r w:rsidRPr="00C66968">
        <w:t xml:space="preserve">Localisation can strengthen inclusion, but risks excluding OPDs if not adequately resourced or broadly defined. </w:t>
      </w:r>
    </w:p>
    <w:p w14:paraId="04B82B7A" w14:textId="77777777" w:rsidR="00C66968" w:rsidRPr="00C66968" w:rsidRDefault="00C66968" w:rsidP="00881334">
      <w:pPr>
        <w:pStyle w:val="ListParagraph"/>
        <w:numPr>
          <w:ilvl w:val="0"/>
          <w:numId w:val="42"/>
        </w:numPr>
      </w:pPr>
      <w:r w:rsidRPr="00C66968">
        <w:t xml:space="preserve">Without safeguards, reform processes may deprioritise inclusion under efficiency and funding pressures. </w:t>
      </w:r>
    </w:p>
    <w:p w14:paraId="2868A211" w14:textId="77777777" w:rsidR="00C66968" w:rsidRPr="00C66968" w:rsidRDefault="00C66968" w:rsidP="00881334">
      <w:r w:rsidRPr="00C66968">
        <w:t>Key recommendations:</w:t>
      </w:r>
    </w:p>
    <w:p w14:paraId="511E293C" w14:textId="77777777" w:rsidR="00C66968" w:rsidRPr="00C66968" w:rsidRDefault="00C66968" w:rsidP="00881334">
      <w:pPr>
        <w:pStyle w:val="ListParagraph"/>
        <w:numPr>
          <w:ilvl w:val="0"/>
          <w:numId w:val="43"/>
        </w:numPr>
      </w:pPr>
      <w:r w:rsidRPr="00C66968">
        <w:t xml:space="preserve">Make disability inclusion a mandatory requirement across all humanitarian funding and programming. </w:t>
      </w:r>
    </w:p>
    <w:p w14:paraId="0D20D272" w14:textId="77777777" w:rsidR="00C66968" w:rsidRPr="00C66968" w:rsidRDefault="00C66968" w:rsidP="00881334">
      <w:pPr>
        <w:pStyle w:val="ListParagraph"/>
        <w:numPr>
          <w:ilvl w:val="0"/>
          <w:numId w:val="43"/>
        </w:numPr>
      </w:pPr>
      <w:r w:rsidRPr="00C66968">
        <w:t xml:space="preserve">Recognise and resource OPDs as core humanitarian actors, including in localisation efforts. </w:t>
      </w:r>
    </w:p>
    <w:p w14:paraId="3F360541" w14:textId="77777777" w:rsidR="00C66968" w:rsidRPr="00C66968" w:rsidRDefault="00C66968" w:rsidP="00881334">
      <w:pPr>
        <w:pStyle w:val="ListParagraph"/>
        <w:numPr>
          <w:ilvl w:val="0"/>
          <w:numId w:val="43"/>
        </w:numPr>
      </w:pPr>
      <w:r w:rsidRPr="00C66968">
        <w:t xml:space="preserve">Strengthen the collection and use of disability-disaggregated data for decision-making. </w:t>
      </w:r>
    </w:p>
    <w:p w14:paraId="16745E0A" w14:textId="77777777" w:rsidR="00C66968" w:rsidRPr="00C66968" w:rsidRDefault="00C66968" w:rsidP="00881334">
      <w:pPr>
        <w:pStyle w:val="ListParagraph"/>
        <w:numPr>
          <w:ilvl w:val="0"/>
          <w:numId w:val="43"/>
        </w:numPr>
      </w:pPr>
      <w:r w:rsidRPr="00C66968">
        <w:lastRenderedPageBreak/>
        <w:t xml:space="preserve">Invest in capacity-sharing, including training delivered by OPDs and disability rights actors. </w:t>
      </w:r>
    </w:p>
    <w:p w14:paraId="09486DCB" w14:textId="77777777" w:rsidR="00C66968" w:rsidRPr="00C66968" w:rsidRDefault="00C66968" w:rsidP="00881334">
      <w:pPr>
        <w:pStyle w:val="ListParagraph"/>
        <w:numPr>
          <w:ilvl w:val="0"/>
          <w:numId w:val="43"/>
        </w:numPr>
      </w:pPr>
      <w:r w:rsidRPr="00C66968">
        <w:t xml:space="preserve">Link humanitarian action to sustainable, inclusive systems through engagement with local authorities. </w:t>
      </w:r>
    </w:p>
    <w:p w14:paraId="0122D47C" w14:textId="70A2AB4B" w:rsidR="00250302" w:rsidRPr="001B1B27" w:rsidRDefault="00C66968" w:rsidP="00881334">
      <w:r w:rsidRPr="00C66968">
        <w:t>EDF’s central message is clear: disability inclusion is not only a legal obligation under the CRPD, but a prerequisite for effective, accountable, and sustainable humanitarian action.</w:t>
      </w:r>
    </w:p>
    <w:p w14:paraId="051B14B5" w14:textId="1947CCA1" w:rsidR="00691AEA" w:rsidRPr="001B1B27" w:rsidRDefault="00691AEA" w:rsidP="00F449E6">
      <w:pPr>
        <w:pStyle w:val="Heading1"/>
      </w:pPr>
      <w:bookmarkStart w:id="3" w:name="_Toc228456053"/>
      <w:r w:rsidRPr="001B1B27">
        <w:t>Introduction and positioning</w:t>
      </w:r>
      <w:bookmarkEnd w:id="3"/>
    </w:p>
    <w:p w14:paraId="14981E09" w14:textId="77777777" w:rsidR="00C52C21" w:rsidRPr="00C52C21" w:rsidRDefault="00C52C21" w:rsidP="00881334">
      <w:r w:rsidRPr="00C52C21">
        <w:t>This submission by the European Disability Forum (EDF) responds to the Special Rapporteur’s call for input on the implementation of inclusive humanitarian assistance and safeguards for the rights of persons with disabilities in the context of current humanitarian reform processes (April 2026).</w:t>
      </w:r>
    </w:p>
    <w:p w14:paraId="2AC50508" w14:textId="77777777" w:rsidR="00C52C21" w:rsidRPr="00C52C21" w:rsidRDefault="00C52C21" w:rsidP="00881334">
      <w:r w:rsidRPr="00C52C21">
        <w:t>The European Disability Forum (EDF) is an independent organisation representing over 100 million persons with disabilities across Europe. EDF works closely with organisations of persons with disabilities (OPDs), humanitarian actors, and national authorities to advance disability-inclusive humanitarian action.</w:t>
      </w:r>
    </w:p>
    <w:p w14:paraId="635EBB80" w14:textId="77777777" w:rsidR="00C52C21" w:rsidRPr="00C52C21" w:rsidRDefault="00C52C21" w:rsidP="00881334">
      <w:r w:rsidRPr="00C52C21">
        <w:t>This submission draws on EDF’s policy engagement with EU humanitarian actors and operational experience from disability-inclusive humanitarian programming in Ukraine (2022–2026). It provides evidence across the key areas identified in the call, including implementation challenges, good practices, and recommendations to strengthen the inclusion and participation of persons with disabilities in humanitarian action.</w:t>
      </w:r>
    </w:p>
    <w:p w14:paraId="282CFB64" w14:textId="77777777" w:rsidR="002F4D0E" w:rsidRDefault="00C52C21" w:rsidP="00881334">
      <w:r w:rsidRPr="00C52C21">
        <w:t>The analysis is grounded in States’ obligations under the Convention on the Rights of Persons with Disabilities (CRPD), particularly Article 11, as well as related provisions, and is informed by commitments under UN Security Council Resolution 2475.</w:t>
      </w:r>
    </w:p>
    <w:p w14:paraId="4DA60DDE" w14:textId="77777777" w:rsidR="002E221E" w:rsidRDefault="002E221E" w:rsidP="00881334"/>
    <w:p w14:paraId="2DC560ED" w14:textId="77777777" w:rsidR="002E221E" w:rsidRDefault="002E221E">
      <w:pPr>
        <w:spacing w:line="259" w:lineRule="auto"/>
        <w:rPr>
          <w:rFonts w:ascii="Arial" w:eastAsia="Times New Roman" w:hAnsi="Arial" w:cstheme="majorBidi"/>
          <w:b/>
          <w:color w:val="FFFFFF" w:themeColor="background1"/>
          <w:sz w:val="28"/>
          <w:szCs w:val="26"/>
        </w:rPr>
      </w:pPr>
      <w:r>
        <w:br w:type="page"/>
      </w:r>
    </w:p>
    <w:p w14:paraId="59177B26" w14:textId="47B60AB3" w:rsidR="00B4367C" w:rsidRPr="00F449E6" w:rsidRDefault="00B4367C" w:rsidP="00F449E6">
      <w:pPr>
        <w:pStyle w:val="Heading1"/>
      </w:pPr>
      <w:bookmarkStart w:id="4" w:name="_Toc228456054"/>
      <w:r w:rsidRPr="00F449E6">
        <w:lastRenderedPageBreak/>
        <w:t>Good practice</w:t>
      </w:r>
      <w:bookmarkEnd w:id="4"/>
    </w:p>
    <w:p w14:paraId="74DC3ED6" w14:textId="77777777" w:rsidR="00B4367C" w:rsidRPr="001B1B27" w:rsidRDefault="00B4367C" w:rsidP="00881334">
      <w:r w:rsidRPr="001B1B27">
        <w:t>EDF, in partnership with Ukrainian organisations of persons with disabilities (OPDs), The National Assembly of Persons with Disabilities and the League of the Strong, has implemented disability-inclusive humanitarian action since 2022 under the Ukraine OPD Programme through the Phase Project and the Empower Ukraine initiative. This work was funded by CBM and the German Foreign Federal Office.</w:t>
      </w:r>
    </w:p>
    <w:p w14:paraId="4063965F" w14:textId="77777777" w:rsidR="00B4367C" w:rsidRPr="001B1B27" w:rsidRDefault="00B4367C" w:rsidP="00881334">
      <w:r w:rsidRPr="001B1B27">
        <w:t>This experience provides concrete, evidence-based examples of how obligations under the Convention on the Rights of Persons with Disabilities (CRPD), particularly Article 11 and related provisions, can be operationalised in humanitarian contexts.</w:t>
      </w:r>
    </w:p>
    <w:p w14:paraId="770193EB" w14:textId="50FA3417" w:rsidR="00B4367C" w:rsidRPr="001B1B27" w:rsidRDefault="00B4367C" w:rsidP="00881334">
      <w:r w:rsidRPr="001B1B27">
        <w:t>The work demonstrates that disability inclusion is both feasible and effective when grounded in OPD leadership, community-based approaches, and flexible, rights-based programming. External evaluation findings for the Empower Ukraine project confirm that the programme reached approximately 26,000 direct beneficiaries and contributed to systemic changes in participation, service access, and local governance.</w:t>
      </w:r>
    </w:p>
    <w:p w14:paraId="129482DA" w14:textId="77777777" w:rsidR="00B4367C" w:rsidRPr="001B1B27" w:rsidRDefault="00B4367C" w:rsidP="00881334">
      <w:pPr>
        <w:pStyle w:val="Heading3"/>
      </w:pPr>
      <w:r w:rsidRPr="001B1B27">
        <w:t>1. OPD-led humanitarian action and lived experience as technical expertise</w:t>
      </w:r>
    </w:p>
    <w:p w14:paraId="666CAEFF" w14:textId="77777777" w:rsidR="00B4367C" w:rsidRPr="001B1B27" w:rsidRDefault="00B4367C" w:rsidP="00881334">
      <w:r w:rsidRPr="001B1B27">
        <w:t>A central good practice is the systematic involvement of persons with disabilities and their representative organisations as leaders, implementers, and technical experts throughout the humanitarian cycle.</w:t>
      </w:r>
    </w:p>
    <w:p w14:paraId="7282699D" w14:textId="77777777" w:rsidR="00B4367C" w:rsidRPr="001B1B27" w:rsidRDefault="00B4367C" w:rsidP="00881334">
      <w:r w:rsidRPr="001B1B27">
        <w:t>In Ukraine, OPDs employed persons with disabilities as outreach workers, data collectors, and coordinators, enabling programmes to be designed and implemented based on lived experience rather than external assumptions. This approach significantly improved the relevance and quality of needs assessments, as persons with disabilities were able to identify barriers, ask appropriate questions, and provide tailored referrals based on their knowledge and community networks.</w:t>
      </w:r>
    </w:p>
    <w:p w14:paraId="101AAB57" w14:textId="77777777" w:rsidR="00B4367C" w:rsidRPr="001B1B27" w:rsidRDefault="00B4367C" w:rsidP="00881334">
      <w:r w:rsidRPr="001B1B27">
        <w:t>The external evaluation confirms that this model strengthened the effectiveness and legitimacy of humanitarian response, with OPDs transitioning from service delivery actors to recognised institutional partners within humanitarian coordination systems.</w:t>
      </w:r>
    </w:p>
    <w:p w14:paraId="6A2BF375" w14:textId="77777777" w:rsidR="00B4367C" w:rsidRPr="001B1B27" w:rsidRDefault="00B4367C" w:rsidP="00881334">
      <w:r w:rsidRPr="001B1B27">
        <w:t>Key outcomes include:</w:t>
      </w:r>
    </w:p>
    <w:p w14:paraId="3327BAF4" w14:textId="77777777" w:rsidR="00B4367C" w:rsidRPr="001B1B27" w:rsidRDefault="00B4367C" w:rsidP="00881334">
      <w:pPr>
        <w:pStyle w:val="ListParagraph"/>
        <w:numPr>
          <w:ilvl w:val="0"/>
          <w:numId w:val="31"/>
        </w:numPr>
      </w:pPr>
      <w:r w:rsidRPr="001B1B27">
        <w:t xml:space="preserve">More accurate and context-specific programming </w:t>
      </w:r>
    </w:p>
    <w:p w14:paraId="163BE840" w14:textId="77777777" w:rsidR="00B4367C" w:rsidRPr="001B1B27" w:rsidRDefault="00B4367C" w:rsidP="00881334">
      <w:pPr>
        <w:pStyle w:val="ListParagraph"/>
        <w:numPr>
          <w:ilvl w:val="0"/>
          <w:numId w:val="31"/>
        </w:numPr>
      </w:pPr>
      <w:r w:rsidRPr="001B1B27">
        <w:t xml:space="preserve">Increased trust and reduced stigma in affected communities </w:t>
      </w:r>
    </w:p>
    <w:p w14:paraId="1349AF47" w14:textId="77777777" w:rsidR="00B4367C" w:rsidRPr="001B1B27" w:rsidRDefault="00B4367C" w:rsidP="00881334">
      <w:pPr>
        <w:pStyle w:val="ListParagraph"/>
        <w:numPr>
          <w:ilvl w:val="0"/>
          <w:numId w:val="31"/>
        </w:numPr>
      </w:pPr>
      <w:r w:rsidRPr="001B1B27">
        <w:lastRenderedPageBreak/>
        <w:t xml:space="preserve">Greater reach to persons with disabilities who are often excluded from standard systems </w:t>
      </w:r>
    </w:p>
    <w:p w14:paraId="0CD5E9F9" w14:textId="77777777" w:rsidR="00B4367C" w:rsidRPr="001B1B27" w:rsidRDefault="00B4367C" w:rsidP="00881334">
      <w:pPr>
        <w:pStyle w:val="ListParagraph"/>
        <w:numPr>
          <w:ilvl w:val="0"/>
          <w:numId w:val="31"/>
        </w:numPr>
      </w:pPr>
      <w:r w:rsidRPr="001B1B27">
        <w:t xml:space="preserve">Strengthened sustainability, as OPDs remain active beyond project cycles </w:t>
      </w:r>
    </w:p>
    <w:p w14:paraId="057DAB42" w14:textId="77777777" w:rsidR="00B4367C" w:rsidRPr="001B1B27" w:rsidRDefault="00B4367C" w:rsidP="00881334">
      <w:r w:rsidRPr="001B1B27">
        <w:t>This practice directly operationalises CRPD Article 4(3) by ensuring meaningful participation and leadership of persons with disabilities.</w:t>
      </w:r>
    </w:p>
    <w:p w14:paraId="411FC67D" w14:textId="77777777" w:rsidR="00B4367C" w:rsidRPr="001B1B27" w:rsidRDefault="00B4367C" w:rsidP="00881334">
      <w:pPr>
        <w:pStyle w:val="Heading3"/>
      </w:pPr>
      <w:r w:rsidRPr="001B1B27">
        <w:t>2. Disability-inclusive data collection and use</w:t>
      </w:r>
    </w:p>
    <w:p w14:paraId="7B0E7622" w14:textId="77777777" w:rsidR="00B4367C" w:rsidRPr="001B1B27" w:rsidRDefault="00B4367C" w:rsidP="00881334">
      <w:r w:rsidRPr="001B1B27">
        <w:t>Another critical good practice is the systematic collection, analysis, and use of disability-disaggregated data.</w:t>
      </w:r>
    </w:p>
    <w:p w14:paraId="74D6F68D" w14:textId="77777777" w:rsidR="00B4367C" w:rsidRPr="001B1B27" w:rsidRDefault="00B4367C" w:rsidP="00881334">
      <w:r w:rsidRPr="001B1B27">
        <w:t>Through the Empower programme, community-level mapping was conducted across six regions to identify persons with disabilities, their locations, and their specific needs. Data collection was led by persons with disabilities and OPDs, which significantly improved accuracy, trust, and participation. This enabled targeted and equitable assistance, including cash support, assistive devices, and access to services.</w:t>
      </w:r>
    </w:p>
    <w:p w14:paraId="75BD7754" w14:textId="77777777" w:rsidR="00B4367C" w:rsidRPr="001B1B27" w:rsidRDefault="00B4367C" w:rsidP="00881334">
      <w:r w:rsidRPr="001B1B27">
        <w:t>The external evaluation confirms that this data-driven approach enhanced programme relevance and accountability, ensuring that assistance was based on real needs rather than assumptions.</w:t>
      </w:r>
    </w:p>
    <w:p w14:paraId="0097D851" w14:textId="77777777" w:rsidR="00B4367C" w:rsidRPr="001B1B27" w:rsidRDefault="00B4367C" w:rsidP="00881334">
      <w:r w:rsidRPr="001B1B27">
        <w:t>Key outcomes include:</w:t>
      </w:r>
    </w:p>
    <w:p w14:paraId="5C524635" w14:textId="77777777" w:rsidR="00B4367C" w:rsidRPr="001B1B27" w:rsidRDefault="00B4367C" w:rsidP="00881334">
      <w:pPr>
        <w:pStyle w:val="ListParagraph"/>
        <w:numPr>
          <w:ilvl w:val="0"/>
          <w:numId w:val="32"/>
        </w:numPr>
      </w:pPr>
      <w:r w:rsidRPr="001B1B27">
        <w:t xml:space="preserve">Improved targeting and reduced exclusion </w:t>
      </w:r>
    </w:p>
    <w:p w14:paraId="5B5C5497" w14:textId="77777777" w:rsidR="00B4367C" w:rsidRPr="001B1B27" w:rsidRDefault="00B4367C" w:rsidP="00881334">
      <w:pPr>
        <w:pStyle w:val="ListParagraph"/>
        <w:numPr>
          <w:ilvl w:val="0"/>
          <w:numId w:val="32"/>
        </w:numPr>
      </w:pPr>
      <w:r w:rsidRPr="001B1B27">
        <w:t xml:space="preserve">Increased visibility of persons with disabilities in humanitarian response </w:t>
      </w:r>
    </w:p>
    <w:p w14:paraId="00261B65" w14:textId="77777777" w:rsidR="00B4367C" w:rsidRPr="001B1B27" w:rsidRDefault="00B4367C" w:rsidP="00881334">
      <w:pPr>
        <w:pStyle w:val="ListParagraph"/>
        <w:numPr>
          <w:ilvl w:val="0"/>
          <w:numId w:val="32"/>
        </w:numPr>
      </w:pPr>
      <w:r w:rsidRPr="001B1B27">
        <w:t xml:space="preserve">Strengthened accountability and evidence-based decision-making </w:t>
      </w:r>
    </w:p>
    <w:p w14:paraId="50F5B2CE" w14:textId="77777777" w:rsidR="00B4367C" w:rsidRPr="001B1B27" w:rsidRDefault="00B4367C" w:rsidP="00881334">
      <w:pPr>
        <w:pStyle w:val="ListParagraph"/>
        <w:numPr>
          <w:ilvl w:val="0"/>
          <w:numId w:val="32"/>
        </w:numPr>
      </w:pPr>
      <w:r w:rsidRPr="001B1B27">
        <w:t xml:space="preserve">Enhanced participation of persons with disabilities as rights-holders </w:t>
      </w:r>
    </w:p>
    <w:p w14:paraId="7CD95CC1" w14:textId="77777777" w:rsidR="00B4367C" w:rsidRPr="001B1B27" w:rsidRDefault="00B4367C" w:rsidP="00881334">
      <w:r w:rsidRPr="001B1B27">
        <w:t>This practice contributes directly to the implementation of CRPD Article 31 on data collection and supports inclusive humanitarian planning and monitoring.</w:t>
      </w:r>
    </w:p>
    <w:p w14:paraId="39C85120" w14:textId="77777777" w:rsidR="00B4367C" w:rsidRPr="001B1B27" w:rsidRDefault="00B4367C" w:rsidP="00881334">
      <w:pPr>
        <w:pStyle w:val="Heading3"/>
      </w:pPr>
      <w:r w:rsidRPr="001B1B27">
        <w:t>3. Reaching the “last mile”: Community-based and locally adapted solutions</w:t>
      </w:r>
    </w:p>
    <w:p w14:paraId="54DCF996" w14:textId="77777777" w:rsidR="00B4367C" w:rsidRPr="001B1B27" w:rsidRDefault="00B4367C" w:rsidP="00881334">
      <w:r w:rsidRPr="001B1B27">
        <w:t>Reaching persons with disabilities in remote and underserved areas remains a persistent challenge in humanitarian action. The Empower programme demonstrates effective, low-cost, and scalable solutions to address this gap.</w:t>
      </w:r>
    </w:p>
    <w:p w14:paraId="3C5FDBD7" w14:textId="5909C209" w:rsidR="00B4367C" w:rsidRPr="001B1B27" w:rsidRDefault="00B4367C" w:rsidP="00881334">
      <w:r w:rsidRPr="001B1B27">
        <w:t xml:space="preserve">OPDs leveraged their existing community networks to deliver assistance in rural and hard-to-reach areas that had received little or no humanitarian support. Practical solutions such as equipping social workers </w:t>
      </w:r>
      <w:r w:rsidRPr="001B1B27">
        <w:lastRenderedPageBreak/>
        <w:t>with bicycles, organising local distribution points, and conducting home visits, enabled consistent engagement and service delivery in geographically isolated communities.</w:t>
      </w:r>
    </w:p>
    <w:p w14:paraId="4481939B" w14:textId="77777777" w:rsidR="00B4367C" w:rsidRPr="001B1B27" w:rsidRDefault="00B4367C" w:rsidP="00881334">
      <w:r w:rsidRPr="001B1B27">
        <w:t>Evaluation findings confirm that approximately 70% of beneficiaries were reached outside major urban centres, demonstrating the effectiveness of this approach in extending humanitarian assistance beyond traditional delivery corridors.</w:t>
      </w:r>
    </w:p>
    <w:p w14:paraId="3A088C9B" w14:textId="77777777" w:rsidR="00B4367C" w:rsidRPr="001B1B27" w:rsidRDefault="00B4367C" w:rsidP="00881334">
      <w:r w:rsidRPr="001B1B27">
        <w:t>Key outcomes include:</w:t>
      </w:r>
    </w:p>
    <w:p w14:paraId="7506F457" w14:textId="77777777" w:rsidR="00B4367C" w:rsidRPr="001B1B27" w:rsidRDefault="00B4367C" w:rsidP="00881334">
      <w:pPr>
        <w:pStyle w:val="ListParagraph"/>
        <w:numPr>
          <w:ilvl w:val="0"/>
          <w:numId w:val="33"/>
        </w:numPr>
      </w:pPr>
      <w:r w:rsidRPr="001B1B27">
        <w:t xml:space="preserve">Increased access to assistance for persons with disabilities in remote areas </w:t>
      </w:r>
    </w:p>
    <w:p w14:paraId="26D8AC3C" w14:textId="77777777" w:rsidR="00B4367C" w:rsidRPr="001B1B27" w:rsidRDefault="00B4367C" w:rsidP="00881334">
      <w:pPr>
        <w:pStyle w:val="ListParagraph"/>
        <w:numPr>
          <w:ilvl w:val="0"/>
          <w:numId w:val="33"/>
        </w:numPr>
      </w:pPr>
      <w:r w:rsidRPr="001B1B27">
        <w:t xml:space="preserve">Reduced isolation and improved community participation </w:t>
      </w:r>
    </w:p>
    <w:p w14:paraId="615452BC" w14:textId="77777777" w:rsidR="00B4367C" w:rsidRPr="001B1B27" w:rsidRDefault="00B4367C" w:rsidP="00881334">
      <w:pPr>
        <w:pStyle w:val="ListParagraph"/>
        <w:numPr>
          <w:ilvl w:val="0"/>
          <w:numId w:val="33"/>
        </w:numPr>
      </w:pPr>
      <w:r w:rsidRPr="001B1B27">
        <w:t xml:space="preserve">Cost-effective and adaptable delivery models </w:t>
      </w:r>
    </w:p>
    <w:p w14:paraId="7AF6E76F" w14:textId="77777777" w:rsidR="00B4367C" w:rsidRPr="001B1B27" w:rsidRDefault="00B4367C" w:rsidP="00881334">
      <w:pPr>
        <w:pStyle w:val="ListParagraph"/>
        <w:numPr>
          <w:ilvl w:val="0"/>
          <w:numId w:val="33"/>
        </w:numPr>
      </w:pPr>
      <w:r w:rsidRPr="001B1B27">
        <w:t xml:space="preserve">Strengthened coordination with local authorities and service providers </w:t>
      </w:r>
    </w:p>
    <w:p w14:paraId="6D19982A" w14:textId="77777777" w:rsidR="00B4367C" w:rsidRPr="001B1B27" w:rsidRDefault="00B4367C" w:rsidP="00881334">
      <w:r w:rsidRPr="001B1B27">
        <w:t>This approach demonstrates how inclusive humanitarian action can be effectively implemented in line with CRPD Article 11, even in complex and resource-constrained contexts.</w:t>
      </w:r>
    </w:p>
    <w:p w14:paraId="09EF736E" w14:textId="77777777" w:rsidR="00B4367C" w:rsidRPr="001B1B27" w:rsidRDefault="00B4367C" w:rsidP="00881334">
      <w:pPr>
        <w:pStyle w:val="Heading3"/>
      </w:pPr>
      <w:r w:rsidRPr="001B1B27">
        <w:t>4. Localisation and sustainable system change</w:t>
      </w:r>
    </w:p>
    <w:p w14:paraId="422BF34A" w14:textId="77777777" w:rsidR="00B4367C" w:rsidRPr="001B1B27" w:rsidRDefault="00B4367C" w:rsidP="00881334">
      <w:r w:rsidRPr="001B1B27">
        <w:t>A further good practice is the transition from project-based humanitarian assistance to locally owned and sustained inclusive systems.</w:t>
      </w:r>
    </w:p>
    <w:p w14:paraId="2B213DCB" w14:textId="58F4E6CB" w:rsidR="00B4367C" w:rsidRPr="001B1B27" w:rsidRDefault="00B4367C" w:rsidP="00881334">
      <w:r w:rsidRPr="001B1B27">
        <w:t>The Empower programme supported local authorities (</w:t>
      </w:r>
      <w:r w:rsidR="001B1B27" w:rsidRPr="001B1B27">
        <w:t>Hromada’s</w:t>
      </w:r>
      <w:r w:rsidRPr="001B1B27">
        <w:t>) to adopt and institutionalise disability-inclusive practices, including accessible infrastructure, transport services, and service delivery models. In several cases, municipalities incorporated these practices into official budgets, procurement systems, and service plans, ensuring continuity beyond external funding.</w:t>
      </w:r>
    </w:p>
    <w:p w14:paraId="354C5B68" w14:textId="77777777" w:rsidR="00B4367C" w:rsidRPr="001B1B27" w:rsidRDefault="00B4367C" w:rsidP="00881334">
      <w:r w:rsidRPr="001B1B27">
        <w:t>The evaluation highlights that this approach strengthened local ownership, improved cooperation between OPDs and authorities, and contributed to longer-term system change.</w:t>
      </w:r>
    </w:p>
    <w:p w14:paraId="4D5B6345" w14:textId="77777777" w:rsidR="00B4367C" w:rsidRPr="001B1B27" w:rsidRDefault="00B4367C" w:rsidP="00881334">
      <w:r w:rsidRPr="001B1B27">
        <w:t>Key outcomes include:</w:t>
      </w:r>
    </w:p>
    <w:p w14:paraId="45FC3AA3" w14:textId="77777777" w:rsidR="00B4367C" w:rsidRPr="001B1B27" w:rsidRDefault="00B4367C" w:rsidP="00881334">
      <w:pPr>
        <w:pStyle w:val="ListParagraph"/>
        <w:numPr>
          <w:ilvl w:val="0"/>
          <w:numId w:val="34"/>
        </w:numPr>
      </w:pPr>
      <w:r w:rsidRPr="001B1B27">
        <w:t xml:space="preserve">Institutionalisation of disability-inclusive services </w:t>
      </w:r>
    </w:p>
    <w:p w14:paraId="7862609E" w14:textId="77777777" w:rsidR="00B4367C" w:rsidRPr="001B1B27" w:rsidRDefault="00B4367C" w:rsidP="00881334">
      <w:pPr>
        <w:pStyle w:val="ListParagraph"/>
        <w:numPr>
          <w:ilvl w:val="0"/>
          <w:numId w:val="34"/>
        </w:numPr>
      </w:pPr>
      <w:r w:rsidRPr="001B1B27">
        <w:t xml:space="preserve">Increased local investment in accessibility and inclusion </w:t>
      </w:r>
    </w:p>
    <w:p w14:paraId="712192B1" w14:textId="77777777" w:rsidR="00B4367C" w:rsidRPr="001B1B27" w:rsidRDefault="00B4367C" w:rsidP="00881334">
      <w:pPr>
        <w:pStyle w:val="ListParagraph"/>
        <w:numPr>
          <w:ilvl w:val="0"/>
          <w:numId w:val="34"/>
        </w:numPr>
      </w:pPr>
      <w:r w:rsidRPr="001B1B27">
        <w:t xml:space="preserve">Greater sustainability of humanitarian outcomes </w:t>
      </w:r>
    </w:p>
    <w:p w14:paraId="300595E6" w14:textId="77777777" w:rsidR="00B4367C" w:rsidRPr="001B1B27" w:rsidRDefault="00B4367C" w:rsidP="00881334">
      <w:pPr>
        <w:pStyle w:val="ListParagraph"/>
        <w:numPr>
          <w:ilvl w:val="0"/>
          <w:numId w:val="34"/>
        </w:numPr>
      </w:pPr>
      <w:r w:rsidRPr="001B1B27">
        <w:t xml:space="preserve">Strengthened governance and accountability mechanisms </w:t>
      </w:r>
    </w:p>
    <w:p w14:paraId="61546D4C" w14:textId="77777777" w:rsidR="00B4367C" w:rsidRPr="001B1B27" w:rsidRDefault="00B4367C" w:rsidP="00881334">
      <w:r w:rsidRPr="001B1B27">
        <w:lastRenderedPageBreak/>
        <w:t>This demonstrates the importance of linking humanitarian action with development processes, in line with CRPD Article 32 on international cooperation.</w:t>
      </w:r>
    </w:p>
    <w:p w14:paraId="7EF1E727" w14:textId="77777777" w:rsidR="00B4367C" w:rsidRPr="001B1B27" w:rsidRDefault="00B4367C" w:rsidP="00881334">
      <w:pPr>
        <w:pStyle w:val="Heading3"/>
      </w:pPr>
      <w:r w:rsidRPr="001B1B27">
        <w:t>5. Integrated, multi-sectoral and rights-based approaches</w:t>
      </w:r>
    </w:p>
    <w:p w14:paraId="213DCE9D" w14:textId="77777777" w:rsidR="00B4367C" w:rsidRPr="001B1B27" w:rsidRDefault="00B4367C" w:rsidP="00881334">
      <w:r w:rsidRPr="001B1B27">
        <w:t>The programme also demonstrates the effectiveness of integrated humanitarian approaches that combine immediate assistance with longer-term inclusion and system strengthening.</w:t>
      </w:r>
    </w:p>
    <w:p w14:paraId="5B2C11DC" w14:textId="77777777" w:rsidR="00B4367C" w:rsidRPr="001B1B27" w:rsidRDefault="00B4367C" w:rsidP="00881334">
      <w:r w:rsidRPr="001B1B27">
        <w:t>Activities included:</w:t>
      </w:r>
    </w:p>
    <w:p w14:paraId="44B600EF" w14:textId="77777777" w:rsidR="00B4367C" w:rsidRPr="001B1B27" w:rsidRDefault="00B4367C" w:rsidP="00881334">
      <w:pPr>
        <w:pStyle w:val="ListParagraph"/>
        <w:numPr>
          <w:ilvl w:val="0"/>
          <w:numId w:val="35"/>
        </w:numPr>
      </w:pPr>
      <w:r w:rsidRPr="001B1B27">
        <w:t xml:space="preserve">Cash assistance and provision of assistive devices </w:t>
      </w:r>
    </w:p>
    <w:p w14:paraId="154EACC4" w14:textId="77777777" w:rsidR="00B4367C" w:rsidRPr="001B1B27" w:rsidRDefault="00B4367C" w:rsidP="00881334">
      <w:pPr>
        <w:pStyle w:val="ListParagraph"/>
        <w:numPr>
          <w:ilvl w:val="0"/>
          <w:numId w:val="35"/>
        </w:numPr>
      </w:pPr>
      <w:r w:rsidRPr="001B1B27">
        <w:t xml:space="preserve">Access to inclusive healthcare and rehabilitation </w:t>
      </w:r>
    </w:p>
    <w:p w14:paraId="064689D0" w14:textId="77777777" w:rsidR="00B4367C" w:rsidRPr="001B1B27" w:rsidRDefault="00B4367C" w:rsidP="00881334">
      <w:pPr>
        <w:pStyle w:val="ListParagraph"/>
        <w:numPr>
          <w:ilvl w:val="0"/>
          <w:numId w:val="35"/>
        </w:numPr>
      </w:pPr>
      <w:r w:rsidRPr="001B1B27">
        <w:t xml:space="preserve">Mental health and psychosocial support (MHPSS) </w:t>
      </w:r>
    </w:p>
    <w:p w14:paraId="5B21A34A" w14:textId="77777777" w:rsidR="00B4367C" w:rsidRPr="001B1B27" w:rsidRDefault="00B4367C" w:rsidP="00881334">
      <w:pPr>
        <w:pStyle w:val="ListParagraph"/>
        <w:numPr>
          <w:ilvl w:val="0"/>
          <w:numId w:val="35"/>
        </w:numPr>
      </w:pPr>
      <w:r w:rsidRPr="001B1B27">
        <w:t xml:space="preserve">Advocacy and awareness-raising </w:t>
      </w:r>
    </w:p>
    <w:p w14:paraId="6B23E08B" w14:textId="3D225B9C" w:rsidR="009D40BB" w:rsidRPr="001B1B27" w:rsidRDefault="00B4367C" w:rsidP="00881334">
      <w:pPr>
        <w:pStyle w:val="ListParagraph"/>
        <w:numPr>
          <w:ilvl w:val="0"/>
          <w:numId w:val="35"/>
        </w:numPr>
      </w:pPr>
      <w:r w:rsidRPr="001B1B27">
        <w:t xml:space="preserve">Capacity building of OPDs and local institutions </w:t>
      </w:r>
    </w:p>
    <w:p w14:paraId="000F97D3" w14:textId="4C44169A" w:rsidR="00B4367C" w:rsidRPr="001B1B27" w:rsidRDefault="00B4367C" w:rsidP="00881334">
      <w:r w:rsidRPr="001B1B27">
        <w:t>The external evaluation confirms that this integrated approach not only addressed immediate needs but also contributed to broader outcomes, including increased dignity, mobility, confidence, and participation among persons with disabilities.</w:t>
      </w:r>
    </w:p>
    <w:p w14:paraId="71401DC4" w14:textId="77777777" w:rsidR="00B4367C" w:rsidRPr="001B1B27" w:rsidRDefault="00B4367C" w:rsidP="00881334">
      <w:r w:rsidRPr="001B1B27">
        <w:t>Importantly, the programme facilitated a shift:</w:t>
      </w:r>
    </w:p>
    <w:p w14:paraId="43C2D72C" w14:textId="77777777" w:rsidR="00B4367C" w:rsidRPr="001B1B27" w:rsidRDefault="00B4367C" w:rsidP="00881334">
      <w:pPr>
        <w:pStyle w:val="ListParagraph"/>
        <w:numPr>
          <w:ilvl w:val="0"/>
          <w:numId w:val="36"/>
        </w:numPr>
      </w:pPr>
      <w:r w:rsidRPr="001B1B27">
        <w:t xml:space="preserve">From isolation to participation for individuals </w:t>
      </w:r>
    </w:p>
    <w:p w14:paraId="24C59AE9" w14:textId="77777777" w:rsidR="00B4367C" w:rsidRPr="001B1B27" w:rsidRDefault="00B4367C" w:rsidP="00881334">
      <w:pPr>
        <w:pStyle w:val="ListParagraph"/>
        <w:numPr>
          <w:ilvl w:val="0"/>
          <w:numId w:val="36"/>
        </w:numPr>
      </w:pPr>
      <w:r w:rsidRPr="001B1B27">
        <w:t xml:space="preserve">From service delivery to leadership for OPDs </w:t>
      </w:r>
    </w:p>
    <w:p w14:paraId="4BD4B403" w14:textId="77777777" w:rsidR="00B4367C" w:rsidRPr="001B1B27" w:rsidRDefault="00B4367C" w:rsidP="00881334">
      <w:pPr>
        <w:pStyle w:val="ListParagraph"/>
        <w:numPr>
          <w:ilvl w:val="0"/>
          <w:numId w:val="36"/>
        </w:numPr>
      </w:pPr>
      <w:r w:rsidRPr="001B1B27">
        <w:t xml:space="preserve">From ad hoc engagement to structured collaboration with authorities </w:t>
      </w:r>
    </w:p>
    <w:p w14:paraId="3A0AA8FD" w14:textId="77777777" w:rsidR="00B4367C" w:rsidRPr="001B1B27" w:rsidRDefault="00B4367C" w:rsidP="00881334">
      <w:pPr>
        <w:pStyle w:val="Heading3"/>
      </w:pPr>
      <w:r w:rsidRPr="001B1B27">
        <w:t>6. Key lessons for replication and scaling</w:t>
      </w:r>
    </w:p>
    <w:p w14:paraId="4601B9D7" w14:textId="77777777" w:rsidR="00B4367C" w:rsidRPr="001B1B27" w:rsidRDefault="00B4367C" w:rsidP="00881334">
      <w:r w:rsidRPr="001B1B27">
        <w:t>Across these practices, several cross-cutting lessons emerge:</w:t>
      </w:r>
    </w:p>
    <w:p w14:paraId="4B435555" w14:textId="77777777" w:rsidR="00B4367C" w:rsidRPr="001B1B27" w:rsidRDefault="00B4367C" w:rsidP="00881334">
      <w:pPr>
        <w:pStyle w:val="ListParagraph"/>
        <w:numPr>
          <w:ilvl w:val="0"/>
          <w:numId w:val="37"/>
        </w:numPr>
      </w:pPr>
      <w:r w:rsidRPr="001B1B27">
        <w:rPr>
          <w:b/>
          <w:bCs/>
        </w:rPr>
        <w:t>Participation must be resourced and institutionalised:</w:t>
      </w:r>
      <w:r w:rsidRPr="001B1B27">
        <w:t xml:space="preserve"> OPDs require sustained funding and formal roles to engage effectively. </w:t>
      </w:r>
    </w:p>
    <w:p w14:paraId="712D6AC1" w14:textId="77777777" w:rsidR="00B4367C" w:rsidRPr="001B1B27" w:rsidRDefault="00B4367C" w:rsidP="00881334">
      <w:pPr>
        <w:pStyle w:val="ListParagraph"/>
        <w:numPr>
          <w:ilvl w:val="0"/>
          <w:numId w:val="37"/>
        </w:numPr>
      </w:pPr>
      <w:r w:rsidRPr="001B1B27">
        <w:rPr>
          <w:b/>
          <w:bCs/>
        </w:rPr>
        <w:t>Lived experience is a form of technical expertise:</w:t>
      </w:r>
      <w:r w:rsidRPr="001B1B27">
        <w:t xml:space="preserve"> Employing persons with disabilities improves programme quality and outcomes. </w:t>
      </w:r>
    </w:p>
    <w:p w14:paraId="766555E3" w14:textId="77777777" w:rsidR="00B4367C" w:rsidRPr="001B1B27" w:rsidRDefault="00B4367C" w:rsidP="00881334">
      <w:pPr>
        <w:pStyle w:val="ListParagraph"/>
        <w:numPr>
          <w:ilvl w:val="0"/>
          <w:numId w:val="37"/>
        </w:numPr>
      </w:pPr>
      <w:r w:rsidRPr="001B1B27">
        <w:rPr>
          <w:b/>
          <w:bCs/>
        </w:rPr>
        <w:t>Data is essential for inclusion:</w:t>
      </w:r>
      <w:r w:rsidRPr="001B1B27">
        <w:t xml:space="preserve"> Without disability-disaggregated data, persons with disabilities remain invisible in humanitarian response. </w:t>
      </w:r>
    </w:p>
    <w:p w14:paraId="289CD556" w14:textId="77777777" w:rsidR="00B4367C" w:rsidRPr="001B1B27" w:rsidRDefault="00B4367C" w:rsidP="00881334">
      <w:pPr>
        <w:pStyle w:val="ListParagraph"/>
        <w:numPr>
          <w:ilvl w:val="0"/>
          <w:numId w:val="37"/>
        </w:numPr>
      </w:pPr>
      <w:r w:rsidRPr="001B1B27">
        <w:rPr>
          <w:b/>
          <w:bCs/>
        </w:rPr>
        <w:t>Localisation must include OPDs:</w:t>
      </w:r>
      <w:r w:rsidRPr="001B1B27">
        <w:t xml:space="preserve"> Effective localisation requires recognising OPDs as core humanitarian actors. </w:t>
      </w:r>
    </w:p>
    <w:p w14:paraId="23B0FF10" w14:textId="77777777" w:rsidR="00B4367C" w:rsidRPr="001B1B27" w:rsidRDefault="00B4367C" w:rsidP="00881334">
      <w:pPr>
        <w:pStyle w:val="ListParagraph"/>
        <w:numPr>
          <w:ilvl w:val="0"/>
          <w:numId w:val="37"/>
        </w:numPr>
      </w:pPr>
      <w:r w:rsidRPr="001B1B27">
        <w:rPr>
          <w:b/>
          <w:bCs/>
        </w:rPr>
        <w:t>Flexibility is critical:</w:t>
      </w:r>
      <w:r w:rsidRPr="001B1B27">
        <w:t xml:space="preserve"> Adaptive programming enables responses to evolving needs in complex crises. </w:t>
      </w:r>
    </w:p>
    <w:p w14:paraId="5835D2D7" w14:textId="77777777" w:rsidR="00B4367C" w:rsidRPr="001B1B27" w:rsidRDefault="00B4367C" w:rsidP="00881334">
      <w:pPr>
        <w:pStyle w:val="Heading3"/>
      </w:pPr>
      <w:r w:rsidRPr="001B1B27">
        <w:lastRenderedPageBreak/>
        <w:t>Conclusion</w:t>
      </w:r>
    </w:p>
    <w:p w14:paraId="23E66DA1" w14:textId="77777777" w:rsidR="00B4367C" w:rsidRPr="001B1B27" w:rsidRDefault="00B4367C" w:rsidP="00881334">
      <w:r w:rsidRPr="001B1B27">
        <w:t>The Empower Ukraine programme demonstrates that disability-inclusive humanitarian action is achievable, scalable, and effective when grounded in rights-based approaches and meaningful participation. These practices provide concrete examples of how CRPD obligations can be operationalised in humanitarian contexts and highlight the importance of ensuring that ongoing humanitarian reform processes strengthen, rather than weaken, such approaches.</w:t>
      </w:r>
    </w:p>
    <w:p w14:paraId="034084F7" w14:textId="7A3148D6" w:rsidR="0070317D" w:rsidRPr="001B1B27" w:rsidRDefault="0070317D" w:rsidP="00F449E6">
      <w:pPr>
        <w:pStyle w:val="Heading1"/>
      </w:pPr>
      <w:bookmarkStart w:id="5" w:name="_Toc228456055"/>
      <w:r w:rsidRPr="001B1B27">
        <w:t>Implementation of CRPD</w:t>
      </w:r>
      <w:r w:rsidR="00823794" w:rsidRPr="001B1B27">
        <w:t xml:space="preserve"> Article 11</w:t>
      </w:r>
      <w:bookmarkEnd w:id="5"/>
      <w:r w:rsidRPr="001B1B27">
        <w:t xml:space="preserve"> </w:t>
      </w:r>
    </w:p>
    <w:p w14:paraId="5D3996C0" w14:textId="3D709602" w:rsidR="0070317D" w:rsidRPr="001B1B27" w:rsidRDefault="0070317D" w:rsidP="00881334">
      <w:r w:rsidRPr="001B1B27">
        <w:t xml:space="preserve">EDF observes that significant progress has been </w:t>
      </w:r>
      <w:r w:rsidRPr="00173155">
        <w:t>made</w:t>
      </w:r>
      <w:r w:rsidRPr="001B1B27">
        <w:t xml:space="preserve"> in aligning humanitarian frameworks with the CRPD, including:</w:t>
      </w:r>
    </w:p>
    <w:p w14:paraId="0559253D" w14:textId="77777777" w:rsidR="0070317D" w:rsidRPr="001B1B27" w:rsidRDefault="0070317D" w:rsidP="00881334">
      <w:pPr>
        <w:pStyle w:val="ListParagraph"/>
        <w:numPr>
          <w:ilvl w:val="0"/>
          <w:numId w:val="40"/>
        </w:numPr>
      </w:pPr>
      <w:r w:rsidRPr="001B1B27">
        <w:t xml:space="preserve">Adoption of the Inter-Agency Standing Committee (IASC) Guidelines on Inclusion (2019) </w:t>
      </w:r>
    </w:p>
    <w:p w14:paraId="66CBD4FC" w14:textId="19F2BEDD" w:rsidR="009D40BB" w:rsidRPr="001B1B27" w:rsidRDefault="0070317D" w:rsidP="00881334">
      <w:pPr>
        <w:pStyle w:val="ListParagraph"/>
        <w:numPr>
          <w:ilvl w:val="0"/>
          <w:numId w:val="40"/>
        </w:numPr>
      </w:pPr>
      <w:r w:rsidRPr="001B1B27">
        <w:t>Integration of disability in humanitarian policy frameworks</w:t>
      </w:r>
    </w:p>
    <w:p w14:paraId="4DCEEC94" w14:textId="54BA7A19" w:rsidR="0070317D" w:rsidRPr="001B1B27" w:rsidRDefault="0070317D" w:rsidP="00881334">
      <w:r w:rsidRPr="001B1B27">
        <w:t>However, implementation remains:</w:t>
      </w:r>
    </w:p>
    <w:p w14:paraId="1656B8AB" w14:textId="77777777" w:rsidR="0070317D" w:rsidRPr="001B1B27" w:rsidRDefault="0070317D" w:rsidP="00881334">
      <w:pPr>
        <w:pStyle w:val="ListParagraph"/>
        <w:numPr>
          <w:ilvl w:val="0"/>
          <w:numId w:val="41"/>
        </w:numPr>
      </w:pPr>
      <w:r w:rsidRPr="001B1B27">
        <w:rPr>
          <w:b/>
          <w:bCs/>
        </w:rPr>
        <w:t>Uneven</w:t>
      </w:r>
      <w:r w:rsidRPr="001B1B27">
        <w:t xml:space="preserve"> across contexts and actors </w:t>
      </w:r>
    </w:p>
    <w:p w14:paraId="17F735DD" w14:textId="6C046434" w:rsidR="0070317D" w:rsidRPr="001B1B27" w:rsidRDefault="0070317D" w:rsidP="00881334">
      <w:pPr>
        <w:pStyle w:val="ListParagraph"/>
        <w:numPr>
          <w:ilvl w:val="0"/>
          <w:numId w:val="41"/>
        </w:numPr>
      </w:pPr>
      <w:r w:rsidRPr="001B1B27">
        <w:rPr>
          <w:b/>
          <w:bCs/>
        </w:rPr>
        <w:t>Non-systematic</w:t>
      </w:r>
      <w:r w:rsidRPr="001B1B27">
        <w:t xml:space="preserve">, often dependent on individual </w:t>
      </w:r>
      <w:r w:rsidR="00084126" w:rsidRPr="001B1B27">
        <w:t>champions</w:t>
      </w:r>
    </w:p>
    <w:p w14:paraId="747E8292" w14:textId="17F9922B" w:rsidR="00F12807" w:rsidRPr="001B1B27" w:rsidRDefault="0070317D" w:rsidP="00881334">
      <w:pPr>
        <w:pStyle w:val="ListParagraph"/>
        <w:numPr>
          <w:ilvl w:val="0"/>
          <w:numId w:val="41"/>
        </w:numPr>
      </w:pPr>
      <w:r w:rsidRPr="001B1B27">
        <w:rPr>
          <w:b/>
          <w:bCs/>
        </w:rPr>
        <w:t>Weakly monitored</w:t>
      </w:r>
      <w:r w:rsidRPr="001B1B27">
        <w:t xml:space="preserve">, with limited accountability mechanisms </w:t>
      </w:r>
    </w:p>
    <w:p w14:paraId="0A3971E4" w14:textId="2D8F7B6B" w:rsidR="0068691E" w:rsidRPr="001B1B27" w:rsidRDefault="0070317D" w:rsidP="00881334">
      <w:r w:rsidRPr="001B1B27">
        <w:t>While CRPD provisions such as Articles 4(3), 9, 11, 25, and 32 are widely referenced in policy, they are not consistently operationalised in humanitarian programming</w:t>
      </w:r>
      <w:r w:rsidR="00FD2FB9" w:rsidRPr="001B1B27">
        <w:rPr>
          <w:rStyle w:val="FootnoteReference"/>
          <w:vertAlign w:val="baseline"/>
        </w:rPr>
        <w:footnoteReference w:id="1"/>
      </w:r>
      <w:r w:rsidR="0068691E" w:rsidRPr="001B1B27">
        <w:t xml:space="preserve">. Policy is not systematically translated into operational requirements, funding criteria, or accountability mechanisms. </w:t>
      </w:r>
    </w:p>
    <w:p w14:paraId="29EB6806" w14:textId="58D2F425" w:rsidR="0070317D" w:rsidRPr="001B1B27" w:rsidRDefault="0068691E" w:rsidP="00881334">
      <w:r w:rsidRPr="001B1B27">
        <w:t>In practice, this results in a persistent gap between commitments and implementation on the ground. Disability inclusion remains too often discretionary, unevenly applied, and insufficiently monitored across humanitarian responses.</w:t>
      </w:r>
    </w:p>
    <w:p w14:paraId="39BBF9B3" w14:textId="4B32057F" w:rsidR="000E664A" w:rsidRPr="001B1B27" w:rsidRDefault="006567F6" w:rsidP="00881334">
      <w:r w:rsidRPr="001B1B27">
        <w:t>Consequently</w:t>
      </w:r>
      <w:r w:rsidR="000E664A" w:rsidRPr="001B1B27">
        <w:t xml:space="preserve">, persons with disabilities continue to experience </w:t>
      </w:r>
      <w:r w:rsidR="000E664A" w:rsidRPr="001B1B27">
        <w:rPr>
          <w:b/>
          <w:bCs/>
        </w:rPr>
        <w:t>structural and systemic exclusion</w:t>
      </w:r>
      <w:r w:rsidR="000E664A" w:rsidRPr="001B1B27">
        <w:t>, including but not limited to</w:t>
      </w:r>
      <w:r w:rsidR="00C078B8" w:rsidRPr="001B1B27">
        <w:t>:</w:t>
      </w:r>
    </w:p>
    <w:p w14:paraId="3C1B4F62" w14:textId="721A8863" w:rsidR="000E664A" w:rsidRPr="001B1B27" w:rsidRDefault="000E664A" w:rsidP="00881334">
      <w:pPr>
        <w:pStyle w:val="ListParagraph"/>
        <w:numPr>
          <w:ilvl w:val="0"/>
          <w:numId w:val="22"/>
        </w:numPr>
      </w:pPr>
      <w:r w:rsidRPr="001B1B27">
        <w:t>significant barriers to accessing life-saving assistance on an equal basis with others</w:t>
      </w:r>
    </w:p>
    <w:p w14:paraId="57F338CE" w14:textId="7EEF3F83" w:rsidR="000E664A" w:rsidRPr="001B1B27" w:rsidRDefault="000E664A" w:rsidP="00881334">
      <w:pPr>
        <w:pStyle w:val="ListParagraph"/>
        <w:numPr>
          <w:ilvl w:val="0"/>
          <w:numId w:val="22"/>
        </w:numPr>
      </w:pPr>
      <w:r w:rsidRPr="001B1B27">
        <w:lastRenderedPageBreak/>
        <w:t xml:space="preserve">limited or absent participation in humanitarian planning, coordination, and leadership processes </w:t>
      </w:r>
    </w:p>
    <w:p w14:paraId="4A6DD069" w14:textId="6A4D52DF" w:rsidR="00C078B8" w:rsidRPr="001B1B27" w:rsidRDefault="000E664A" w:rsidP="00881334">
      <w:pPr>
        <w:pStyle w:val="ListParagraph"/>
        <w:numPr>
          <w:ilvl w:val="0"/>
          <w:numId w:val="22"/>
        </w:numPr>
      </w:pPr>
      <w:r w:rsidRPr="001B1B27">
        <w:t xml:space="preserve">disruption or denial of essential services such as healthcare, rehabilitation, and assistive support. </w:t>
      </w:r>
    </w:p>
    <w:p w14:paraId="6F0C2435" w14:textId="77777777" w:rsidR="00C078B8" w:rsidRPr="001B1B27" w:rsidRDefault="000E664A" w:rsidP="00881334">
      <w:r w:rsidRPr="001B1B27">
        <w:t>These gaps not only undermine the realisation of CRPD rights but also expose persons with disabilities to heightened risks throughout crises, including increased isolation, protection risks, and exclusion during both immediate response and longer-term recovery efforts.</w:t>
      </w:r>
    </w:p>
    <w:p w14:paraId="3052EF18" w14:textId="5CDB80A9" w:rsidR="00632676" w:rsidRPr="001B1B27" w:rsidRDefault="00632676" w:rsidP="00F449E6">
      <w:pPr>
        <w:pStyle w:val="Heading1"/>
      </w:pPr>
      <w:bookmarkStart w:id="6" w:name="_Toc228456056"/>
      <w:r w:rsidRPr="001B1B27">
        <w:t>Key barriers to inclusive humanitarian assistance</w:t>
      </w:r>
      <w:bookmarkEnd w:id="6"/>
    </w:p>
    <w:p w14:paraId="236466FF" w14:textId="199353E0" w:rsidR="00D02D67" w:rsidRPr="001B1B27" w:rsidRDefault="00D02D67" w:rsidP="00881334">
      <w:r w:rsidRPr="001B1B27">
        <w:t>These barriers persist across all stages of the humanitarian cycle, including preparedness, assessment, planning, implementation, and monitoring, and continue to undermine the full realisation of inclusive humanitarian assistance</w:t>
      </w:r>
      <w:r w:rsidR="00E950B2" w:rsidRPr="001B1B27">
        <w:t xml:space="preserve"> as well as recovery.</w:t>
      </w:r>
    </w:p>
    <w:p w14:paraId="7279A416" w14:textId="121CA021" w:rsidR="00D01FC6" w:rsidRPr="001B1B27" w:rsidRDefault="00D01FC6" w:rsidP="00881334">
      <w:pPr>
        <w:pStyle w:val="Heading3"/>
      </w:pPr>
      <w:r w:rsidRPr="001B1B27">
        <w:t>Structural barriers</w:t>
      </w:r>
    </w:p>
    <w:p w14:paraId="16AF177A" w14:textId="77777777" w:rsidR="002D6570" w:rsidRPr="001B1B27" w:rsidRDefault="00D01FC6" w:rsidP="00881334">
      <w:r w:rsidRPr="001B1B27">
        <w:t xml:space="preserve">Significant structural barriers continue to limit the effective inclusion of persons with disabilities in humanitarian action. </w:t>
      </w:r>
    </w:p>
    <w:p w14:paraId="4C1416EB" w14:textId="77777777" w:rsidR="002D6570" w:rsidRPr="001B1B27" w:rsidRDefault="00D01FC6" w:rsidP="00881334">
      <w:r w:rsidRPr="001B1B27">
        <w:t xml:space="preserve">These include the absence of mandatory requirements to ensure disability inclusion across funding mechanisms and programme design, resulting in inconsistent and often optional implementation. </w:t>
      </w:r>
    </w:p>
    <w:p w14:paraId="17E09E9F" w14:textId="295DCFEB" w:rsidR="002D6570" w:rsidRPr="001B1B27" w:rsidRDefault="00D01FC6" w:rsidP="00881334">
      <w:r w:rsidRPr="001B1B27">
        <w:t xml:space="preserve">In addition, institutional accountability and monitoring mechanisms remain limited or insufficiently enforced, reducing incentives for compliance with inclusion commitments. </w:t>
      </w:r>
    </w:p>
    <w:p w14:paraId="64AD290D" w14:textId="28B0291B" w:rsidR="00D01FC6" w:rsidRPr="001B1B27" w:rsidRDefault="00D01FC6" w:rsidP="00881334">
      <w:r w:rsidRPr="001B1B27">
        <w:t xml:space="preserve">Disability is also frequently </w:t>
      </w:r>
      <w:r w:rsidRPr="001B1B27">
        <w:rPr>
          <w:b/>
          <w:bCs/>
        </w:rPr>
        <w:t>perceived as a specialised or niche issue</w:t>
      </w:r>
      <w:r w:rsidRPr="001B1B27">
        <w:t xml:space="preserve">, rather than a cross-cutting human rights obligation, which leads to its </w:t>
      </w:r>
      <w:r w:rsidR="00A51F0A" w:rsidRPr="001B1B27">
        <w:t>marginalization</w:t>
      </w:r>
      <w:r w:rsidRPr="001B1B27">
        <w:t xml:space="preserve"> in broader humanitarian strategies and systems.</w:t>
      </w:r>
    </w:p>
    <w:p w14:paraId="2165950A" w14:textId="5EB57DDD" w:rsidR="00D01FC6" w:rsidRPr="001B1B27" w:rsidRDefault="00D01FC6" w:rsidP="00881334">
      <w:pPr>
        <w:pStyle w:val="Heading3"/>
      </w:pPr>
      <w:r w:rsidRPr="001B1B27">
        <w:t>Operational barriers</w:t>
      </w:r>
    </w:p>
    <w:p w14:paraId="40272718" w14:textId="77777777" w:rsidR="00A57667" w:rsidRPr="001B1B27" w:rsidRDefault="00D01FC6" w:rsidP="00881334">
      <w:r w:rsidRPr="001B1B27">
        <w:t xml:space="preserve">At the operational level, multiple barriers impede the accessibility and effectiveness of humanitarian assistance. </w:t>
      </w:r>
    </w:p>
    <w:p w14:paraId="709F4489" w14:textId="79D03A93" w:rsidR="00D01FC6" w:rsidRPr="001B1B27" w:rsidRDefault="00A57667" w:rsidP="00881334">
      <w:r w:rsidRPr="001B1B27">
        <w:t>H</w:t>
      </w:r>
      <w:r w:rsidR="00D01FC6" w:rsidRPr="001B1B27">
        <w:t>umanitarian supply chains rarely integrate assistive devices, rehabilitation services, or accessible infrastructure as standard components, limiting the ability of persons with disabilities to access and benefit from assistance on an equal basis with others.</w:t>
      </w:r>
    </w:p>
    <w:p w14:paraId="4E28123D" w14:textId="14B31365" w:rsidR="002D6570" w:rsidRPr="001B1B27" w:rsidRDefault="00A57667" w:rsidP="00881334">
      <w:r w:rsidRPr="001B1B27">
        <w:t xml:space="preserve">The lack of inclusion or consultation with OPDs and persons with </w:t>
      </w:r>
      <w:r w:rsidR="00AB65AD" w:rsidRPr="001B1B27">
        <w:t>disabilities</w:t>
      </w:r>
      <w:r w:rsidRPr="001B1B27">
        <w:t xml:space="preserve"> results in </w:t>
      </w:r>
      <w:r w:rsidR="00016FA2" w:rsidRPr="001B1B27">
        <w:t xml:space="preserve">humanitarian responses that </w:t>
      </w:r>
      <w:r w:rsidR="00AB65AD" w:rsidRPr="001B1B27">
        <w:t xml:space="preserve">do not fulfil the </w:t>
      </w:r>
      <w:r w:rsidR="00AB65AD" w:rsidRPr="001B1B27">
        <w:lastRenderedPageBreak/>
        <w:t>requirements of Availability, Accessibility, Acceptability and Quality</w:t>
      </w:r>
      <w:r w:rsidR="002D6570" w:rsidRPr="001B1B27">
        <w:t xml:space="preserve"> </w:t>
      </w:r>
      <w:r w:rsidR="00BC2508">
        <w:t xml:space="preserve">across areas such as </w:t>
      </w:r>
      <w:r w:rsidR="002D6570" w:rsidRPr="001B1B27">
        <w:t>housing, food, medicinal, WASH</w:t>
      </w:r>
      <w:r w:rsidR="00B531A7">
        <w:t>.</w:t>
      </w:r>
    </w:p>
    <w:p w14:paraId="2CB947A7" w14:textId="4E40473F" w:rsidR="00D01FC6" w:rsidRPr="001B1B27" w:rsidRDefault="00D01FC6" w:rsidP="00881334">
      <w:pPr>
        <w:pStyle w:val="Heading3"/>
      </w:pPr>
      <w:r w:rsidRPr="001B1B27">
        <w:t>Attitudinal barriers</w:t>
      </w:r>
    </w:p>
    <w:p w14:paraId="5276FE41" w14:textId="77777777" w:rsidR="00D01FC6" w:rsidRPr="001B1B27" w:rsidRDefault="00D01FC6" w:rsidP="00881334">
      <w:r w:rsidRPr="001B1B27">
        <w:t xml:space="preserve">Attitudinal barriers continue to undermine progress toward inclusive humanitarian action. There is a </w:t>
      </w:r>
      <w:r w:rsidRPr="001B1B27">
        <w:rPr>
          <w:b/>
          <w:bCs/>
        </w:rPr>
        <w:t>widespread lack of knowledge and understanding of disability inclusion among humanitarian actors</w:t>
      </w:r>
      <w:r w:rsidRPr="001B1B27">
        <w:t xml:space="preserve">, which affects both policy and practice. </w:t>
      </w:r>
    </w:p>
    <w:p w14:paraId="76A7902A" w14:textId="3A04D523" w:rsidR="00D01FC6" w:rsidRPr="001B1B27" w:rsidRDefault="00D01FC6" w:rsidP="00881334">
      <w:r w:rsidRPr="001B1B27">
        <w:t>This is compounded by persistent prejudice and the underestimation of the capacity of organisations of persons with disabilities (OPDs), which are often not recognised as equal partners or technical experts. As a result, opportunities to benefit from their expertise and community reach are frequently missed.</w:t>
      </w:r>
    </w:p>
    <w:p w14:paraId="1A73CE73" w14:textId="7F7DC509" w:rsidR="00D01FC6" w:rsidRPr="001B1B27" w:rsidRDefault="00D01FC6" w:rsidP="00881334">
      <w:pPr>
        <w:pStyle w:val="Heading3"/>
      </w:pPr>
      <w:r w:rsidRPr="001B1B27">
        <w:t>Data-related barriers</w:t>
      </w:r>
    </w:p>
    <w:p w14:paraId="7EBFBB5A" w14:textId="77777777" w:rsidR="00D01FC6" w:rsidRPr="001B1B27" w:rsidRDefault="00D01FC6" w:rsidP="00881334">
      <w:r w:rsidRPr="001B1B27">
        <w:t xml:space="preserve">Data-related challenges further contribute to the exclusion of persons with disabilities. </w:t>
      </w:r>
      <w:r w:rsidRPr="001B1B27">
        <w:rPr>
          <w:b/>
          <w:bCs/>
        </w:rPr>
        <w:t>Disability-disaggregated data is often lacking, incomplete, or not systematically collected</w:t>
      </w:r>
      <w:r w:rsidRPr="001B1B27">
        <w:t xml:space="preserve">, limiting the visibility of persons with disabilities in needs assessments and response planning. </w:t>
      </w:r>
    </w:p>
    <w:p w14:paraId="7A7C145D" w14:textId="0AA112B6" w:rsidR="00AD235B" w:rsidRPr="001B1B27" w:rsidRDefault="00D01FC6" w:rsidP="00881334">
      <w:r w:rsidRPr="001B1B27">
        <w:t xml:space="preserve">Where data is collected, methodologies and tools are frequently inconsistent across actors, making comparison and aggregation difficult. Moreover, </w:t>
      </w:r>
      <w:r w:rsidRPr="001B1B27">
        <w:rPr>
          <w:b/>
          <w:bCs/>
        </w:rPr>
        <w:t>existing data is often underused in decision-making processes</w:t>
      </w:r>
      <w:r w:rsidRPr="001B1B27">
        <w:t>, reducing its potential to inform inclusive and evidence-based humanitarian action.</w:t>
      </w:r>
    </w:p>
    <w:p w14:paraId="4B1D4750" w14:textId="1C2589E4" w:rsidR="00C93F4E" w:rsidRPr="001B1B27" w:rsidRDefault="00915036" w:rsidP="00F449E6">
      <w:pPr>
        <w:pStyle w:val="Heading1"/>
      </w:pPr>
      <w:bookmarkStart w:id="7" w:name="_Toc228456057"/>
      <w:r w:rsidRPr="001B1B27">
        <w:t>Decision making and p</w:t>
      </w:r>
      <w:r w:rsidR="00C93F4E" w:rsidRPr="001B1B27">
        <w:t>articipation</w:t>
      </w:r>
      <w:bookmarkEnd w:id="7"/>
      <w:r w:rsidR="00C93F4E" w:rsidRPr="001B1B27">
        <w:t xml:space="preserve"> </w:t>
      </w:r>
    </w:p>
    <w:p w14:paraId="3BE51DC6" w14:textId="77777777" w:rsidR="00B055D0" w:rsidRPr="001B1B27" w:rsidRDefault="00B055D0" w:rsidP="00881334">
      <w:r w:rsidRPr="001B1B27">
        <w:t>Despite the obligations set out in Article 4(3) of the Convention on the Rights of Persons with Disabilities, EDF and its members observe that the participation of persons with disabilities and their representative organisations remains constrained in several ways:</w:t>
      </w:r>
    </w:p>
    <w:p w14:paraId="5FB416EF" w14:textId="77777777" w:rsidR="00B055D0" w:rsidRPr="001B1B27" w:rsidRDefault="00B055D0" w:rsidP="00881334">
      <w:pPr>
        <w:pStyle w:val="ListParagraph"/>
        <w:numPr>
          <w:ilvl w:val="0"/>
          <w:numId w:val="29"/>
        </w:numPr>
      </w:pPr>
      <w:r w:rsidRPr="001B1B27">
        <w:t xml:space="preserve">Participation is often </w:t>
      </w:r>
      <w:r w:rsidRPr="001B1B27">
        <w:rPr>
          <w:b/>
          <w:bCs/>
        </w:rPr>
        <w:t>ad hoc and not systematically embedded</w:t>
      </w:r>
      <w:r w:rsidRPr="001B1B27">
        <w:t xml:space="preserve"> across humanitarian processes. </w:t>
      </w:r>
    </w:p>
    <w:p w14:paraId="1AE0BF25" w14:textId="77777777" w:rsidR="00B055D0" w:rsidRPr="001B1B27" w:rsidRDefault="00B055D0" w:rsidP="00881334">
      <w:pPr>
        <w:pStyle w:val="ListParagraph"/>
        <w:numPr>
          <w:ilvl w:val="0"/>
          <w:numId w:val="29"/>
        </w:numPr>
      </w:pPr>
      <w:r w:rsidRPr="001B1B27">
        <w:t xml:space="preserve">Engagement tends to be </w:t>
      </w:r>
      <w:r w:rsidRPr="001B1B27">
        <w:rPr>
          <w:b/>
          <w:bCs/>
        </w:rPr>
        <w:t>primarily consultative</w:t>
      </w:r>
      <w:r w:rsidRPr="001B1B27">
        <w:t xml:space="preserve">, with more limited opportunities for leadership, co-design, and decision-making roles. </w:t>
      </w:r>
    </w:p>
    <w:p w14:paraId="3B11ACA2" w14:textId="77777777" w:rsidR="00B055D0" w:rsidRPr="001B1B27" w:rsidRDefault="00B055D0" w:rsidP="00881334">
      <w:pPr>
        <w:pStyle w:val="ListParagraph"/>
        <w:numPr>
          <w:ilvl w:val="0"/>
          <w:numId w:val="29"/>
        </w:numPr>
      </w:pPr>
      <w:r w:rsidRPr="001B1B27">
        <w:t xml:space="preserve">In some coordination mechanisms, consultations take place </w:t>
      </w:r>
      <w:r w:rsidRPr="001B1B27">
        <w:rPr>
          <w:b/>
          <w:bCs/>
        </w:rPr>
        <w:t>at later stages</w:t>
      </w:r>
      <w:r w:rsidRPr="001B1B27">
        <w:t xml:space="preserve">, which can limit their influence on outcomes and reduce opportunities to shape responses from the outset. </w:t>
      </w:r>
    </w:p>
    <w:p w14:paraId="3018938D" w14:textId="77777777" w:rsidR="00B055D0" w:rsidRPr="001B1B27" w:rsidRDefault="00B055D0" w:rsidP="00881334">
      <w:pPr>
        <w:pStyle w:val="ListParagraph"/>
        <w:numPr>
          <w:ilvl w:val="0"/>
          <w:numId w:val="29"/>
        </w:numPr>
      </w:pPr>
      <w:r w:rsidRPr="001B1B27">
        <w:lastRenderedPageBreak/>
        <w:t xml:space="preserve">Participation may, in some instances, be </w:t>
      </w:r>
      <w:r w:rsidRPr="001B1B27">
        <w:rPr>
          <w:b/>
          <w:bCs/>
        </w:rPr>
        <w:t>more procedural than substantive</w:t>
      </w:r>
      <w:r w:rsidRPr="001B1B27">
        <w:t xml:space="preserve">, with limited impact on final decisions. </w:t>
      </w:r>
    </w:p>
    <w:p w14:paraId="6EEFDD2B" w14:textId="4CAEABC4" w:rsidR="00CE4F50" w:rsidRPr="001B1B27" w:rsidRDefault="00B055D0" w:rsidP="00881334">
      <w:pPr>
        <w:pStyle w:val="ListParagraph"/>
        <w:numPr>
          <w:ilvl w:val="0"/>
          <w:numId w:val="29"/>
        </w:numPr>
      </w:pPr>
      <w:r w:rsidRPr="001B1B27">
        <w:rPr>
          <w:b/>
          <w:bCs/>
        </w:rPr>
        <w:t>Insufficient and short-term funding</w:t>
      </w:r>
      <w:r w:rsidRPr="001B1B27">
        <w:t xml:space="preserve"> for organisations of persons with disabilities (OPDs), as well as for broader civil society actors, constrains sustained and meaningful engagement across all phases of the humanitarian cycle.</w:t>
      </w:r>
    </w:p>
    <w:p w14:paraId="04BECD04" w14:textId="1BDC5685" w:rsidR="00CE4F50" w:rsidRPr="001B1B27" w:rsidRDefault="00CE4F50" w:rsidP="00881334">
      <w:pPr>
        <w:pStyle w:val="Heading3"/>
      </w:pPr>
      <w:r w:rsidRPr="001B1B27">
        <w:t>Case Study</w:t>
      </w:r>
    </w:p>
    <w:p w14:paraId="169A8A8C" w14:textId="6740DBB4" w:rsidR="00CE4F50" w:rsidRPr="001B1B27" w:rsidRDefault="00CE4F50" w:rsidP="00881334">
      <w:r w:rsidRPr="001B1B27">
        <w:t>The Empower Ukraine programme operationalised inclusive decision-making by placing organisations of persons with disabilities (OPDs) at the centre of programme design, implementation, and adaptation. The external evaluation finds that the programme was grounded in OPD-led assessments and consultations, ensuring that priorities reflected the lived experience and rights of persons with disabilities rather than externally imposed approaches. Throughout implementation, OPDs remained actively engaged in decision-making through continuous feedback loops, regular coordination, and adaptive management processes, allowing local teams to adjust activities, targeting, and delivery modalities in response to evolving needs and contextual changes. This participatory approach ensured that assistance remained relevant, timely, and responsive across different regions and population groups.</w:t>
      </w:r>
    </w:p>
    <w:p w14:paraId="41C1E5EA" w14:textId="3F512B5E" w:rsidR="00CE4F50" w:rsidRPr="001B1B27" w:rsidRDefault="00CE4F50" w:rsidP="00881334">
      <w:r w:rsidRPr="001B1B27">
        <w:t>The evaluation further highlights that inclusive decision-making extended beyond programme delivery into local governance and humanitarian coordination systems. OPDs engaged with local authorities, social service providers, and humanitarian coordination mechanisms, contributing evidence and advocating for inclusive approaches based on programme experience. This engagement strengthened trust and collaboration between OPDs and public institutions, in some cases leading to changes in local planning, service provision, and resource allocation. The programme contributed to a broader shift in roles and relationships, with OPDs increasingly recognised as credible actors capable of shaping humanitarian responses and influencing decision-making processes at community and institutional levels.</w:t>
      </w:r>
    </w:p>
    <w:p w14:paraId="0BEFE363" w14:textId="5EE54403" w:rsidR="00CE4F50" w:rsidRPr="001B1B27" w:rsidRDefault="0009295E" w:rsidP="00881334">
      <w:hyperlink r:id="rId12" w:history="1">
        <w:r w:rsidR="00CE4F50" w:rsidRPr="0009295E">
          <w:rPr>
            <w:rStyle w:val="Hyperlink"/>
          </w:rPr>
          <w:t>Read the external MEAL report here.</w:t>
        </w:r>
      </w:hyperlink>
      <w:r w:rsidR="00CE4F50" w:rsidRPr="001B1B27">
        <w:t xml:space="preserve"> </w:t>
      </w:r>
    </w:p>
    <w:p w14:paraId="1595F8EF" w14:textId="77777777" w:rsidR="00915036" w:rsidRPr="001B1B27" w:rsidRDefault="00915036" w:rsidP="00F449E6">
      <w:pPr>
        <w:pStyle w:val="Heading1"/>
      </w:pPr>
      <w:bookmarkStart w:id="8" w:name="_Toc228456058"/>
      <w:r w:rsidRPr="001B1B27">
        <w:t>Data – disaggregated and in decision making</w:t>
      </w:r>
      <w:bookmarkEnd w:id="8"/>
    </w:p>
    <w:p w14:paraId="54719442" w14:textId="72C5B840" w:rsidR="00244545" w:rsidRPr="00244545" w:rsidRDefault="00244545" w:rsidP="00244545">
      <w:pPr>
        <w:rPr>
          <w:lang w:val="en-GB"/>
        </w:rPr>
      </w:pPr>
      <w:r w:rsidRPr="00244545">
        <w:rPr>
          <w:lang w:val="en-GB"/>
        </w:rPr>
        <w:t xml:space="preserve">The absence of reliable, disability-disaggregated data has serious consequences for humanitarian action. Without accurate information on who persons with disabilities are, where they are located, and what their </w:t>
      </w:r>
      <w:r w:rsidRPr="00244545">
        <w:rPr>
          <w:lang w:val="en-GB"/>
        </w:rPr>
        <w:lastRenderedPageBreak/>
        <w:t xml:space="preserve">needs are, they remain largely invisible in assessments, planning, and resource allocation. This results in poorly targeted or inaccessible assistance, with persons with disabilities missing out on life-saving support, essential services, and protection mechanisms, reinforcing </w:t>
      </w:r>
      <w:r w:rsidR="00453C01" w:rsidRPr="00244545">
        <w:rPr>
          <w:lang w:val="en-GB"/>
        </w:rPr>
        <w:t>inequalities,</w:t>
      </w:r>
      <w:r w:rsidRPr="00244545">
        <w:rPr>
          <w:lang w:val="en-GB"/>
        </w:rPr>
        <w:t xml:space="preserve"> and increasing exposure to risk.</w:t>
      </w:r>
    </w:p>
    <w:p w14:paraId="24519500" w14:textId="77777777" w:rsidR="00244545" w:rsidRPr="00244545" w:rsidRDefault="00244545" w:rsidP="00244545">
      <w:pPr>
        <w:rPr>
          <w:lang w:val="en-GB"/>
        </w:rPr>
      </w:pPr>
      <w:r w:rsidRPr="00244545">
        <w:rPr>
          <w:lang w:val="en-GB"/>
        </w:rPr>
        <w:t>The Empower Ukraine programme demonstrates good practice in disability-inclusive data collection through OPD-led, community-based mapping and continuous feedback mechanisms. Organisations of persons with disabilities conducted local-level identification and mapping across multiple regions, enabling accurate beneficiary data and improving visibility of individuals often excluded from humanitarian systems.</w:t>
      </w:r>
    </w:p>
    <w:p w14:paraId="68CDDF7D" w14:textId="77777777" w:rsidR="00244545" w:rsidRPr="00244545" w:rsidRDefault="00244545" w:rsidP="00244545">
      <w:pPr>
        <w:rPr>
          <w:lang w:val="en-GB"/>
        </w:rPr>
      </w:pPr>
      <w:r w:rsidRPr="00244545">
        <w:rPr>
          <w:lang w:val="en-GB"/>
        </w:rPr>
        <w:t>This was reinforced through ongoing monitoring, evaluation, accountability, and learning (MEAL) processes, including beneficiary feedback and regular coordination, allowing data to be updated and used to adapt programming in real time. As a result, assistance was more effectively targeted, responsive to evolving needs, and aligned with the rights and priorities of persons with disabilities.</w:t>
      </w:r>
    </w:p>
    <w:p w14:paraId="2D6EC4A0" w14:textId="120E961B" w:rsidR="00915036" w:rsidRPr="00244545" w:rsidRDefault="00244545" w:rsidP="00881334">
      <w:pPr>
        <w:rPr>
          <w:lang w:val="en-GB"/>
        </w:rPr>
      </w:pPr>
      <w:r w:rsidRPr="00244545">
        <w:rPr>
          <w:lang w:val="en-GB"/>
        </w:rPr>
        <w:t>In some contexts, data is collected but not effectively used to inform decision-making. Where this occurs, programming continues to be based on assumptions rather than evidence, resulting in assistance that does not reach those most in need, remains inaccessible, or is not equitably allocated. This undermines accountability and the effectiveness of humanitarian responses, contributing to continued exclusion.</w:t>
      </w:r>
    </w:p>
    <w:p w14:paraId="0133B21F" w14:textId="3B1ABA25" w:rsidR="00915036" w:rsidRPr="001B1B27" w:rsidRDefault="00915036" w:rsidP="00881334">
      <w:r w:rsidRPr="001B1B27">
        <w:t>It is vital to ensure the timely collection of disaggregated data by gender, age, and disability, using the </w:t>
      </w:r>
      <w:hyperlink r:id="rId13" w:history="1">
        <w:r w:rsidRPr="001B1B27">
          <w:rPr>
            <w:rStyle w:val="Hyperlink"/>
          </w:rPr>
          <w:t>Washington Group questions</w:t>
        </w:r>
      </w:hyperlink>
      <w:r w:rsidRPr="001B1B27">
        <w:t> and apply the Organisation for Economic Cooperation and Development’s Development Assistance Committee (OECD DAC) </w:t>
      </w:r>
      <w:hyperlink r:id="rId14" w:anchor=":~:text=The%20marker%20allows%20the%20DAC,they%20target%20persons%20with%20disabilities." w:history="1">
        <w:r w:rsidRPr="001B1B27">
          <w:rPr>
            <w:rStyle w:val="Hyperlink"/>
          </w:rPr>
          <w:t>Disability Marker</w:t>
        </w:r>
      </w:hyperlink>
      <w:r w:rsidRPr="001B1B27">
        <w:t> where relevant. </w:t>
      </w:r>
    </w:p>
    <w:p w14:paraId="3744F39A" w14:textId="77777777" w:rsidR="00915036" w:rsidRPr="001B1B27" w:rsidRDefault="00915036" w:rsidP="00F449E6">
      <w:pPr>
        <w:pStyle w:val="Heading1"/>
      </w:pPr>
      <w:bookmarkStart w:id="9" w:name="_Toc228456059"/>
      <w:r w:rsidRPr="001B1B27">
        <w:t>Disability targeted ODA and humanitarian aid</w:t>
      </w:r>
      <w:bookmarkEnd w:id="9"/>
    </w:p>
    <w:p w14:paraId="59F1748B" w14:textId="4B1AE7AB" w:rsidR="00915036" w:rsidRPr="001B1B27" w:rsidRDefault="00915036" w:rsidP="00881334">
      <w:r w:rsidRPr="001B1B27">
        <w:t xml:space="preserve">In our recent report </w:t>
      </w:r>
      <w:hyperlink r:id="rId15" w:history="1">
        <w:r w:rsidRPr="001B1B27">
          <w:rPr>
            <w:rStyle w:val="Hyperlink"/>
            <w:b/>
          </w:rPr>
          <w:t>No time to lose: Asses</w:t>
        </w:r>
        <w:r w:rsidRPr="001B1B27">
          <w:rPr>
            <w:rStyle w:val="Hyperlink"/>
            <w:b/>
          </w:rPr>
          <w:t>s</w:t>
        </w:r>
        <w:r w:rsidRPr="001B1B27">
          <w:rPr>
            <w:rStyle w:val="Hyperlink"/>
            <w:b/>
          </w:rPr>
          <w:t>ing EU ODA for disability inclusion, 2018-2023</w:t>
        </w:r>
      </w:hyperlink>
      <w:r w:rsidRPr="001B1B27">
        <w:t>: EDF finds that despite the fact that ODA is needed now more than ever, ODA generally and EU ODA (the target of the research) is failing on full disability inclusion.</w:t>
      </w:r>
    </w:p>
    <w:p w14:paraId="059550C3" w14:textId="77777777" w:rsidR="00297E72" w:rsidRPr="00297E72" w:rsidRDefault="00297E72" w:rsidP="00297E72">
      <w:pPr>
        <w:rPr>
          <w:lang w:val="en-GB"/>
        </w:rPr>
      </w:pPr>
      <w:r w:rsidRPr="00297E72">
        <w:rPr>
          <w:lang w:val="en-GB"/>
        </w:rPr>
        <w:t xml:space="preserve">At a time of significant cuts to Official Development Assistance (ODA), ensuring that humanitarian aid is disability-inclusive is increasingly critical. A key question is whether disability inclusion is treated as a deliberate objective. Where it is not, assistance is unlikely to be fully inclusive or accessible, as required under the Convention on the Rights of </w:t>
      </w:r>
      <w:r w:rsidRPr="00297E72">
        <w:rPr>
          <w:lang w:val="en-GB"/>
        </w:rPr>
        <w:lastRenderedPageBreak/>
        <w:t>Persons with Disabilities (CRPD), with serious human consequences, including exclusion from life-saving support and essential services.</w:t>
      </w:r>
    </w:p>
    <w:p w14:paraId="4C47F3EC" w14:textId="77777777" w:rsidR="00297E72" w:rsidRPr="00297E72" w:rsidRDefault="00297E72" w:rsidP="00297E72">
      <w:pPr>
        <w:rPr>
          <w:lang w:val="en-GB"/>
        </w:rPr>
      </w:pPr>
      <w:r w:rsidRPr="00297E72">
        <w:rPr>
          <w:lang w:val="en-GB"/>
        </w:rPr>
        <w:t>EDF’s analysis of 2023 data from the European Commission (EC) and the European Investment Bank (EIB), using the OECD DAC disability marker, shows that disability inclusion remains insufficient. While the EC performs comparatively better than many donors, significant gaps persist.</w:t>
      </w:r>
    </w:p>
    <w:p w14:paraId="7F658F94" w14:textId="77777777" w:rsidR="00297E72" w:rsidRPr="00297E72" w:rsidRDefault="00297E72" w:rsidP="00297E72">
      <w:pPr>
        <w:rPr>
          <w:lang w:val="en-GB"/>
        </w:rPr>
      </w:pPr>
      <w:r w:rsidRPr="00297E72">
        <w:rPr>
          <w:lang w:val="en-GB"/>
        </w:rPr>
        <w:t>Key findings include:</w:t>
      </w:r>
    </w:p>
    <w:p w14:paraId="764221B7" w14:textId="77777777" w:rsidR="00297E72" w:rsidRPr="00297E72" w:rsidRDefault="00297E72" w:rsidP="00297E72">
      <w:pPr>
        <w:numPr>
          <w:ilvl w:val="0"/>
          <w:numId w:val="44"/>
        </w:numPr>
        <w:rPr>
          <w:lang w:val="en-GB"/>
        </w:rPr>
      </w:pPr>
      <w:r w:rsidRPr="00297E72">
        <w:rPr>
          <w:lang w:val="en-GB"/>
        </w:rPr>
        <w:t xml:space="preserve">In 2023, 63% of EC ODA activities were not disability-related in any significant way. </w:t>
      </w:r>
    </w:p>
    <w:p w14:paraId="62145A8C" w14:textId="77777777" w:rsidR="00297E72" w:rsidRPr="00297E72" w:rsidRDefault="00297E72" w:rsidP="00297E72">
      <w:pPr>
        <w:numPr>
          <w:ilvl w:val="0"/>
          <w:numId w:val="44"/>
        </w:numPr>
        <w:rPr>
          <w:lang w:val="en-GB"/>
        </w:rPr>
      </w:pPr>
      <w:r w:rsidRPr="00297E72">
        <w:rPr>
          <w:lang w:val="en-GB"/>
        </w:rPr>
        <w:t xml:space="preserve">Progress on inclusion has stalled for the first time since 2018–19. </w:t>
      </w:r>
    </w:p>
    <w:p w14:paraId="41E28A72" w14:textId="77777777" w:rsidR="00297E72" w:rsidRPr="00297E72" w:rsidRDefault="00297E72" w:rsidP="00297E72">
      <w:pPr>
        <w:numPr>
          <w:ilvl w:val="0"/>
          <w:numId w:val="44"/>
        </w:numPr>
        <w:rPr>
          <w:lang w:val="en-GB"/>
        </w:rPr>
      </w:pPr>
      <w:r w:rsidRPr="00297E72">
        <w:rPr>
          <w:lang w:val="en-GB"/>
        </w:rPr>
        <w:t xml:space="preserve">Between 2019 and 2023, an estimated 49 billion EUR of EC ODA did not meaningfully address disability. </w:t>
      </w:r>
    </w:p>
    <w:p w14:paraId="2AE60C3C" w14:textId="77777777" w:rsidR="00297E72" w:rsidRPr="00297E72" w:rsidRDefault="00297E72" w:rsidP="00297E72">
      <w:pPr>
        <w:numPr>
          <w:ilvl w:val="0"/>
          <w:numId w:val="44"/>
        </w:numPr>
        <w:rPr>
          <w:lang w:val="en-GB"/>
        </w:rPr>
      </w:pPr>
      <w:r w:rsidRPr="00297E72">
        <w:rPr>
          <w:lang w:val="en-GB"/>
        </w:rPr>
        <w:t xml:space="preserve">Only 5 out of 1,364 activities in 2023 identified disability inclusion as a primary objective. </w:t>
      </w:r>
    </w:p>
    <w:p w14:paraId="567024F3" w14:textId="77777777" w:rsidR="00297E72" w:rsidRPr="00297E72" w:rsidRDefault="00297E72" w:rsidP="00297E72">
      <w:pPr>
        <w:rPr>
          <w:lang w:val="en-GB"/>
        </w:rPr>
      </w:pPr>
      <w:r w:rsidRPr="00297E72">
        <w:rPr>
          <w:lang w:val="en-GB"/>
        </w:rPr>
        <w:t>These findings indicate that even among leading donors, disability inclusion in humanitarian and development assistance remains limited.</w:t>
      </w:r>
    </w:p>
    <w:p w14:paraId="27465F3D" w14:textId="77777777" w:rsidR="00297E72" w:rsidRPr="00297E72" w:rsidRDefault="00297E72" w:rsidP="00297E72">
      <w:pPr>
        <w:rPr>
          <w:lang w:val="en-GB"/>
        </w:rPr>
      </w:pPr>
      <w:r w:rsidRPr="00297E72">
        <w:rPr>
          <w:b/>
          <w:bCs/>
          <w:lang w:val="en-GB"/>
        </w:rPr>
        <w:t>Recommendations</w:t>
      </w:r>
    </w:p>
    <w:p w14:paraId="51C05C49" w14:textId="77777777" w:rsidR="00297E72" w:rsidRPr="00297E72" w:rsidRDefault="00297E72" w:rsidP="00297E72">
      <w:pPr>
        <w:rPr>
          <w:lang w:val="en-GB"/>
        </w:rPr>
      </w:pPr>
      <w:r w:rsidRPr="00297E72">
        <w:rPr>
          <w:lang w:val="en-GB"/>
        </w:rPr>
        <w:t>Institutional donors must take concrete steps to ensure that all humanitarian aid is inclusive of and accessible to persons with disabilities:</w:t>
      </w:r>
    </w:p>
    <w:p w14:paraId="5BA12E0A" w14:textId="77777777" w:rsidR="00297E72" w:rsidRPr="00297E72" w:rsidRDefault="00297E72" w:rsidP="00297E72">
      <w:pPr>
        <w:numPr>
          <w:ilvl w:val="0"/>
          <w:numId w:val="45"/>
        </w:numPr>
        <w:rPr>
          <w:lang w:val="en-GB"/>
        </w:rPr>
      </w:pPr>
      <w:r w:rsidRPr="00297E72">
        <w:rPr>
          <w:lang w:val="en-GB"/>
        </w:rPr>
        <w:t xml:space="preserve">Increase the share of humanitarian aid that is disability-related, ensuring all assistance is designed and implemented as disability-inclusive. </w:t>
      </w:r>
    </w:p>
    <w:p w14:paraId="51702773" w14:textId="77777777" w:rsidR="00297E72" w:rsidRPr="00297E72" w:rsidRDefault="00297E72" w:rsidP="00297E72">
      <w:pPr>
        <w:numPr>
          <w:ilvl w:val="0"/>
          <w:numId w:val="45"/>
        </w:numPr>
        <w:rPr>
          <w:lang w:val="en-GB"/>
        </w:rPr>
      </w:pPr>
      <w:r w:rsidRPr="00297E72">
        <w:rPr>
          <w:lang w:val="en-GB"/>
        </w:rPr>
        <w:t xml:space="preserve">Expand the number and scale of activities with disability inclusion as a primary objective, adopting an intersectional approach. </w:t>
      </w:r>
    </w:p>
    <w:p w14:paraId="56A63D3E" w14:textId="77777777" w:rsidR="00297E72" w:rsidRPr="00297E72" w:rsidRDefault="00297E72" w:rsidP="00297E72">
      <w:pPr>
        <w:numPr>
          <w:ilvl w:val="0"/>
          <w:numId w:val="45"/>
        </w:numPr>
        <w:rPr>
          <w:lang w:val="en-GB"/>
        </w:rPr>
      </w:pPr>
      <w:r w:rsidRPr="00297E72">
        <w:rPr>
          <w:lang w:val="en-GB"/>
        </w:rPr>
        <w:t>Ensure the meaningful participation of organisations of persons with disabilities (OPDs) at all stages of humanitarian planning, implementation, and monitoring.</w:t>
      </w:r>
    </w:p>
    <w:p w14:paraId="5F7427E8" w14:textId="0C27498A" w:rsidR="004F7A64" w:rsidRPr="001B1B27" w:rsidRDefault="003454BE" w:rsidP="00F449E6">
      <w:pPr>
        <w:pStyle w:val="Heading1"/>
      </w:pPr>
      <w:bookmarkStart w:id="10" w:name="_Toc228456060"/>
      <w:r w:rsidRPr="001B1B27">
        <w:t xml:space="preserve">Capacity </w:t>
      </w:r>
      <w:r w:rsidR="00DA27C3" w:rsidRPr="001B1B27">
        <w:t>b</w:t>
      </w:r>
      <w:r w:rsidRPr="001B1B27">
        <w:t>uilding and institutional support</w:t>
      </w:r>
      <w:bookmarkEnd w:id="10"/>
    </w:p>
    <w:p w14:paraId="3036AD8E" w14:textId="77777777" w:rsidR="000E7F8D" w:rsidRPr="000E7F8D" w:rsidRDefault="000E7F8D" w:rsidP="000E7F8D">
      <w:pPr>
        <w:rPr>
          <w:lang w:val="en-GB"/>
        </w:rPr>
      </w:pPr>
      <w:r w:rsidRPr="000E7F8D">
        <w:rPr>
          <w:lang w:val="en-GB"/>
        </w:rPr>
        <w:t>• Invest in structured training on disability inclusion for humanitarian actors</w:t>
      </w:r>
      <w:r w:rsidRPr="000E7F8D">
        <w:rPr>
          <w:lang w:val="en-GB"/>
        </w:rPr>
        <w:br/>
        <w:t xml:space="preserve">Humanitarian staff require practical, rights-based training to operationalise inclusion. Tools such as the SaferEdge online training </w:t>
      </w:r>
      <w:r w:rsidRPr="000E7F8D">
        <w:rPr>
          <w:lang w:val="en-GB"/>
        </w:rPr>
        <w:lastRenderedPageBreak/>
        <w:t>provide accessible and scalable learning opportunities across organisations.</w:t>
      </w:r>
    </w:p>
    <w:p w14:paraId="3CACFDB9" w14:textId="50FAA73B" w:rsidR="000E7F8D" w:rsidRPr="000E7F8D" w:rsidRDefault="000E7F8D" w:rsidP="000E7F8D">
      <w:pPr>
        <w:rPr>
          <w:lang w:val="en-GB"/>
        </w:rPr>
      </w:pPr>
      <w:r w:rsidRPr="000E7F8D">
        <w:rPr>
          <w:lang w:val="en-GB"/>
        </w:rPr>
        <w:t>• Recognise disability rights activists and OPDs as trainers and technical experts</w:t>
      </w:r>
      <w:r w:rsidR="00155B43">
        <w:rPr>
          <w:lang w:val="en-GB"/>
        </w:rPr>
        <w:t xml:space="preserve">. </w:t>
      </w:r>
      <w:r w:rsidRPr="000E7F8D">
        <w:rPr>
          <w:lang w:val="en-GB"/>
        </w:rPr>
        <w:br/>
        <w:t>Persons with disabilities and their representative organisations bring lived experience and contextual knowledge. Training delivered by OPDs strengthens relevance, challenges misconceptions, and improves programme quality.</w:t>
      </w:r>
    </w:p>
    <w:p w14:paraId="538E7394" w14:textId="77777777" w:rsidR="000E7F8D" w:rsidRPr="000E7F8D" w:rsidRDefault="000E7F8D" w:rsidP="000E7F8D">
      <w:pPr>
        <w:rPr>
          <w:lang w:val="en-GB"/>
        </w:rPr>
      </w:pPr>
      <w:r w:rsidRPr="000E7F8D">
        <w:rPr>
          <w:lang w:val="en-GB"/>
        </w:rPr>
        <w:t>• Bridge the knowledge gap between humanitarian and disability sectors</w:t>
      </w:r>
      <w:r w:rsidRPr="000E7F8D">
        <w:rPr>
          <w:lang w:val="en-GB"/>
        </w:rPr>
        <w:br/>
        <w:t>Capacity-building should address the disconnect between humanitarian actors and the disability movement, including biases and the perception of disability as a specialised issue rather than a cross-cutting responsibility.</w:t>
      </w:r>
    </w:p>
    <w:p w14:paraId="1AF4D8A6" w14:textId="77777777" w:rsidR="000E7F8D" w:rsidRPr="000E7F8D" w:rsidRDefault="000E7F8D" w:rsidP="000E7F8D">
      <w:pPr>
        <w:rPr>
          <w:lang w:val="en-GB"/>
        </w:rPr>
      </w:pPr>
      <w:r w:rsidRPr="000E7F8D">
        <w:rPr>
          <w:lang w:val="en-GB"/>
        </w:rPr>
        <w:t>• Strengthen the operational capacity of OPDs</w:t>
      </w:r>
      <w:r w:rsidRPr="000E7F8D">
        <w:rPr>
          <w:lang w:val="en-GB"/>
        </w:rPr>
        <w:br/>
        <w:t>Investment is needed in programme management, coordination, MEAL systems, and safeguarding to enable OPDs to lead and sustain humanitarian interventions at scale.</w:t>
      </w:r>
    </w:p>
    <w:p w14:paraId="3E2810A7" w14:textId="77777777" w:rsidR="000E7F8D" w:rsidRPr="000E7F8D" w:rsidRDefault="000E7F8D" w:rsidP="000E7F8D">
      <w:pPr>
        <w:rPr>
          <w:lang w:val="en-GB"/>
        </w:rPr>
      </w:pPr>
      <w:r w:rsidRPr="000E7F8D">
        <w:rPr>
          <w:lang w:val="en-GB"/>
        </w:rPr>
        <w:t>• Embed continuous, practical learning approaches</w:t>
      </w:r>
      <w:r w:rsidRPr="000E7F8D">
        <w:rPr>
          <w:lang w:val="en-GB"/>
        </w:rPr>
        <w:br/>
        <w:t>Capacity-building should go beyond one-off trainings to include mentoring, peer learning, and on-the-job experience, as demonstrated through ongoing coordination and adaptive management.</w:t>
      </w:r>
    </w:p>
    <w:p w14:paraId="2213A0ED" w14:textId="77777777" w:rsidR="000E7F8D" w:rsidRPr="000E7F8D" w:rsidRDefault="000E7F8D" w:rsidP="000E7F8D">
      <w:pPr>
        <w:rPr>
          <w:lang w:val="en-GB"/>
        </w:rPr>
      </w:pPr>
      <w:r w:rsidRPr="000E7F8D">
        <w:rPr>
          <w:lang w:val="en-GB"/>
        </w:rPr>
        <w:t>• Train local authorities and service providers</w:t>
      </w:r>
      <w:r w:rsidRPr="000E7F8D">
        <w:rPr>
          <w:lang w:val="en-GB"/>
        </w:rPr>
        <w:br/>
        <w:t>Building capacity at local level—particularly among health providers, social services, and municipal actors—is essential to ensure inclusive service delivery and sustainability.</w:t>
      </w:r>
    </w:p>
    <w:p w14:paraId="661157CC" w14:textId="77777777" w:rsidR="000E7F8D" w:rsidRPr="000E7F8D" w:rsidRDefault="000E7F8D" w:rsidP="00155B43">
      <w:pPr>
        <w:pStyle w:val="Heading3"/>
        <w:rPr>
          <w:lang w:val="en-GB"/>
        </w:rPr>
      </w:pPr>
      <w:r w:rsidRPr="000E7F8D">
        <w:rPr>
          <w:lang w:val="en-GB"/>
        </w:rPr>
        <w:t>Good practice</w:t>
      </w:r>
    </w:p>
    <w:p w14:paraId="426213B0" w14:textId="77777777" w:rsidR="000E7F8D" w:rsidRPr="000E7F8D" w:rsidRDefault="000E7F8D" w:rsidP="000E7F8D">
      <w:pPr>
        <w:rPr>
          <w:lang w:val="en-GB"/>
        </w:rPr>
      </w:pPr>
      <w:r w:rsidRPr="000E7F8D">
        <w:rPr>
          <w:lang w:val="en-GB"/>
        </w:rPr>
        <w:t>Capacity-building of organisations of persons with disabilities (OPDs) and local actors emerged as a key practice within the Empower Ukraine programme. The programme strengthened the organisational, technical, and leadership capacities of OPDs, enabling them to manage humanitarian programmes, engage in coordination mechanisms, and advocate with authorities and donors.</w:t>
      </w:r>
    </w:p>
    <w:p w14:paraId="479A13F7" w14:textId="77777777" w:rsidR="000E7F8D" w:rsidRPr="000E7F8D" w:rsidRDefault="000E7F8D" w:rsidP="000E7F8D">
      <w:pPr>
        <w:rPr>
          <w:lang w:val="en-GB"/>
        </w:rPr>
      </w:pPr>
      <w:r w:rsidRPr="000E7F8D">
        <w:rPr>
          <w:lang w:val="en-GB"/>
        </w:rPr>
        <w:t>This included developing MEAL systems, strengthening coordination with local authorities, and building programme management experience. The programme also supported training and awareness-raising for service providers and local officials, contributing to more inclusive service delivery.</w:t>
      </w:r>
    </w:p>
    <w:p w14:paraId="7CFCBA13" w14:textId="77777777" w:rsidR="000E7F8D" w:rsidRPr="000E7F8D" w:rsidRDefault="000E7F8D" w:rsidP="000E7F8D">
      <w:pPr>
        <w:rPr>
          <w:lang w:val="en-GB"/>
        </w:rPr>
      </w:pPr>
      <w:r w:rsidRPr="000E7F8D">
        <w:rPr>
          <w:lang w:val="en-GB"/>
        </w:rPr>
        <w:lastRenderedPageBreak/>
        <w:t>These efforts supported a shift in the role of OPDs from under-resourced actors to recognised partners able to influence humanitarian response and local governance processes, while reinforcing staff knowledge, addressing biases, and recognising persons with disabilities as technical experts.</w:t>
      </w:r>
    </w:p>
    <w:p w14:paraId="5A258C8B" w14:textId="47B27F48" w:rsidR="004F7A64" w:rsidRPr="001B1B27" w:rsidRDefault="00530C53" w:rsidP="00F449E6">
      <w:pPr>
        <w:pStyle w:val="Heading1"/>
      </w:pPr>
      <w:bookmarkStart w:id="11" w:name="_Toc228456061"/>
      <w:r w:rsidRPr="001B1B27">
        <w:t>Humanitarian reset</w:t>
      </w:r>
      <w:bookmarkEnd w:id="11"/>
      <w:r w:rsidR="00F10493" w:rsidRPr="001B1B27">
        <w:t xml:space="preserve"> </w:t>
      </w:r>
    </w:p>
    <w:p w14:paraId="78E240F1" w14:textId="77777777" w:rsidR="00F21571" w:rsidRDefault="00F21571" w:rsidP="00F21571">
      <w:pPr>
        <w:pStyle w:val="Heading3"/>
        <w:rPr>
          <w:lang w:val="en-GB"/>
        </w:rPr>
      </w:pPr>
      <w:r w:rsidRPr="00F21571">
        <w:rPr>
          <w:lang w:val="en-GB"/>
        </w:rPr>
        <w:t>Localisation</w:t>
      </w:r>
    </w:p>
    <w:p w14:paraId="61DE5B3C" w14:textId="7BF17353" w:rsidR="00F21571" w:rsidRPr="00F21571" w:rsidRDefault="00F21571" w:rsidP="00F21571">
      <w:pPr>
        <w:rPr>
          <w:lang w:val="en-GB"/>
        </w:rPr>
      </w:pPr>
      <w:r w:rsidRPr="00F21571">
        <w:rPr>
          <w:lang w:val="en-GB"/>
        </w:rPr>
        <w:t>The Empower Ukraine programme demonstrates that localisation can strengthen disability-inclusive humanitarian action when organisations of persons with disabilities (OPDs) are positioned as central actors. OPDs led implementation across multiple regions, using community networks and lived experience to identify needs, deliver assistance, and engage affected populations. This improved reach, particularly in rural and underserved areas, and strengthened trust between communities and humanitarian actors.</w:t>
      </w:r>
    </w:p>
    <w:p w14:paraId="2A5F0343" w14:textId="0660F644" w:rsidR="00F21571" w:rsidRPr="00F21571" w:rsidRDefault="00F21571" w:rsidP="00F21571">
      <w:pPr>
        <w:rPr>
          <w:lang w:val="en-GB"/>
        </w:rPr>
      </w:pPr>
      <w:r w:rsidRPr="00F21571">
        <w:rPr>
          <w:lang w:val="en-GB"/>
        </w:rPr>
        <w:t xml:space="preserve">The evaluation also highlights that localisation placed significant operational demands on OPDs, many of which operated with limited staffing and resources. Without adequate and sustained investment in OPD capacity and funding, localisation risks shifting responsibilities to under-resourced actors, undermining </w:t>
      </w:r>
      <w:r w:rsidR="00945658">
        <w:rPr>
          <w:lang w:val="en-GB"/>
        </w:rPr>
        <w:t xml:space="preserve">both </w:t>
      </w:r>
      <w:r w:rsidR="00453C01" w:rsidRPr="00F21571">
        <w:rPr>
          <w:lang w:val="en-GB"/>
        </w:rPr>
        <w:t>effectiveness</w:t>
      </w:r>
      <w:r w:rsidRPr="00F21571">
        <w:rPr>
          <w:lang w:val="en-GB"/>
        </w:rPr>
        <w:t xml:space="preserve"> and inclusion.</w:t>
      </w:r>
    </w:p>
    <w:p w14:paraId="433A77CF" w14:textId="77777777" w:rsidR="00F21571" w:rsidRDefault="00F21571" w:rsidP="00F21571">
      <w:pPr>
        <w:pStyle w:val="Heading3"/>
        <w:rPr>
          <w:lang w:val="en-GB"/>
        </w:rPr>
      </w:pPr>
      <w:r w:rsidRPr="00F21571">
        <w:rPr>
          <w:lang w:val="en-GB"/>
        </w:rPr>
        <w:t>Recommendation</w:t>
      </w:r>
    </w:p>
    <w:p w14:paraId="1A0CDB7D" w14:textId="506163B2" w:rsidR="00F21571" w:rsidRPr="00F21571" w:rsidRDefault="00F21571" w:rsidP="00F21571">
      <w:pPr>
        <w:rPr>
          <w:lang w:val="en-GB"/>
        </w:rPr>
      </w:pPr>
      <w:r w:rsidRPr="00F21571">
        <w:rPr>
          <w:lang w:val="en-GB"/>
        </w:rPr>
        <w:t>Localisation should move beyond narrow definitions based on language or nationality and place greater emphasis on lived experience and community-rooted expertise. Persons with disabilities and their representative organisations must be recognised, resourced, and meaningfully engaged as essential local actors in the design, delivery, and monitoring of humanitarian responses.</w:t>
      </w:r>
    </w:p>
    <w:p w14:paraId="0610DD97" w14:textId="77777777" w:rsidR="00F21571" w:rsidRDefault="00F21571" w:rsidP="00F21571">
      <w:pPr>
        <w:pStyle w:val="Heading3"/>
        <w:rPr>
          <w:lang w:val="en-GB"/>
        </w:rPr>
      </w:pPr>
      <w:r w:rsidRPr="00F21571">
        <w:rPr>
          <w:lang w:val="en-GB"/>
        </w:rPr>
        <w:t>Systems strengthening and sustainability</w:t>
      </w:r>
    </w:p>
    <w:p w14:paraId="7A4CFC16" w14:textId="2938E0B2" w:rsidR="00F21571" w:rsidRPr="00F21571" w:rsidRDefault="00F21571" w:rsidP="00F21571">
      <w:pPr>
        <w:rPr>
          <w:lang w:val="en-GB"/>
        </w:rPr>
      </w:pPr>
      <w:r w:rsidRPr="00F21571">
        <w:rPr>
          <w:lang w:val="en-GB"/>
        </w:rPr>
        <w:t>Empower illustrates how humanitarian action can contribute to longer-term systems strengthening when disability inclusion is embedded from the outset. Through engagement with local authorities and service providers, OPDs supported the integration of inclusive practices into local governance systems, including accessibility measures, transport services, and service delivery frameworks. In several cases, these were adopted and financed within municipal budgets, demonstrating a transition from project-based assistance to locally owned solutions and supporting continuity of services beyond the immediate response.</w:t>
      </w:r>
    </w:p>
    <w:p w14:paraId="050EE7AD" w14:textId="77777777" w:rsidR="00F21571" w:rsidRDefault="00F21571" w:rsidP="00F21571">
      <w:pPr>
        <w:pStyle w:val="Heading3"/>
        <w:rPr>
          <w:lang w:val="en-GB"/>
        </w:rPr>
      </w:pPr>
      <w:r w:rsidRPr="00F21571">
        <w:rPr>
          <w:bCs/>
          <w:lang w:val="en-GB"/>
        </w:rPr>
        <w:lastRenderedPageBreak/>
        <w:t>Recommendation</w:t>
      </w:r>
    </w:p>
    <w:p w14:paraId="766FC23D" w14:textId="14470EC9" w:rsidR="00F21571" w:rsidRPr="00F21571" w:rsidRDefault="00F21571" w:rsidP="00F21571">
      <w:pPr>
        <w:rPr>
          <w:lang w:val="en-GB"/>
        </w:rPr>
      </w:pPr>
      <w:r w:rsidRPr="00F21571">
        <w:t>Invest in the long-term capacity, leadership, and resourcing of OPDs as essential actors in humanitarian response. This includes staffing, organisational systems, coordination capacity, and meaningful participation in decision-making to support effective, targeted, and sustainable outcomes.</w:t>
      </w:r>
    </w:p>
    <w:p w14:paraId="48BF7C97" w14:textId="77777777" w:rsidR="00E53F26" w:rsidRPr="001B1B27" w:rsidRDefault="00E53F26" w:rsidP="00881334">
      <w:pPr>
        <w:pStyle w:val="Heading3"/>
      </w:pPr>
      <w:r w:rsidRPr="001B1B27">
        <w:t>Risks for disability-inclusive humanitarian action</w:t>
      </w:r>
    </w:p>
    <w:p w14:paraId="751B7622" w14:textId="65B14CC6" w:rsidR="00E53F26" w:rsidRPr="001B1B27" w:rsidRDefault="00E53F26" w:rsidP="00881334">
      <w:pPr>
        <w:pStyle w:val="ListParagraph"/>
        <w:numPr>
          <w:ilvl w:val="0"/>
          <w:numId w:val="39"/>
        </w:numPr>
      </w:pPr>
      <w:r w:rsidRPr="001B1B27">
        <w:rPr>
          <w:b/>
          <w:bCs/>
        </w:rPr>
        <w:t>Inclusion deprioritised under efficiency pressures</w:t>
      </w:r>
      <w:r w:rsidRPr="001B1B27">
        <w:br/>
        <w:t xml:space="preserve">Efforts to streamline and reduce costs may result in disability inclusion being treated as non-essential, particularly </w:t>
      </w:r>
      <w:r w:rsidR="004E3AC2" w:rsidRPr="001B1B27">
        <w:t>if</w:t>
      </w:r>
      <w:r w:rsidRPr="001B1B27">
        <w:t xml:space="preserve"> it is not explicitly required or monitored. </w:t>
      </w:r>
    </w:p>
    <w:p w14:paraId="398FE8EB" w14:textId="77777777" w:rsidR="00E53F26" w:rsidRPr="001B1B27" w:rsidRDefault="00E53F26" w:rsidP="00881334">
      <w:pPr>
        <w:pStyle w:val="ListParagraph"/>
        <w:numPr>
          <w:ilvl w:val="0"/>
          <w:numId w:val="39"/>
        </w:numPr>
      </w:pPr>
      <w:r w:rsidRPr="001B1B27">
        <w:rPr>
          <w:b/>
          <w:bCs/>
        </w:rPr>
        <w:t>Localisation without resourcing OPDs</w:t>
      </w:r>
      <w:r w:rsidRPr="001B1B27">
        <w:br/>
        <w:t xml:space="preserve">Shifting responsibilities to local actors without adequate funding, capacity-building, and institutional support risks overburdening OPDs and weakening inclusive outcomes. </w:t>
      </w:r>
    </w:p>
    <w:p w14:paraId="60E74EDE" w14:textId="77777777" w:rsidR="00E53F26" w:rsidRPr="001B1B27" w:rsidRDefault="00E53F26" w:rsidP="00881334">
      <w:pPr>
        <w:pStyle w:val="ListParagraph"/>
        <w:numPr>
          <w:ilvl w:val="0"/>
          <w:numId w:val="39"/>
        </w:numPr>
      </w:pPr>
      <w:r w:rsidRPr="001B1B27">
        <w:rPr>
          <w:b/>
          <w:bCs/>
        </w:rPr>
        <w:t>Narrow definitions of “local actors”</w:t>
      </w:r>
      <w:r w:rsidRPr="001B1B27">
        <w:br/>
        <w:t xml:space="preserve">If localisation is defined primarily by nationality or language, organisations of persons with disabilities may be overlooked despite their critical role and expertise. </w:t>
      </w:r>
    </w:p>
    <w:p w14:paraId="24C99023" w14:textId="77777777" w:rsidR="00E53F26" w:rsidRPr="001B1B27" w:rsidRDefault="00E53F26" w:rsidP="00881334">
      <w:pPr>
        <w:pStyle w:val="ListParagraph"/>
        <w:numPr>
          <w:ilvl w:val="0"/>
          <w:numId w:val="39"/>
        </w:numPr>
      </w:pPr>
      <w:r w:rsidRPr="001B1B27">
        <w:rPr>
          <w:b/>
          <w:bCs/>
        </w:rPr>
        <w:t>Reduced flexibility in programming</w:t>
      </w:r>
      <w:r w:rsidRPr="001B1B27">
        <w:br/>
        <w:t xml:space="preserve">Standardisation and cost-efficiency measures may limit adaptive, community-based approaches that are essential for reaching persons with disabilities and responding to diverse needs. </w:t>
      </w:r>
    </w:p>
    <w:p w14:paraId="63AB615C" w14:textId="77777777" w:rsidR="00E53F26" w:rsidRPr="001B1B27" w:rsidRDefault="00E53F26" w:rsidP="00881334">
      <w:pPr>
        <w:pStyle w:val="ListParagraph"/>
        <w:numPr>
          <w:ilvl w:val="0"/>
          <w:numId w:val="39"/>
        </w:numPr>
      </w:pPr>
      <w:r w:rsidRPr="001B1B27">
        <w:rPr>
          <w:b/>
          <w:bCs/>
        </w:rPr>
        <w:t>Erosion of participation and accountability</w:t>
      </w:r>
      <w:r w:rsidRPr="001B1B27">
        <w:br/>
        <w:t xml:space="preserve">Simplified or accelerated processes may reduce opportunities for meaningful participation of persons with disabilities and weaken feedback and accountability mechanisms. </w:t>
      </w:r>
    </w:p>
    <w:p w14:paraId="7F44D1C0" w14:textId="1ED256EE" w:rsidR="004F7A64" w:rsidRPr="001B1B27" w:rsidRDefault="00E53F26" w:rsidP="00881334">
      <w:pPr>
        <w:pStyle w:val="ListParagraph"/>
        <w:numPr>
          <w:ilvl w:val="0"/>
          <w:numId w:val="39"/>
        </w:numPr>
      </w:pPr>
      <w:r w:rsidRPr="001B1B27">
        <w:rPr>
          <w:b/>
          <w:bCs/>
        </w:rPr>
        <w:t>Fragmentation between humanitarian and development approaches</w:t>
      </w:r>
      <w:r w:rsidRPr="001B1B27">
        <w:br/>
        <w:t>Without deliberate links to systems strengthening, reforms may reinforce short-term responses rather than supporting sustainable, inclusive services.</w:t>
      </w:r>
    </w:p>
    <w:p w14:paraId="69FCEBED" w14:textId="77777777" w:rsidR="00CE20CE" w:rsidRPr="001B1B27" w:rsidRDefault="00CE20CE" w:rsidP="00F449E6">
      <w:pPr>
        <w:pStyle w:val="Heading1"/>
      </w:pPr>
      <w:bookmarkStart w:id="12" w:name="_Toc228456062"/>
      <w:r w:rsidRPr="001B1B27">
        <w:t>Key outcomes: Evidence from practice (Ukraine)</w:t>
      </w:r>
      <w:bookmarkEnd w:id="12"/>
    </w:p>
    <w:p w14:paraId="26F3DF08" w14:textId="77777777" w:rsidR="00CE20CE" w:rsidRPr="001B1B27" w:rsidRDefault="00CE20CE" w:rsidP="00881334">
      <w:r w:rsidRPr="001B1B27">
        <w:t xml:space="preserve">EDF’s work with its members in Ukraine since February 2022 has contributed to the delivery of disability-inclusive humanitarian assistance across multiple regions. This experience provides concrete evidence that the meaningful participation of persons with disabilities and their </w:t>
      </w:r>
      <w:r w:rsidRPr="001B1B27">
        <w:lastRenderedPageBreak/>
        <w:t>representative organisations leads to more effective, relevant, and sustainable humanitarian outcomes.</w:t>
      </w:r>
    </w:p>
    <w:p w14:paraId="74BFFA03" w14:textId="77777777" w:rsidR="00CE20CE" w:rsidRPr="001B1B27" w:rsidRDefault="00CE20CE" w:rsidP="00881334">
      <w:r w:rsidRPr="001B1B27">
        <w:t>Key outcomes include:</w:t>
      </w:r>
    </w:p>
    <w:p w14:paraId="03E74991" w14:textId="77777777" w:rsidR="00CE20CE" w:rsidRPr="001B1B27" w:rsidRDefault="00CE20CE" w:rsidP="00881334">
      <w:pPr>
        <w:pStyle w:val="ListParagraph"/>
        <w:numPr>
          <w:ilvl w:val="0"/>
          <w:numId w:val="30"/>
        </w:numPr>
      </w:pPr>
      <w:r w:rsidRPr="001B1B27">
        <w:rPr>
          <w:b/>
          <w:bCs/>
        </w:rPr>
        <w:t>Employment and leadership of persons with disabilities:</w:t>
      </w:r>
      <w:r w:rsidRPr="001B1B27">
        <w:br/>
        <w:t xml:space="preserve">Organisations of persons with disabilities (OPDs) employed persons with disabilities as outreach workers, data collectors, and coordinators, recognising lived experience as technical expertise. </w:t>
      </w:r>
    </w:p>
    <w:p w14:paraId="5AFDF88C" w14:textId="77777777" w:rsidR="00CE20CE" w:rsidRPr="001B1B27" w:rsidRDefault="00CE20CE" w:rsidP="00881334">
      <w:pPr>
        <w:pStyle w:val="ListParagraph"/>
        <w:numPr>
          <w:ilvl w:val="0"/>
          <w:numId w:val="30"/>
        </w:numPr>
      </w:pPr>
      <w:r w:rsidRPr="001B1B27">
        <w:rPr>
          <w:b/>
          <w:bCs/>
        </w:rPr>
        <w:t>Improved community mapping and identification:</w:t>
      </w:r>
      <w:r w:rsidRPr="001B1B27">
        <w:br/>
        <w:t xml:space="preserve">Community-level mapping conducted by persons with disabilities resulted in more accurate identification of beneficiaries and reduced the risk of exclusion, particularly in hard-to-reach and rural areas. </w:t>
      </w:r>
    </w:p>
    <w:p w14:paraId="5C34E787" w14:textId="77777777" w:rsidR="00CE20CE" w:rsidRPr="001B1B27" w:rsidRDefault="00CE20CE" w:rsidP="00881334">
      <w:pPr>
        <w:pStyle w:val="ListParagraph"/>
        <w:numPr>
          <w:ilvl w:val="0"/>
          <w:numId w:val="30"/>
        </w:numPr>
      </w:pPr>
      <w:r w:rsidRPr="001B1B27">
        <w:rPr>
          <w:b/>
          <w:bCs/>
        </w:rPr>
        <w:t>Increased trust and community engagement:</w:t>
      </w:r>
      <w:r w:rsidRPr="001B1B27">
        <w:br/>
        <w:t xml:space="preserve">Engagement led by persons with disabilities strengthened trust with affected communities, facilitating more open communication and reducing stigma and discrimination. </w:t>
      </w:r>
    </w:p>
    <w:p w14:paraId="74A3099F" w14:textId="77777777" w:rsidR="00CE20CE" w:rsidRPr="001B1B27" w:rsidRDefault="00CE20CE" w:rsidP="00881334">
      <w:pPr>
        <w:pStyle w:val="ListParagraph"/>
        <w:numPr>
          <w:ilvl w:val="0"/>
          <w:numId w:val="30"/>
        </w:numPr>
      </w:pPr>
      <w:r w:rsidRPr="001B1B27">
        <w:rPr>
          <w:b/>
          <w:bCs/>
        </w:rPr>
        <w:t>Greater accuracy and individualised responses:</w:t>
      </w:r>
      <w:r w:rsidRPr="001B1B27">
        <w:br/>
        <w:t xml:space="preserve">Needs assessments were more precise and context-specific, enabling assistance to be better tailored to individual and household needs. </w:t>
      </w:r>
    </w:p>
    <w:p w14:paraId="2DB501F6" w14:textId="77777777" w:rsidR="00CE20CE" w:rsidRPr="001B1B27" w:rsidRDefault="00CE20CE" w:rsidP="00881334">
      <w:pPr>
        <w:pStyle w:val="ListParagraph"/>
        <w:numPr>
          <w:ilvl w:val="0"/>
          <w:numId w:val="30"/>
        </w:numPr>
      </w:pPr>
      <w:r w:rsidRPr="001B1B27">
        <w:rPr>
          <w:b/>
          <w:bCs/>
        </w:rPr>
        <w:t>Expanded reach of humanitarian assistance:</w:t>
      </w:r>
      <w:r w:rsidRPr="001B1B27">
        <w:br/>
        <w:t xml:space="preserve">OPD-led approaches significantly increased the reach of humanitarian aid, including to persons with disabilities who are often invisible to standard humanitarian systems. </w:t>
      </w:r>
    </w:p>
    <w:p w14:paraId="1419151C" w14:textId="77777777" w:rsidR="00CE20CE" w:rsidRPr="001B1B27" w:rsidRDefault="00CE20CE" w:rsidP="00881334">
      <w:pPr>
        <w:pStyle w:val="ListParagraph"/>
        <w:numPr>
          <w:ilvl w:val="0"/>
          <w:numId w:val="30"/>
        </w:numPr>
      </w:pPr>
      <w:r w:rsidRPr="001B1B27">
        <w:rPr>
          <w:b/>
          <w:bCs/>
        </w:rPr>
        <w:t>Sustained impact and strengthened local systems:</w:t>
      </w:r>
      <w:r w:rsidRPr="001B1B27">
        <w:br/>
        <w:t xml:space="preserve">The involvement of OPDs contributed to longer-term impact through strengthened local networks, increased recognition of OPDs, and continued advocacy for inclusive services beyond the immediate response phase. </w:t>
      </w:r>
    </w:p>
    <w:p w14:paraId="214B8560" w14:textId="6F39A7EE" w:rsidR="00CE20CE" w:rsidRPr="001B1B27" w:rsidRDefault="00CE20CE" w:rsidP="00881334">
      <w:pPr>
        <w:pStyle w:val="ListParagraph"/>
        <w:numPr>
          <w:ilvl w:val="0"/>
          <w:numId w:val="30"/>
        </w:numPr>
      </w:pPr>
      <w:r w:rsidRPr="001B1B27">
        <w:rPr>
          <w:b/>
          <w:bCs/>
        </w:rPr>
        <w:t>Strengthened accountability and evidence-based programming:</w:t>
      </w:r>
      <w:r w:rsidRPr="001B1B27">
        <w:br/>
        <w:t xml:space="preserve">Monitoring, evaluation, </w:t>
      </w:r>
      <w:r w:rsidR="00C329E5" w:rsidRPr="001B1B27">
        <w:t>accountability,</w:t>
      </w:r>
      <w:r w:rsidRPr="001B1B27">
        <w:t xml:space="preserve"> and learning (MEAL) processes, including external evaluations, confirm that OPD-led and disability-inclusive approaches improve programme quality, effectiveness, and accountability to affected populations.</w:t>
      </w:r>
    </w:p>
    <w:p w14:paraId="03334B6B" w14:textId="26EEA3F4" w:rsidR="00C93F4E" w:rsidRPr="001B1B27" w:rsidRDefault="00AF5049" w:rsidP="00881334">
      <w:r w:rsidRPr="001B1B27">
        <w:t>P</w:t>
      </w:r>
      <w:r w:rsidR="00C93F4E" w:rsidRPr="001B1B27">
        <w:t>articipation</w:t>
      </w:r>
      <w:r w:rsidRPr="001B1B27">
        <w:t xml:space="preserve"> and leadership of OPDs in humanitarian aid </w:t>
      </w:r>
      <w:r w:rsidR="00C93F4E" w:rsidRPr="001B1B27">
        <w:t xml:space="preserve">is not only a rights obligation, but also a </w:t>
      </w:r>
      <w:r w:rsidR="00C93F4E" w:rsidRPr="001B1B27">
        <w:rPr>
          <w:b/>
          <w:bCs/>
        </w:rPr>
        <w:t xml:space="preserve">condition for effective </w:t>
      </w:r>
      <w:r w:rsidRPr="001B1B27">
        <w:rPr>
          <w:b/>
          <w:bCs/>
        </w:rPr>
        <w:t xml:space="preserve">and inclusive </w:t>
      </w:r>
      <w:r w:rsidR="00C93F4E" w:rsidRPr="001B1B27">
        <w:rPr>
          <w:b/>
          <w:bCs/>
        </w:rPr>
        <w:t>humanitarian action</w:t>
      </w:r>
      <w:r w:rsidR="00C93F4E" w:rsidRPr="001B1B27">
        <w:t>.</w:t>
      </w:r>
    </w:p>
    <w:p w14:paraId="456F0931" w14:textId="77777777" w:rsidR="005913E6" w:rsidRPr="001B1B27" w:rsidRDefault="005913E6" w:rsidP="00881334"/>
    <w:p w14:paraId="6689F041" w14:textId="77777777" w:rsidR="005913E6" w:rsidRPr="001B1B27" w:rsidRDefault="005913E6" w:rsidP="00881334">
      <w:pPr>
        <w:sectPr w:rsidR="005913E6" w:rsidRPr="001B1B27" w:rsidSect="001B1B27">
          <w:footerReference w:type="default" r:id="rId16"/>
          <w:pgSz w:w="11906" w:h="16838" w:code="9"/>
          <w:pgMar w:top="1440" w:right="1440" w:bottom="1418"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pPr>
    </w:p>
    <w:p w14:paraId="27D32963" w14:textId="3F3C9945" w:rsidR="005913E6" w:rsidRPr="001B1B27" w:rsidRDefault="005913E6" w:rsidP="00F449E6">
      <w:pPr>
        <w:pStyle w:val="Heading1"/>
      </w:pPr>
      <w:bookmarkStart w:id="13" w:name="_Toc228456063"/>
      <w:r w:rsidRPr="001B1B27">
        <w:lastRenderedPageBreak/>
        <w:t>Annex</w:t>
      </w:r>
      <w:bookmarkEnd w:id="13"/>
    </w:p>
    <w:p w14:paraId="644F6112" w14:textId="4A0F0D03" w:rsidR="001120E4" w:rsidRDefault="00207BB2" w:rsidP="00881334">
      <w:hyperlink r:id="rId17" w:history="1">
        <w:r w:rsidR="0009295E" w:rsidRPr="00207BB2">
          <w:rPr>
            <w:rStyle w:val="Hyperlink"/>
          </w:rPr>
          <w:t>Empower Ukraine External MEAL Report</w:t>
        </w:r>
      </w:hyperlink>
    </w:p>
    <w:p w14:paraId="5DB60F9E" w14:textId="2B1547DD" w:rsidR="0009295E" w:rsidRPr="001B1B27" w:rsidRDefault="00207BB2" w:rsidP="00881334">
      <w:hyperlink r:id="rId18" w:history="1">
        <w:r w:rsidR="0009295E" w:rsidRPr="00207BB2">
          <w:rPr>
            <w:rStyle w:val="Hyperlink"/>
          </w:rPr>
          <w:t>EDF advisory note to DG ECHO on the Communication on Humanitarian Aid to the European Parliament and the Council</w:t>
        </w:r>
      </w:hyperlink>
      <w:r w:rsidR="0009295E">
        <w:t xml:space="preserve"> </w:t>
      </w:r>
    </w:p>
    <w:p w14:paraId="026961C1" w14:textId="6A72B0EA" w:rsidR="00382268" w:rsidRDefault="00207BB2" w:rsidP="00881334">
      <w:hyperlink r:id="rId19" w:history="1">
        <w:r w:rsidRPr="001B1B27">
          <w:rPr>
            <w:rStyle w:val="Hyperlink"/>
            <w:b/>
          </w:rPr>
          <w:t>No time to lose: Assessing EU ODA for disability inclusion, 2018-2023</w:t>
        </w:r>
      </w:hyperlink>
    </w:p>
    <w:p w14:paraId="13809BBB" w14:textId="77777777" w:rsidR="00C62969" w:rsidRPr="00C62969" w:rsidRDefault="00C62969" w:rsidP="00C62969">
      <w:pPr>
        <w:rPr>
          <w:lang w:val="en-GB"/>
        </w:rPr>
      </w:pPr>
      <w:hyperlink r:id="rId20" w:history="1">
        <w:r w:rsidRPr="00C62969">
          <w:rPr>
            <w:rStyle w:val="Hyperlink"/>
            <w:lang w:val="en-GB"/>
          </w:rPr>
          <w:t>Report on Disability Inclusive Emergency Preparedness and Response in Europe - European Disability Forum</w:t>
        </w:r>
      </w:hyperlink>
    </w:p>
    <w:p w14:paraId="2C07DD92" w14:textId="77777777" w:rsidR="00207BB2" w:rsidRPr="00C62969" w:rsidRDefault="00207BB2" w:rsidP="00881334">
      <w:pPr>
        <w:rPr>
          <w:lang w:val="en-GB"/>
        </w:rPr>
      </w:pPr>
    </w:p>
    <w:p w14:paraId="63B7F075" w14:textId="61C3BB80" w:rsidR="00A9576D" w:rsidRPr="001B1B27" w:rsidRDefault="00A9576D" w:rsidP="00F449E6">
      <w:pPr>
        <w:pStyle w:val="Heading1"/>
      </w:pPr>
      <w:bookmarkStart w:id="14" w:name="_Toc228456064"/>
      <w:r w:rsidRPr="001B1B27">
        <w:t>Document credits</w:t>
      </w:r>
      <w:bookmarkEnd w:id="14"/>
    </w:p>
    <w:p w14:paraId="72B6B2CA" w14:textId="43A1D6CE" w:rsidR="0046255D" w:rsidRPr="00881334" w:rsidRDefault="00A9576D" w:rsidP="00881334">
      <w:r w:rsidRPr="00881334">
        <w:t>This document was prepared by</w:t>
      </w:r>
      <w:r w:rsidR="00774A30" w:rsidRPr="00881334">
        <w:t xml:space="preserve"> Phillipa Tucker, Coordinator for Central and </w:t>
      </w:r>
      <w:r w:rsidR="007325F2" w:rsidRPr="00881334">
        <w:t>E</w:t>
      </w:r>
      <w:r w:rsidR="00774A30" w:rsidRPr="00881334">
        <w:t xml:space="preserve">astern </w:t>
      </w:r>
      <w:r w:rsidR="00B20101" w:rsidRPr="00881334">
        <w:t>Eu</w:t>
      </w:r>
      <w:r w:rsidR="00774A30" w:rsidRPr="00881334">
        <w:t>rope</w:t>
      </w:r>
      <w:r w:rsidR="00B768C5" w:rsidRPr="00881334">
        <w:t>.</w:t>
      </w:r>
      <w:r w:rsidR="00774A30" w:rsidRPr="00881334">
        <w:t xml:space="preserve"> </w:t>
      </w:r>
      <w:r w:rsidR="00C62969" w:rsidRPr="001B1B27">
        <w:t>Views and opinions expressed are however those of the author(s) only and do not necessarily reflect those of the German Foreign Federal Office nor of CBM. Neither the GFFO nor CBM can be held responsible for them</w:t>
      </w:r>
    </w:p>
    <w:p w14:paraId="229411AE" w14:textId="105D95CC" w:rsidR="0046255D" w:rsidRPr="00881334" w:rsidRDefault="0046255D" w:rsidP="00881334">
      <w:r w:rsidRPr="00881334">
        <w:t xml:space="preserve">For more information, please contact </w:t>
      </w:r>
      <w:r w:rsidR="0053179C" w:rsidRPr="00881334">
        <w:t>Phillipa</w:t>
      </w:r>
      <w:r w:rsidRPr="00881334">
        <w:t xml:space="preserve"> Tucker, Coordinator for Central and Eastern </w:t>
      </w:r>
      <w:r w:rsidR="00B20101" w:rsidRPr="00881334">
        <w:t>Eu</w:t>
      </w:r>
      <w:r w:rsidRPr="00881334">
        <w:t>rope, International Cooperation and Humanitarian Action Team, Email phillipa.tucker@edf-feph.org</w:t>
      </w:r>
    </w:p>
    <w:p w14:paraId="177D1331" w14:textId="425A3F9E" w:rsidR="009277BC" w:rsidRPr="001B1B27" w:rsidRDefault="009277BC" w:rsidP="00881334">
      <w:r w:rsidRPr="001B1B27">
        <w:rPr>
          <w:noProof/>
        </w:rPr>
        <w:drawing>
          <wp:inline distT="0" distB="0" distL="0" distR="0" wp14:anchorId="3D5A81C9" wp14:editId="7936E65C">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71485BDE" w:rsidR="00A9576D" w:rsidRPr="001B1B27" w:rsidRDefault="00A9576D" w:rsidP="00881334">
      <w:r w:rsidRPr="001B1B27">
        <w:t xml:space="preserve">The </w:t>
      </w:r>
      <w:r w:rsidR="00B20101" w:rsidRPr="001B1B27">
        <w:t>Eu</w:t>
      </w:r>
      <w:r w:rsidRPr="001B1B27">
        <w:t>ropean Disability Forum</w:t>
      </w:r>
      <w:r w:rsidR="009277BC" w:rsidRPr="001B1B27">
        <w:br/>
        <w:t>Mundo Madou</w:t>
      </w:r>
      <w:r w:rsidR="009277BC" w:rsidRPr="001B1B27">
        <w:br/>
      </w:r>
      <w:r w:rsidRPr="001B1B27">
        <w:t>Avenue des Arts 7-8</w:t>
      </w:r>
      <w:r w:rsidR="009277BC" w:rsidRPr="001B1B27">
        <w:br/>
        <w:t>1210 Brussels, Belgium.</w:t>
      </w:r>
    </w:p>
    <w:p w14:paraId="63FAD6C0" w14:textId="2B69825D" w:rsidR="00A9576D" w:rsidRPr="001B1B27" w:rsidRDefault="00A9576D" w:rsidP="00881334">
      <w:hyperlink r:id="rId21" w:history="1">
        <w:r w:rsidRPr="001B1B27">
          <w:rPr>
            <w:rStyle w:val="Hyperlink"/>
          </w:rPr>
          <w:t>www.edf-feph.org</w:t>
        </w:r>
      </w:hyperlink>
    </w:p>
    <w:p w14:paraId="7B572B14" w14:textId="763AF427" w:rsidR="009277BC" w:rsidRPr="001B1B27" w:rsidRDefault="009277BC" w:rsidP="00881334">
      <w:hyperlink r:id="rId22" w:history="1">
        <w:r w:rsidRPr="001B1B27">
          <w:rPr>
            <w:rStyle w:val="Hyperlink"/>
          </w:rPr>
          <w:t>info@edf-feph.org</w:t>
        </w:r>
      </w:hyperlink>
    </w:p>
    <w:p w14:paraId="7D2C5430" w14:textId="040B27E0" w:rsidR="005E0EEE" w:rsidRPr="001B1B27" w:rsidRDefault="005E0EEE" w:rsidP="00881334">
      <w:r w:rsidRPr="001B1B27">
        <w:rPr>
          <w:noProof/>
        </w:rPr>
        <w:drawing>
          <wp:anchor distT="0" distB="0" distL="114300" distR="114300" simplePos="0" relativeHeight="251661824" behindDoc="0" locked="0" layoutInCell="1" allowOverlap="1" wp14:anchorId="29AB6D3E" wp14:editId="4E4F2BE0">
            <wp:simplePos x="0" y="0"/>
            <wp:positionH relativeFrom="column">
              <wp:posOffset>-491237</wp:posOffset>
            </wp:positionH>
            <wp:positionV relativeFrom="paragraph">
              <wp:posOffset>151837</wp:posOffset>
            </wp:positionV>
            <wp:extent cx="6525312" cy="1517086"/>
            <wp:effectExtent l="0" t="0" r="8890" b="6985"/>
            <wp:wrapNone/>
            <wp:docPr id="578337617" name="Picture 5"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37617" name="Picture 5" descr="Logos"/>
                    <pic:cNvPicPr/>
                  </pic:nvPicPr>
                  <pic:blipFill rotWithShape="1">
                    <a:blip r:embed="rId23" cstate="print">
                      <a:extLst>
                        <a:ext uri="{28A0092B-C50C-407E-A947-70E740481C1C}">
                          <a14:useLocalDpi xmlns:a14="http://schemas.microsoft.com/office/drawing/2010/main" val="0"/>
                        </a:ext>
                      </a:extLst>
                    </a:blip>
                    <a:srcRect l="4726" t="33347" r="11297" b="39036"/>
                    <a:stretch>
                      <a:fillRect/>
                    </a:stretch>
                  </pic:blipFill>
                  <pic:spPr bwMode="auto">
                    <a:xfrm>
                      <a:off x="0" y="0"/>
                      <a:ext cx="6525312" cy="15170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0EC0D7" w14:textId="7DF7E9C8" w:rsidR="005E0EEE" w:rsidRPr="001B1B27" w:rsidRDefault="005E0EEE" w:rsidP="00881334"/>
    <w:p w14:paraId="45BA7225" w14:textId="7D6E1AE8" w:rsidR="009277BC" w:rsidRPr="001B1B27" w:rsidRDefault="009277BC" w:rsidP="00881334"/>
    <w:p w14:paraId="18D88676" w14:textId="016DE016" w:rsidR="008C4E44" w:rsidRPr="001B1B27" w:rsidRDefault="008C4E44" w:rsidP="00881334"/>
    <w:p w14:paraId="5173310D" w14:textId="5906D87C" w:rsidR="008C4E44" w:rsidRPr="001B1B27" w:rsidRDefault="008C4E44" w:rsidP="00881334"/>
    <w:p w14:paraId="5CBD378D" w14:textId="77777777" w:rsidR="005E0EEE" w:rsidRPr="001B1B27" w:rsidRDefault="005E0EEE" w:rsidP="00881334"/>
    <w:p w14:paraId="01ACD441" w14:textId="741E25EC" w:rsidR="008C4E44" w:rsidRPr="001B1B27" w:rsidRDefault="008C4E44" w:rsidP="00881334">
      <w:r w:rsidRPr="001B1B27">
        <w:t>.</w:t>
      </w:r>
    </w:p>
    <w:sectPr w:rsidR="008C4E44" w:rsidRPr="001B1B27" w:rsidSect="006D0B23">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26E4" w14:textId="77777777" w:rsidR="00906577" w:rsidRDefault="00906577" w:rsidP="00881334">
      <w:r>
        <w:separator/>
      </w:r>
    </w:p>
  </w:endnote>
  <w:endnote w:type="continuationSeparator" w:id="0">
    <w:p w14:paraId="1ED0976A" w14:textId="77777777" w:rsidR="00906577" w:rsidRDefault="00906577" w:rsidP="0088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EndPr/>
    <w:sdtContent>
      <w:p w14:paraId="63306FAB" w14:textId="270C9223" w:rsidR="007C7CD3" w:rsidRDefault="007C7CD3" w:rsidP="00881334">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rsidP="0088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189C" w14:textId="77777777" w:rsidR="00906577" w:rsidRDefault="00906577" w:rsidP="00881334">
      <w:r>
        <w:separator/>
      </w:r>
    </w:p>
  </w:footnote>
  <w:footnote w:type="continuationSeparator" w:id="0">
    <w:p w14:paraId="20CF6490" w14:textId="77777777" w:rsidR="00906577" w:rsidRDefault="00906577" w:rsidP="00881334">
      <w:r>
        <w:continuationSeparator/>
      </w:r>
    </w:p>
  </w:footnote>
  <w:footnote w:id="1">
    <w:p w14:paraId="3124D83D" w14:textId="64A02E44" w:rsidR="00FD2FB9" w:rsidRPr="00FD2FB9" w:rsidRDefault="00FD2FB9" w:rsidP="00881334">
      <w:pPr>
        <w:pStyle w:val="FootnoteText"/>
      </w:pPr>
      <w:r>
        <w:rPr>
          <w:rStyle w:val="FootnoteReference"/>
        </w:rPr>
        <w:footnoteRef/>
      </w:r>
      <w:r>
        <w:t xml:space="preserve"> </w:t>
      </w:r>
      <w:r w:rsidR="00A90B76">
        <w:t xml:space="preserve">EDF </w:t>
      </w:r>
      <w:r w:rsidR="00A90B76" w:rsidRPr="00A90B76">
        <w:t>advisory note to DG ECHO on the Communication on Humanitarian Aid to the European Parliament and the Council.</w:t>
      </w:r>
      <w:r w:rsidR="00A90B76">
        <w:t xml:space="preserve"> </w:t>
      </w:r>
      <w:r w:rsidRPr="00FD2FB9">
        <w:t>https://www.edf-feph.org/publications/communication-on-humanitarian-aid-edfs-input-into-the-dg-echo-consultation/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4BC"/>
    <w:multiLevelType w:val="multilevel"/>
    <w:tmpl w:val="B7D0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321"/>
    <w:multiLevelType w:val="multilevel"/>
    <w:tmpl w:val="296A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C112F"/>
    <w:multiLevelType w:val="multilevel"/>
    <w:tmpl w:val="C086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41601"/>
    <w:multiLevelType w:val="hybridMultilevel"/>
    <w:tmpl w:val="CD2A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81B0C"/>
    <w:multiLevelType w:val="multilevel"/>
    <w:tmpl w:val="8D60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430AE"/>
    <w:multiLevelType w:val="multilevel"/>
    <w:tmpl w:val="929C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36F39"/>
    <w:multiLevelType w:val="hybridMultilevel"/>
    <w:tmpl w:val="5BA6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C3818"/>
    <w:multiLevelType w:val="multilevel"/>
    <w:tmpl w:val="49F6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91E42"/>
    <w:multiLevelType w:val="multilevel"/>
    <w:tmpl w:val="F7FE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60E03"/>
    <w:multiLevelType w:val="hybridMultilevel"/>
    <w:tmpl w:val="72ACA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242776"/>
    <w:multiLevelType w:val="multilevel"/>
    <w:tmpl w:val="1C86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C7C84"/>
    <w:multiLevelType w:val="hybridMultilevel"/>
    <w:tmpl w:val="6E5E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E64E84"/>
    <w:multiLevelType w:val="hybridMultilevel"/>
    <w:tmpl w:val="D202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767043"/>
    <w:multiLevelType w:val="hybridMultilevel"/>
    <w:tmpl w:val="AF9096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2846681"/>
    <w:multiLevelType w:val="hybridMultilevel"/>
    <w:tmpl w:val="3C66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20255E"/>
    <w:multiLevelType w:val="multilevel"/>
    <w:tmpl w:val="7372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B55129"/>
    <w:multiLevelType w:val="multilevel"/>
    <w:tmpl w:val="AD4C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8E616D"/>
    <w:multiLevelType w:val="hybridMultilevel"/>
    <w:tmpl w:val="BF00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E22FC5"/>
    <w:multiLevelType w:val="hybridMultilevel"/>
    <w:tmpl w:val="AAD66D9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832892"/>
    <w:multiLevelType w:val="hybridMultilevel"/>
    <w:tmpl w:val="3816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50624B"/>
    <w:multiLevelType w:val="hybridMultilevel"/>
    <w:tmpl w:val="29F0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E328A2"/>
    <w:multiLevelType w:val="multilevel"/>
    <w:tmpl w:val="1668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61551B"/>
    <w:multiLevelType w:val="multilevel"/>
    <w:tmpl w:val="889C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A403F"/>
    <w:multiLevelType w:val="hybridMultilevel"/>
    <w:tmpl w:val="39281274"/>
    <w:lvl w:ilvl="0" w:tplc="2D4895C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AA22E4"/>
    <w:multiLevelType w:val="multilevel"/>
    <w:tmpl w:val="68B8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FE1197"/>
    <w:multiLevelType w:val="multilevel"/>
    <w:tmpl w:val="094E7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4F3A9F"/>
    <w:multiLevelType w:val="multilevel"/>
    <w:tmpl w:val="3DE4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26397"/>
    <w:multiLevelType w:val="multilevel"/>
    <w:tmpl w:val="E3F2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C84A98"/>
    <w:multiLevelType w:val="multilevel"/>
    <w:tmpl w:val="BB50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9B205C"/>
    <w:multiLevelType w:val="hybridMultilevel"/>
    <w:tmpl w:val="2AA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726DA8"/>
    <w:multiLevelType w:val="hybridMultilevel"/>
    <w:tmpl w:val="D9CA9888"/>
    <w:lvl w:ilvl="0" w:tplc="113211B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FB858FF"/>
    <w:multiLevelType w:val="multilevel"/>
    <w:tmpl w:val="FB82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3E7207"/>
    <w:multiLevelType w:val="multilevel"/>
    <w:tmpl w:val="91E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897CE4"/>
    <w:multiLevelType w:val="multilevel"/>
    <w:tmpl w:val="31E6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5B18E1"/>
    <w:multiLevelType w:val="hybridMultilevel"/>
    <w:tmpl w:val="5C3A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8549F3"/>
    <w:multiLevelType w:val="multilevel"/>
    <w:tmpl w:val="4440A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365E99"/>
    <w:multiLevelType w:val="multilevel"/>
    <w:tmpl w:val="B784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7554A1"/>
    <w:multiLevelType w:val="hybridMultilevel"/>
    <w:tmpl w:val="D3B41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CF33BF"/>
    <w:multiLevelType w:val="hybridMultilevel"/>
    <w:tmpl w:val="6EE22BAE"/>
    <w:lvl w:ilvl="0" w:tplc="09A41FCC">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172785"/>
    <w:multiLevelType w:val="multilevel"/>
    <w:tmpl w:val="C76E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0C4BAB"/>
    <w:multiLevelType w:val="multilevel"/>
    <w:tmpl w:val="5A30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F718EA"/>
    <w:multiLevelType w:val="multilevel"/>
    <w:tmpl w:val="0FFC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832517"/>
    <w:multiLevelType w:val="multilevel"/>
    <w:tmpl w:val="5498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A077BE"/>
    <w:multiLevelType w:val="multilevel"/>
    <w:tmpl w:val="15C6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780050">
    <w:abstractNumId w:val="13"/>
  </w:num>
  <w:num w:numId="2" w16cid:durableId="265164323">
    <w:abstractNumId w:val="24"/>
  </w:num>
  <w:num w:numId="3" w16cid:durableId="484517512">
    <w:abstractNumId w:val="31"/>
  </w:num>
  <w:num w:numId="4" w16cid:durableId="222641022">
    <w:abstractNumId w:val="1"/>
  </w:num>
  <w:num w:numId="5" w16cid:durableId="1357851731">
    <w:abstractNumId w:val="18"/>
  </w:num>
  <w:num w:numId="6" w16cid:durableId="1250195737">
    <w:abstractNumId w:val="16"/>
  </w:num>
  <w:num w:numId="7" w16cid:durableId="2043438432">
    <w:abstractNumId w:val="41"/>
  </w:num>
  <w:num w:numId="8" w16cid:durableId="1253781871">
    <w:abstractNumId w:val="29"/>
  </w:num>
  <w:num w:numId="9" w16cid:durableId="728922138">
    <w:abstractNumId w:val="30"/>
  </w:num>
  <w:num w:numId="10" w16cid:durableId="786848697">
    <w:abstractNumId w:val="11"/>
  </w:num>
  <w:num w:numId="11" w16cid:durableId="1941598029">
    <w:abstractNumId w:val="12"/>
  </w:num>
  <w:num w:numId="12" w16cid:durableId="1590038642">
    <w:abstractNumId w:val="28"/>
  </w:num>
  <w:num w:numId="13" w16cid:durableId="810555388">
    <w:abstractNumId w:val="7"/>
  </w:num>
  <w:num w:numId="14" w16cid:durableId="1524128290">
    <w:abstractNumId w:val="27"/>
  </w:num>
  <w:num w:numId="15" w16cid:durableId="287899695">
    <w:abstractNumId w:val="2"/>
  </w:num>
  <w:num w:numId="16" w16cid:durableId="535243248">
    <w:abstractNumId w:val="33"/>
  </w:num>
  <w:num w:numId="17" w16cid:durableId="101387127">
    <w:abstractNumId w:val="17"/>
  </w:num>
  <w:num w:numId="18" w16cid:durableId="1621915042">
    <w:abstractNumId w:val="0"/>
  </w:num>
  <w:num w:numId="19" w16cid:durableId="1344362885">
    <w:abstractNumId w:val="3"/>
  </w:num>
  <w:num w:numId="20" w16cid:durableId="1972594702">
    <w:abstractNumId w:val="15"/>
  </w:num>
  <w:num w:numId="21" w16cid:durableId="1652247178">
    <w:abstractNumId w:val="19"/>
  </w:num>
  <w:num w:numId="22" w16cid:durableId="1373573104">
    <w:abstractNumId w:val="20"/>
  </w:num>
  <w:num w:numId="23" w16cid:durableId="1721444187">
    <w:abstractNumId w:val="6"/>
  </w:num>
  <w:num w:numId="24" w16cid:durableId="1441759205">
    <w:abstractNumId w:val="14"/>
  </w:num>
  <w:num w:numId="25" w16cid:durableId="1875533135">
    <w:abstractNumId w:val="39"/>
  </w:num>
  <w:num w:numId="26" w16cid:durableId="293408438">
    <w:abstractNumId w:val="36"/>
  </w:num>
  <w:num w:numId="27" w16cid:durableId="531650725">
    <w:abstractNumId w:val="38"/>
  </w:num>
  <w:num w:numId="28" w16cid:durableId="826172757">
    <w:abstractNumId w:val="37"/>
  </w:num>
  <w:num w:numId="29" w16cid:durableId="98331708">
    <w:abstractNumId w:val="34"/>
  </w:num>
  <w:num w:numId="30" w16cid:durableId="1571843144">
    <w:abstractNumId w:val="26"/>
  </w:num>
  <w:num w:numId="31" w16cid:durableId="295792810">
    <w:abstractNumId w:val="22"/>
  </w:num>
  <w:num w:numId="32" w16cid:durableId="1244072395">
    <w:abstractNumId w:val="5"/>
  </w:num>
  <w:num w:numId="33" w16cid:durableId="1588880943">
    <w:abstractNumId w:val="32"/>
  </w:num>
  <w:num w:numId="34" w16cid:durableId="43405563">
    <w:abstractNumId w:val="40"/>
  </w:num>
  <w:num w:numId="35" w16cid:durableId="874777964">
    <w:abstractNumId w:val="42"/>
  </w:num>
  <w:num w:numId="36" w16cid:durableId="546649855">
    <w:abstractNumId w:val="4"/>
  </w:num>
  <w:num w:numId="37" w16cid:durableId="872688495">
    <w:abstractNumId w:val="8"/>
  </w:num>
  <w:num w:numId="38" w16cid:durableId="1661230163">
    <w:abstractNumId w:val="21"/>
  </w:num>
  <w:num w:numId="39" w16cid:durableId="589121439">
    <w:abstractNumId w:val="44"/>
  </w:num>
  <w:num w:numId="40" w16cid:durableId="214586862">
    <w:abstractNumId w:val="35"/>
  </w:num>
  <w:num w:numId="41" w16cid:durableId="243270666">
    <w:abstractNumId w:val="9"/>
  </w:num>
  <w:num w:numId="42" w16cid:durableId="1559784126">
    <w:abstractNumId w:val="10"/>
  </w:num>
  <w:num w:numId="43" w16cid:durableId="864367567">
    <w:abstractNumId w:val="23"/>
  </w:num>
  <w:num w:numId="44" w16cid:durableId="1363483587">
    <w:abstractNumId w:val="43"/>
  </w:num>
  <w:num w:numId="45" w16cid:durableId="12331956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o:colormru v:ext="edit" colors="#f9fbf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4CEFE25-C7B2-451E-B4B1-D1C1AA4E15CB}"/>
    <w:docVar w:name="dgnword-eventsink" w:val="2272953552560"/>
  </w:docVars>
  <w:rsids>
    <w:rsidRoot w:val="00E47FF5"/>
    <w:rsid w:val="00016FA2"/>
    <w:rsid w:val="0004049B"/>
    <w:rsid w:val="00040DAC"/>
    <w:rsid w:val="00054D5A"/>
    <w:rsid w:val="00055E1D"/>
    <w:rsid w:val="00084126"/>
    <w:rsid w:val="0008516E"/>
    <w:rsid w:val="0009295E"/>
    <w:rsid w:val="000A30DB"/>
    <w:rsid w:val="000B2D52"/>
    <w:rsid w:val="000B4C96"/>
    <w:rsid w:val="000C4E0A"/>
    <w:rsid w:val="000D37CF"/>
    <w:rsid w:val="000D37E5"/>
    <w:rsid w:val="000E1708"/>
    <w:rsid w:val="000E29FD"/>
    <w:rsid w:val="000E2FFF"/>
    <w:rsid w:val="000E664A"/>
    <w:rsid w:val="000E7F8D"/>
    <w:rsid w:val="00100761"/>
    <w:rsid w:val="00101F14"/>
    <w:rsid w:val="00102B6E"/>
    <w:rsid w:val="001120E4"/>
    <w:rsid w:val="00116F07"/>
    <w:rsid w:val="00147AEF"/>
    <w:rsid w:val="00151105"/>
    <w:rsid w:val="00151438"/>
    <w:rsid w:val="0015515E"/>
    <w:rsid w:val="00155B43"/>
    <w:rsid w:val="001716A5"/>
    <w:rsid w:val="00173155"/>
    <w:rsid w:val="00180A7F"/>
    <w:rsid w:val="00187E62"/>
    <w:rsid w:val="001A0112"/>
    <w:rsid w:val="001B1B27"/>
    <w:rsid w:val="001E0F08"/>
    <w:rsid w:val="001E3FAE"/>
    <w:rsid w:val="001F2797"/>
    <w:rsid w:val="001F47C9"/>
    <w:rsid w:val="002065E9"/>
    <w:rsid w:val="00207BB2"/>
    <w:rsid w:val="00221B40"/>
    <w:rsid w:val="00224809"/>
    <w:rsid w:val="00237BCB"/>
    <w:rsid w:val="00244545"/>
    <w:rsid w:val="00246451"/>
    <w:rsid w:val="00250302"/>
    <w:rsid w:val="00255B78"/>
    <w:rsid w:val="00256152"/>
    <w:rsid w:val="00261A0A"/>
    <w:rsid w:val="00282B80"/>
    <w:rsid w:val="00292D94"/>
    <w:rsid w:val="002941B1"/>
    <w:rsid w:val="00297E72"/>
    <w:rsid w:val="002A5982"/>
    <w:rsid w:val="002C4D35"/>
    <w:rsid w:val="002D6570"/>
    <w:rsid w:val="002E043C"/>
    <w:rsid w:val="002E221E"/>
    <w:rsid w:val="002E25E5"/>
    <w:rsid w:val="002F4D0E"/>
    <w:rsid w:val="00301C49"/>
    <w:rsid w:val="00307CE3"/>
    <w:rsid w:val="00320EBB"/>
    <w:rsid w:val="003454BE"/>
    <w:rsid w:val="00355289"/>
    <w:rsid w:val="0036656E"/>
    <w:rsid w:val="00382268"/>
    <w:rsid w:val="003B1E30"/>
    <w:rsid w:val="003B60A1"/>
    <w:rsid w:val="003C3ABD"/>
    <w:rsid w:val="003C78D1"/>
    <w:rsid w:val="003D1BF3"/>
    <w:rsid w:val="003E7242"/>
    <w:rsid w:val="003F2ECC"/>
    <w:rsid w:val="00402FC8"/>
    <w:rsid w:val="004136FE"/>
    <w:rsid w:val="00443446"/>
    <w:rsid w:val="00445E49"/>
    <w:rsid w:val="00453C01"/>
    <w:rsid w:val="0046255D"/>
    <w:rsid w:val="00472A0C"/>
    <w:rsid w:val="004746DC"/>
    <w:rsid w:val="004A4256"/>
    <w:rsid w:val="004B3D6D"/>
    <w:rsid w:val="004B734B"/>
    <w:rsid w:val="004C3659"/>
    <w:rsid w:val="004C558C"/>
    <w:rsid w:val="004C6598"/>
    <w:rsid w:val="004E3AC2"/>
    <w:rsid w:val="004F7A64"/>
    <w:rsid w:val="0051366E"/>
    <w:rsid w:val="00520906"/>
    <w:rsid w:val="00530C53"/>
    <w:rsid w:val="0053179C"/>
    <w:rsid w:val="00541EBA"/>
    <w:rsid w:val="00573E19"/>
    <w:rsid w:val="00582322"/>
    <w:rsid w:val="005913E6"/>
    <w:rsid w:val="005A1D30"/>
    <w:rsid w:val="005A4889"/>
    <w:rsid w:val="005B01F0"/>
    <w:rsid w:val="005B4B01"/>
    <w:rsid w:val="005D06DD"/>
    <w:rsid w:val="005D3585"/>
    <w:rsid w:val="005D414D"/>
    <w:rsid w:val="005E0EEE"/>
    <w:rsid w:val="005E749D"/>
    <w:rsid w:val="005F71CB"/>
    <w:rsid w:val="00601A68"/>
    <w:rsid w:val="00606390"/>
    <w:rsid w:val="00614F24"/>
    <w:rsid w:val="0062393F"/>
    <w:rsid w:val="00632676"/>
    <w:rsid w:val="00655A11"/>
    <w:rsid w:val="006567F6"/>
    <w:rsid w:val="0067777E"/>
    <w:rsid w:val="0068691E"/>
    <w:rsid w:val="00691AEA"/>
    <w:rsid w:val="006A2AB3"/>
    <w:rsid w:val="006A4D22"/>
    <w:rsid w:val="006A6BD9"/>
    <w:rsid w:val="006B7EF7"/>
    <w:rsid w:val="006C1A26"/>
    <w:rsid w:val="006C7C7E"/>
    <w:rsid w:val="006D0B23"/>
    <w:rsid w:val="006D336A"/>
    <w:rsid w:val="006F5CF4"/>
    <w:rsid w:val="0070317D"/>
    <w:rsid w:val="007131A1"/>
    <w:rsid w:val="00713AB1"/>
    <w:rsid w:val="00725087"/>
    <w:rsid w:val="007325F2"/>
    <w:rsid w:val="00754BF0"/>
    <w:rsid w:val="00765881"/>
    <w:rsid w:val="00765FEF"/>
    <w:rsid w:val="00774A30"/>
    <w:rsid w:val="00775121"/>
    <w:rsid w:val="00782425"/>
    <w:rsid w:val="007B5B2F"/>
    <w:rsid w:val="007C01AA"/>
    <w:rsid w:val="007C5410"/>
    <w:rsid w:val="007C7CD3"/>
    <w:rsid w:val="007D2F62"/>
    <w:rsid w:val="007E0BB5"/>
    <w:rsid w:val="00802CD5"/>
    <w:rsid w:val="008044C0"/>
    <w:rsid w:val="008054A7"/>
    <w:rsid w:val="008065A5"/>
    <w:rsid w:val="008073A6"/>
    <w:rsid w:val="00810C47"/>
    <w:rsid w:val="00823794"/>
    <w:rsid w:val="00823945"/>
    <w:rsid w:val="008521E3"/>
    <w:rsid w:val="00852CFE"/>
    <w:rsid w:val="00863F9B"/>
    <w:rsid w:val="00881334"/>
    <w:rsid w:val="008864C9"/>
    <w:rsid w:val="00894F2F"/>
    <w:rsid w:val="00895E8A"/>
    <w:rsid w:val="008A0905"/>
    <w:rsid w:val="008B51E4"/>
    <w:rsid w:val="008C4E44"/>
    <w:rsid w:val="008D7F12"/>
    <w:rsid w:val="008E0E8F"/>
    <w:rsid w:val="00901312"/>
    <w:rsid w:val="00903D6E"/>
    <w:rsid w:val="00906577"/>
    <w:rsid w:val="009140C5"/>
    <w:rsid w:val="00915036"/>
    <w:rsid w:val="009277BC"/>
    <w:rsid w:val="0093066D"/>
    <w:rsid w:val="009342BD"/>
    <w:rsid w:val="00941C74"/>
    <w:rsid w:val="0094467F"/>
    <w:rsid w:val="00945658"/>
    <w:rsid w:val="00950157"/>
    <w:rsid w:val="0095551A"/>
    <w:rsid w:val="00957260"/>
    <w:rsid w:val="009A7896"/>
    <w:rsid w:val="009C4F73"/>
    <w:rsid w:val="009D40BB"/>
    <w:rsid w:val="009D7F1B"/>
    <w:rsid w:val="00A025CE"/>
    <w:rsid w:val="00A36CE8"/>
    <w:rsid w:val="00A51F0A"/>
    <w:rsid w:val="00A57667"/>
    <w:rsid w:val="00A90B76"/>
    <w:rsid w:val="00A9576D"/>
    <w:rsid w:val="00A9671D"/>
    <w:rsid w:val="00AA66C4"/>
    <w:rsid w:val="00AB65AD"/>
    <w:rsid w:val="00AC014E"/>
    <w:rsid w:val="00AC556B"/>
    <w:rsid w:val="00AD235B"/>
    <w:rsid w:val="00AD55B8"/>
    <w:rsid w:val="00AF5049"/>
    <w:rsid w:val="00B02C1C"/>
    <w:rsid w:val="00B02E0D"/>
    <w:rsid w:val="00B055D0"/>
    <w:rsid w:val="00B156C9"/>
    <w:rsid w:val="00B20101"/>
    <w:rsid w:val="00B27E1D"/>
    <w:rsid w:val="00B30927"/>
    <w:rsid w:val="00B4367C"/>
    <w:rsid w:val="00B515CD"/>
    <w:rsid w:val="00B531A7"/>
    <w:rsid w:val="00B768B8"/>
    <w:rsid w:val="00B768C5"/>
    <w:rsid w:val="00BA377D"/>
    <w:rsid w:val="00BC2508"/>
    <w:rsid w:val="00BC6BEC"/>
    <w:rsid w:val="00C040B4"/>
    <w:rsid w:val="00C078B8"/>
    <w:rsid w:val="00C13AD4"/>
    <w:rsid w:val="00C20275"/>
    <w:rsid w:val="00C329E5"/>
    <w:rsid w:val="00C330DC"/>
    <w:rsid w:val="00C47230"/>
    <w:rsid w:val="00C52C21"/>
    <w:rsid w:val="00C62969"/>
    <w:rsid w:val="00C62E69"/>
    <w:rsid w:val="00C66968"/>
    <w:rsid w:val="00C86CBA"/>
    <w:rsid w:val="00C93F4E"/>
    <w:rsid w:val="00CC649D"/>
    <w:rsid w:val="00CC7430"/>
    <w:rsid w:val="00CD5C83"/>
    <w:rsid w:val="00CE1DA4"/>
    <w:rsid w:val="00CE20CE"/>
    <w:rsid w:val="00CE4F50"/>
    <w:rsid w:val="00D01FC6"/>
    <w:rsid w:val="00D02D67"/>
    <w:rsid w:val="00D11DAB"/>
    <w:rsid w:val="00D31D82"/>
    <w:rsid w:val="00D36362"/>
    <w:rsid w:val="00D37EDB"/>
    <w:rsid w:val="00D71C17"/>
    <w:rsid w:val="00D92AF0"/>
    <w:rsid w:val="00D93355"/>
    <w:rsid w:val="00D96B6F"/>
    <w:rsid w:val="00DA27C3"/>
    <w:rsid w:val="00DD362D"/>
    <w:rsid w:val="00DD440D"/>
    <w:rsid w:val="00E175BC"/>
    <w:rsid w:val="00E41423"/>
    <w:rsid w:val="00E47FF5"/>
    <w:rsid w:val="00E53F26"/>
    <w:rsid w:val="00E62CBF"/>
    <w:rsid w:val="00E666D7"/>
    <w:rsid w:val="00E950B2"/>
    <w:rsid w:val="00E97923"/>
    <w:rsid w:val="00EA0706"/>
    <w:rsid w:val="00EB6B74"/>
    <w:rsid w:val="00EC688E"/>
    <w:rsid w:val="00EF674A"/>
    <w:rsid w:val="00F07D2D"/>
    <w:rsid w:val="00F10493"/>
    <w:rsid w:val="00F12807"/>
    <w:rsid w:val="00F21571"/>
    <w:rsid w:val="00F260B7"/>
    <w:rsid w:val="00F34A74"/>
    <w:rsid w:val="00F449E6"/>
    <w:rsid w:val="00F46829"/>
    <w:rsid w:val="00F4725B"/>
    <w:rsid w:val="00F5051D"/>
    <w:rsid w:val="00F5544C"/>
    <w:rsid w:val="00FD2FB9"/>
    <w:rsid w:val="00FE5382"/>
    <w:rsid w:val="00FE5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fbfd"/>
    </o:shapedefaults>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881"/>
    <w:pPr>
      <w:spacing w:line="276" w:lineRule="auto"/>
    </w:pPr>
    <w:rPr>
      <w:rFonts w:ascii="Verdana" w:hAnsi="Verdana"/>
      <w:sz w:val="24"/>
      <w:lang w:val="en-CA" w:eastAsia="en-GB"/>
    </w:rPr>
  </w:style>
  <w:style w:type="paragraph" w:styleId="Heading1">
    <w:name w:val="heading 1"/>
    <w:basedOn w:val="Heading2"/>
    <w:next w:val="Normal"/>
    <w:link w:val="Heading1Char"/>
    <w:uiPriority w:val="9"/>
    <w:qFormat/>
    <w:rsid w:val="00F449E6"/>
    <w:pPr>
      <w:outlineLvl w:val="0"/>
    </w:pPr>
    <w:rPr>
      <w:rFonts w:eastAsia="Times New Roman"/>
      <w:sz w:val="36"/>
      <w:szCs w:val="36"/>
    </w:rPr>
  </w:style>
  <w:style w:type="paragraph" w:styleId="Heading2">
    <w:name w:val="heading 2"/>
    <w:basedOn w:val="Normal"/>
    <w:next w:val="Normal"/>
    <w:link w:val="Heading2Char"/>
    <w:uiPriority w:val="9"/>
    <w:unhideWhenUsed/>
    <w:qFormat/>
    <w:rsid w:val="00320EBB"/>
    <w:pPr>
      <w:keepNext/>
      <w:keepLines/>
      <w:pBdr>
        <w:top w:val="single" w:sz="4" w:space="1" w:color="A20000"/>
        <w:left w:val="single" w:sz="4" w:space="31" w:color="A20000"/>
        <w:bottom w:val="single" w:sz="4" w:space="1" w:color="A20000"/>
        <w:right w:val="single" w:sz="4" w:space="31" w:color="A20000"/>
      </w:pBdr>
      <w:shd w:val="clear" w:color="auto" w:fill="C00000"/>
      <w:spacing w:before="360" w:after="24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9D40BB"/>
    <w:pPr>
      <w:keepNext/>
      <w:keepLines/>
      <w:spacing w:before="240" w:after="120"/>
      <w:outlineLvl w:val="2"/>
    </w:pPr>
    <w:rPr>
      <w:rFonts w:ascii="Arial" w:eastAsiaTheme="majorEastAsia" w:hAnsi="Arial" w:cstheme="majorBidi"/>
      <w:b/>
      <w:color w:val="000099"/>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F449E6"/>
    <w:rPr>
      <w:rFonts w:ascii="Arial" w:eastAsia="Times New Roman" w:hAnsi="Arial" w:cstheme="majorBidi"/>
      <w:b/>
      <w:color w:val="FFFFFF" w:themeColor="background1"/>
      <w:sz w:val="36"/>
      <w:szCs w:val="36"/>
      <w:shd w:val="clear" w:color="auto" w:fill="C00000"/>
      <w:lang w:val="en-CA" w:eastAsia="en-GB"/>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7C9"/>
    <w:pPr>
      <w:numPr>
        <w:numId w:val="25"/>
      </w:numPr>
      <w:spacing w:before="120" w:after="120"/>
      <w:ind w:left="357" w:hanging="357"/>
      <w:contextualSpacing/>
    </w:pPr>
  </w:style>
  <w:style w:type="character" w:customStyle="1" w:styleId="Heading2Char">
    <w:name w:val="Heading 2 Char"/>
    <w:basedOn w:val="DefaultParagraphFont"/>
    <w:link w:val="Heading2"/>
    <w:uiPriority w:val="9"/>
    <w:rsid w:val="00320EBB"/>
    <w:rPr>
      <w:rFonts w:ascii="Arial" w:eastAsiaTheme="majorEastAsia" w:hAnsi="Arial" w:cstheme="majorBidi"/>
      <w:b/>
      <w:color w:val="FFFFFF" w:themeColor="background1"/>
      <w:sz w:val="28"/>
      <w:szCs w:val="26"/>
      <w:shd w:val="clear" w:color="auto" w:fill="C00000"/>
      <w:lang w:val="en-CA"/>
    </w:rPr>
  </w:style>
  <w:style w:type="character" w:customStyle="1" w:styleId="Heading3Char">
    <w:name w:val="Heading 3 Char"/>
    <w:basedOn w:val="DefaultParagraphFont"/>
    <w:link w:val="Heading3"/>
    <w:uiPriority w:val="9"/>
    <w:rsid w:val="009D40BB"/>
    <w:rPr>
      <w:rFonts w:ascii="Arial" w:eastAsiaTheme="majorEastAsia" w:hAnsi="Arial" w:cstheme="majorBidi"/>
      <w:b/>
      <w:color w:val="000099"/>
      <w:sz w:val="28"/>
      <w:szCs w:val="24"/>
      <w:lang w:val="en-GB" w:eastAsia="en-GB"/>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NormalWeb">
    <w:name w:val="Normal (Web)"/>
    <w:basedOn w:val="Normal"/>
    <w:uiPriority w:val="99"/>
    <w:semiHidden/>
    <w:unhideWhenUsed/>
    <w:rsid w:val="00224809"/>
    <w:rPr>
      <w:rFonts w:ascii="Times New Roman" w:hAnsi="Times New Roman" w:cs="Times New Roman"/>
      <w:szCs w:val="24"/>
    </w:rPr>
  </w:style>
  <w:style w:type="paragraph" w:styleId="FootnoteText">
    <w:name w:val="footnote text"/>
    <w:basedOn w:val="Normal"/>
    <w:link w:val="FootnoteTextChar"/>
    <w:uiPriority w:val="99"/>
    <w:unhideWhenUsed/>
    <w:rsid w:val="00FD2FB9"/>
    <w:pPr>
      <w:spacing w:after="0" w:line="240" w:lineRule="auto"/>
    </w:pPr>
    <w:rPr>
      <w:sz w:val="20"/>
      <w:szCs w:val="20"/>
    </w:rPr>
  </w:style>
  <w:style w:type="character" w:customStyle="1" w:styleId="FootnoteTextChar">
    <w:name w:val="Footnote Text Char"/>
    <w:basedOn w:val="DefaultParagraphFont"/>
    <w:link w:val="FootnoteText"/>
    <w:uiPriority w:val="99"/>
    <w:rsid w:val="00FD2FB9"/>
    <w:rPr>
      <w:rFonts w:ascii="Verdana" w:hAnsi="Verdana"/>
      <w:sz w:val="20"/>
      <w:szCs w:val="20"/>
    </w:rPr>
  </w:style>
  <w:style w:type="character" w:styleId="FootnoteReference">
    <w:name w:val="footnote reference"/>
    <w:basedOn w:val="DefaultParagraphFont"/>
    <w:uiPriority w:val="99"/>
    <w:semiHidden/>
    <w:unhideWhenUsed/>
    <w:rsid w:val="00FD2FB9"/>
    <w:rPr>
      <w:vertAlign w:val="superscript"/>
    </w:rPr>
  </w:style>
  <w:style w:type="character" w:styleId="CommentReference">
    <w:name w:val="annotation reference"/>
    <w:basedOn w:val="DefaultParagraphFont"/>
    <w:uiPriority w:val="99"/>
    <w:semiHidden/>
    <w:unhideWhenUsed/>
    <w:rsid w:val="00E666D7"/>
    <w:rPr>
      <w:sz w:val="16"/>
      <w:szCs w:val="16"/>
    </w:rPr>
  </w:style>
  <w:style w:type="paragraph" w:styleId="CommentText">
    <w:name w:val="annotation text"/>
    <w:basedOn w:val="Normal"/>
    <w:link w:val="CommentTextChar"/>
    <w:uiPriority w:val="99"/>
    <w:unhideWhenUsed/>
    <w:rsid w:val="00E666D7"/>
    <w:pPr>
      <w:spacing w:line="240" w:lineRule="auto"/>
    </w:pPr>
    <w:rPr>
      <w:sz w:val="20"/>
      <w:szCs w:val="20"/>
    </w:rPr>
  </w:style>
  <w:style w:type="character" w:customStyle="1" w:styleId="CommentTextChar">
    <w:name w:val="Comment Text Char"/>
    <w:basedOn w:val="DefaultParagraphFont"/>
    <w:link w:val="CommentText"/>
    <w:uiPriority w:val="99"/>
    <w:rsid w:val="00E666D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666D7"/>
    <w:rPr>
      <w:b/>
      <w:bCs/>
    </w:rPr>
  </w:style>
  <w:style w:type="character" w:customStyle="1" w:styleId="CommentSubjectChar">
    <w:name w:val="Comment Subject Char"/>
    <w:basedOn w:val="CommentTextChar"/>
    <w:link w:val="CommentSubject"/>
    <w:uiPriority w:val="99"/>
    <w:semiHidden/>
    <w:rsid w:val="00E666D7"/>
    <w:rPr>
      <w:rFonts w:ascii="Verdana" w:hAnsi="Verdana"/>
      <w:b/>
      <w:bCs/>
      <w:sz w:val="20"/>
      <w:szCs w:val="20"/>
    </w:rPr>
  </w:style>
  <w:style w:type="character" w:styleId="Mention">
    <w:name w:val="Mention"/>
    <w:basedOn w:val="DefaultParagraphFont"/>
    <w:uiPriority w:val="99"/>
    <w:unhideWhenUsed/>
    <w:rsid w:val="00CC649D"/>
    <w:rPr>
      <w:color w:val="2B579A"/>
      <w:shd w:val="clear" w:color="auto" w:fill="E1DFDD"/>
    </w:rPr>
  </w:style>
  <w:style w:type="character" w:customStyle="1" w:styleId="whitespace-normal">
    <w:name w:val="whitespace-normal"/>
    <w:basedOn w:val="DefaultParagraphFont"/>
    <w:rsid w:val="000E2FFF"/>
  </w:style>
  <w:style w:type="character" w:styleId="FollowedHyperlink">
    <w:name w:val="FollowedHyperlink"/>
    <w:basedOn w:val="DefaultParagraphFont"/>
    <w:uiPriority w:val="99"/>
    <w:semiHidden/>
    <w:unhideWhenUsed/>
    <w:rsid w:val="000929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group-disability.com/question-sets/" TargetMode="External"/><Relationship Id="rId18" Type="http://schemas.openxmlformats.org/officeDocument/2006/relationships/hyperlink" Target="https://www.edf-feph.org/publications/communication-on-humanitarian-aid-edfs-input-into-the-dg-echo-consultation/" TargetMode="External"/><Relationship Id="rId3" Type="http://schemas.openxmlformats.org/officeDocument/2006/relationships/customXml" Target="../customXml/item3.xml"/><Relationship Id="rId21" Type="http://schemas.openxmlformats.org/officeDocument/2006/relationships/hyperlink" Target="http://www.edf-feph.org" TargetMode="External"/><Relationship Id="rId7" Type="http://schemas.openxmlformats.org/officeDocument/2006/relationships/settings" Target="settings.xml"/><Relationship Id="rId12" Type="http://schemas.openxmlformats.org/officeDocument/2006/relationships/hyperlink" Target="https://www.edf-feph.org/content/uploads/2023/09/Empower-Ukraine-Final-External-Monitoring-Report.pdf" TargetMode="External"/><Relationship Id="rId17" Type="http://schemas.openxmlformats.org/officeDocument/2006/relationships/hyperlink" Target="https://www.edf-feph.org/content/uploads/2023/09/Empower-Ukraine-Final-External-Monitoring-Report.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ur02.safelinks.protection.outlook.com/?url=https%3A%2F%2Fwww.edf-feph.org%2Fpublications%2Freport-on-disability-inclusive-emergency-preparedness-and-response-in-europe%2F&amp;data=05%7C02%7Cphillipa.tucker%40edf-feph.org%7C4d86053bdd9b4fb8281808dea5803848%7C44778fc7c4d54ea3b59bd83c01859bce%7C0%7C0%7C639130167347030924%7CUnknown%7CTWFpbGZsb3d8eyJFbXB0eU1hcGkiOnRydWUsIlYiOiIwLjAuMDAwMCIsIlAiOiJXaW4zMiIsIkFOIjoiTWFpbCIsIldUIjoyfQ%3D%3D%7C0%7C%7C%7C&amp;sdata=%2BZOa8epDltm28oBafhf1KsaYSOSvZXVllgs7Fn7%2BD1I%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f-feph.org/content/uploads/2025/12/Final-DAC-marker-report-2025.docx"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edf-feph.org/content/uploads/2025/12/Final-DAC-marker-report-2025.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f-feph.org/oecd-dac-disability-marker/" TargetMode="External"/><Relationship Id="rId22" Type="http://schemas.openxmlformats.org/officeDocument/2006/relationships/hyperlink" Target="mailto:info@edf-fep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e00467fe-ee27-498a-abbb-350178a6aa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80DBD27FDBBB4F9BB6C93BBEAEBEC7" ma:contentTypeVersion="12" ma:contentTypeDescription="Create a new document." ma:contentTypeScope="" ma:versionID="9ba1c127b13085007b2d326cc4f1e45a">
  <xsd:schema xmlns:xsd="http://www.w3.org/2001/XMLSchema" xmlns:xs="http://www.w3.org/2001/XMLSchema" xmlns:p="http://schemas.microsoft.com/office/2006/metadata/properties" xmlns:ns2="e00467fe-ee27-498a-abbb-350178a6aae3" xmlns:ns3="252f4827-23ce-43c5-a232-6be14f1d3f55" targetNamespace="http://schemas.microsoft.com/office/2006/metadata/properties" ma:root="true" ma:fieldsID="85ba4953e6885e00e0d4a50d120650ba" ns2:_="" ns3:_="">
    <xsd:import namespace="e00467fe-ee27-498a-abbb-350178a6aae3"/>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467fe-ee27-498a-abbb-350178a6a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459324-2e4a-4847-a6ac-edcf2b3bdcf9}"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FACE6-0306-4992-9A4A-619CB41FFE96}">
  <ds:schemaRefs>
    <ds:schemaRef ds:uri="http://schemas.microsoft.com/office/2006/metadata/properties"/>
    <ds:schemaRef ds:uri="http://schemas.microsoft.com/office/infopath/2007/PartnerControls"/>
    <ds:schemaRef ds:uri="252f4827-23ce-43c5-a232-6be14f1d3f55"/>
    <ds:schemaRef ds:uri="e00467fe-ee27-498a-abbb-350178a6aae3"/>
  </ds:schemaRefs>
</ds:datastoreItem>
</file>

<file path=customXml/itemProps2.xml><?xml version="1.0" encoding="utf-8"?>
<ds:datastoreItem xmlns:ds="http://schemas.openxmlformats.org/officeDocument/2006/customXml" ds:itemID="{DE93E6FC-A3F3-47E9-B380-96D85B24E984}">
  <ds:schemaRefs>
    <ds:schemaRef ds:uri="http://schemas.microsoft.com/sharepoint/v3/contenttype/forms"/>
  </ds:schemaRefs>
</ds:datastoreItem>
</file>

<file path=customXml/itemProps3.xml><?xml version="1.0" encoding="utf-8"?>
<ds:datastoreItem xmlns:ds="http://schemas.openxmlformats.org/officeDocument/2006/customXml" ds:itemID="{B350E716-F592-4437-8A3F-2FF360EA8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467fe-ee27-498a-abbb-350178a6aae3"/>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71CE6-0248-48CA-85B8-5BFE14289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5450</Words>
  <Characters>31068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Phillipa Tucker</cp:lastModifiedBy>
  <cp:revision>23</cp:revision>
  <dcterms:created xsi:type="dcterms:W3CDTF">2026-04-30T13:21:00Z</dcterms:created>
  <dcterms:modified xsi:type="dcterms:W3CDTF">2026-04-30T13:40:00Z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0x010100AE80DBD27FDBBB4F9BB6C93BBEAEBEC7</vt:lpwstr>
  </property>
  <property fmtid="{D5CDD505-2E9C-101B-9397-08002B2CF9AE}" pid="3" name="Order">
    <vt:r8>4021600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