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5BF1" w14:textId="330D2B17" w:rsidR="00290D3D" w:rsidRDefault="00E04D6A" w:rsidP="006B2FCD">
      <w:pPr>
        <w:pStyle w:val="Heading1"/>
      </w:pPr>
      <w:r>
        <w:t xml:space="preserve">Joint call to </w:t>
      </w:r>
      <w:r w:rsidR="005E7890">
        <w:t xml:space="preserve">the European Commission </w:t>
      </w:r>
      <w:r w:rsidR="00B83F6E">
        <w:t xml:space="preserve">to advance accessibility in the upcoming </w:t>
      </w:r>
      <w:r w:rsidR="0094491A">
        <w:t>AVMSD revision</w:t>
      </w:r>
    </w:p>
    <w:p w14:paraId="1D0A9511" w14:textId="6D5F40C9" w:rsidR="00713C74" w:rsidRDefault="00713C74" w:rsidP="00713C74">
      <w:pPr>
        <w:tabs>
          <w:tab w:val="left" w:pos="3767"/>
        </w:tabs>
        <w:spacing w:line="360" w:lineRule="auto"/>
        <w:jc w:val="right"/>
      </w:pPr>
      <w:r>
        <w:t>18</w:t>
      </w:r>
      <w:r w:rsidRPr="00713C74">
        <w:rPr>
          <w:vertAlign w:val="superscript"/>
        </w:rPr>
        <w:t>th</w:t>
      </w:r>
      <w:r>
        <w:t xml:space="preserve"> May 2026</w:t>
      </w:r>
    </w:p>
    <w:p w14:paraId="2C82A006" w14:textId="203E9C9A" w:rsidR="00646F70" w:rsidRDefault="00646F70" w:rsidP="00646F70">
      <w:pPr>
        <w:tabs>
          <w:tab w:val="left" w:pos="3767"/>
        </w:tabs>
        <w:spacing w:line="360" w:lineRule="auto"/>
      </w:pPr>
      <w:r>
        <w:t>Dear Executive Vice-president Henna Virkkunen,</w:t>
      </w:r>
    </w:p>
    <w:p w14:paraId="383EBE3D" w14:textId="55AFA3A8" w:rsidR="00646F70" w:rsidRDefault="00646F70" w:rsidP="00646F70">
      <w:pPr>
        <w:tabs>
          <w:tab w:val="left" w:pos="3767"/>
        </w:tabs>
        <w:spacing w:line="360" w:lineRule="auto"/>
      </w:pPr>
      <w:r>
        <w:t>Dear Commissioner Hadja Lahbib,</w:t>
      </w:r>
    </w:p>
    <w:p w14:paraId="0AB19153" w14:textId="0AFAFB93" w:rsidR="00646F70" w:rsidRDefault="00646F70" w:rsidP="00646F70">
      <w:pPr>
        <w:tabs>
          <w:tab w:val="left" w:pos="3767"/>
        </w:tabs>
        <w:spacing w:line="360" w:lineRule="auto"/>
      </w:pPr>
      <w:r>
        <w:t xml:space="preserve">The undersigned </w:t>
      </w:r>
      <w:r w:rsidR="00F74490">
        <w:t>E</w:t>
      </w:r>
      <w:r>
        <w:t>uropean organisations</w:t>
      </w:r>
      <w:r w:rsidR="00F74490">
        <w:t xml:space="preserve"> of persons with disabilities</w:t>
      </w:r>
      <w:r>
        <w:t>, representing more than 100 million persons with disabilities in Europe</w:t>
      </w:r>
      <w:r w:rsidR="003D3D2C">
        <w:t>,</w:t>
      </w:r>
      <w:r>
        <w:t xml:space="preserve"> jointly call on the European Commission to</w:t>
      </w:r>
      <w:r w:rsidR="000B28B4">
        <w:t xml:space="preserve"> live up to its obligations under the United Nations Convention on the Rights of Persons with Disabilities (</w:t>
      </w:r>
      <w:r w:rsidR="00636922">
        <w:t xml:space="preserve">UN </w:t>
      </w:r>
      <w:r w:rsidR="000B28B4">
        <w:t>CRPD) and</w:t>
      </w:r>
      <w:r>
        <w:t xml:space="preserve"> </w:t>
      </w:r>
      <w:r w:rsidR="00F74490">
        <w:t xml:space="preserve">to </w:t>
      </w:r>
      <w:r w:rsidR="00DB07A2">
        <w:t>strengthen</w:t>
      </w:r>
      <w:r>
        <w:t xml:space="preserve"> accessibility in the upcoming revision of the Audiovisual Media Services Directive (AVMSD). </w:t>
      </w:r>
    </w:p>
    <w:p w14:paraId="2DDD5D63" w14:textId="452FADE0" w:rsidR="004E38BD" w:rsidRDefault="004D1473" w:rsidP="00646F70">
      <w:pPr>
        <w:tabs>
          <w:tab w:val="left" w:pos="3767"/>
        </w:tabs>
        <w:spacing w:line="360" w:lineRule="auto"/>
      </w:pPr>
      <w:r>
        <w:t xml:space="preserve">The audiovisual sector </w:t>
      </w:r>
      <w:r w:rsidR="001E5144">
        <w:t xml:space="preserve">has always </w:t>
      </w:r>
      <w:r>
        <w:t>play</w:t>
      </w:r>
      <w:r w:rsidR="001E5144">
        <w:t>ed</w:t>
      </w:r>
      <w:r>
        <w:t xml:space="preserve"> a central role</w:t>
      </w:r>
      <w:r w:rsidR="00D3776B">
        <w:t xml:space="preserve"> in shaping democratic societies and enabling cultural expression across Europe. </w:t>
      </w:r>
      <w:r w:rsidR="003A03ED">
        <w:t>However, w</w:t>
      </w:r>
      <w:r w:rsidR="00D3776B">
        <w:t xml:space="preserve">hen </w:t>
      </w:r>
      <w:r w:rsidR="00B0174A">
        <w:t>media</w:t>
      </w:r>
      <w:r w:rsidR="00D3776B">
        <w:t xml:space="preserve"> content is not accessible</w:t>
      </w:r>
      <w:r w:rsidR="003A03ED">
        <w:t>,</w:t>
      </w:r>
      <w:r w:rsidR="001E5144">
        <w:t xml:space="preserve"> persons with disabilities are denied their </w:t>
      </w:r>
      <w:r w:rsidR="00CC755B">
        <w:t>most basic human rights:</w:t>
      </w:r>
      <w:r w:rsidR="00E25188">
        <w:t xml:space="preserve"> cultural life, political participation, </w:t>
      </w:r>
      <w:r w:rsidR="004E38BD">
        <w:t>freedom of expression and opinion, access to information and</w:t>
      </w:r>
      <w:r w:rsidR="00E25188">
        <w:t xml:space="preserve"> appropriate</w:t>
      </w:r>
      <w:r w:rsidR="004E38BD">
        <w:t xml:space="preserve"> protection during human-made and natural disasters. </w:t>
      </w:r>
    </w:p>
    <w:p w14:paraId="6395DE76" w14:textId="52C9C591" w:rsidR="00595FC2" w:rsidRDefault="003E722C" w:rsidP="00646F70">
      <w:pPr>
        <w:tabs>
          <w:tab w:val="left" w:pos="3767"/>
        </w:tabs>
        <w:spacing w:line="360" w:lineRule="auto"/>
      </w:pPr>
      <w:r>
        <w:t xml:space="preserve">Article 7 of the AVMSD </w:t>
      </w:r>
      <w:r w:rsidR="00867D63">
        <w:t>is key to</w:t>
      </w:r>
      <w:r>
        <w:t xml:space="preserve"> implement</w:t>
      </w:r>
      <w:r w:rsidR="008F6106">
        <w:t xml:space="preserve"> </w:t>
      </w:r>
      <w:r w:rsidR="00867D63">
        <w:t>the UN CRPD</w:t>
      </w:r>
      <w:r w:rsidR="008F6106">
        <w:t xml:space="preserve"> in the audiovisual sector. </w:t>
      </w:r>
      <w:r w:rsidR="00E074CF">
        <w:t>However, w</w:t>
      </w:r>
      <w:r w:rsidR="00595FC2">
        <w:t xml:space="preserve">hile </w:t>
      </w:r>
      <w:r w:rsidR="007778B8">
        <w:t>existing</w:t>
      </w:r>
      <w:r w:rsidR="00C766EC">
        <w:t xml:space="preserve"> EU</w:t>
      </w:r>
      <w:r w:rsidR="007778B8">
        <w:t xml:space="preserve"> rules are an important </w:t>
      </w:r>
      <w:r w:rsidR="00970876">
        <w:t>initial step</w:t>
      </w:r>
      <w:r w:rsidR="0092572D">
        <w:t>,</w:t>
      </w:r>
      <w:r w:rsidR="00541B73">
        <w:t xml:space="preserve"> it is evident that</w:t>
      </w:r>
      <w:r w:rsidR="0092572D">
        <w:t xml:space="preserve"> </w:t>
      </w:r>
      <w:r w:rsidR="007778B8">
        <w:t xml:space="preserve">they </w:t>
      </w:r>
      <w:r w:rsidR="0092572D">
        <w:t xml:space="preserve">have failed to produce the </w:t>
      </w:r>
      <w:r w:rsidR="00B40621">
        <w:t>desired effect</w:t>
      </w:r>
      <w:r w:rsidR="00551173">
        <w:t xml:space="preserve"> and </w:t>
      </w:r>
      <w:r w:rsidR="00B40621">
        <w:t xml:space="preserve">equal access to audiovisual media services is not yet guaranteed. </w:t>
      </w:r>
    </w:p>
    <w:p w14:paraId="46AE3D00" w14:textId="258A8E48" w:rsidR="000B28B4" w:rsidRDefault="000B28B4" w:rsidP="00646F70">
      <w:pPr>
        <w:tabs>
          <w:tab w:val="left" w:pos="3767"/>
        </w:tabs>
        <w:spacing w:line="360" w:lineRule="auto"/>
      </w:pPr>
      <w:r>
        <w:t>The general wording of Article 7 of the AVMSD</w:t>
      </w:r>
      <w:r w:rsidR="005943FF">
        <w:t xml:space="preserve"> </w:t>
      </w:r>
      <w:r w:rsidR="00B6645C">
        <w:t>a</w:t>
      </w:r>
      <w:r w:rsidR="0085411D">
        <w:t>nd the lack of</w:t>
      </w:r>
      <w:r w:rsidR="00F23F1A">
        <w:t xml:space="preserve"> specific </w:t>
      </w:r>
      <w:r w:rsidR="009628C6">
        <w:t>media accessibility</w:t>
      </w:r>
      <w:r w:rsidR="00F23F1A">
        <w:t xml:space="preserve"> </w:t>
      </w:r>
      <w:r w:rsidR="00AA70E6">
        <w:t>requirements</w:t>
      </w:r>
      <w:r w:rsidR="00F23F1A">
        <w:t xml:space="preserve"> under the European Accessibility Act (EAA)</w:t>
      </w:r>
      <w:r w:rsidR="00AA70E6">
        <w:t xml:space="preserve"> </w:t>
      </w:r>
      <w:r w:rsidR="0025236F">
        <w:t>ha</w:t>
      </w:r>
      <w:r w:rsidR="00AA70E6">
        <w:t>ve</w:t>
      </w:r>
      <w:r w:rsidR="0025236F">
        <w:t xml:space="preserve"> led to divergent approaches to </w:t>
      </w:r>
      <w:r w:rsidR="00843112">
        <w:t xml:space="preserve">the </w:t>
      </w:r>
      <w:r w:rsidR="0025236F">
        <w:t xml:space="preserve">accessibility </w:t>
      </w:r>
      <w:r w:rsidR="00843112">
        <w:t>of the audiovisual media sector</w:t>
      </w:r>
      <w:r w:rsidR="0025236F">
        <w:t xml:space="preserve"> which, in our view, undermine the spirit of this legislation. </w:t>
      </w:r>
    </w:p>
    <w:p w14:paraId="78C2BBE3" w14:textId="42CBCA6B" w:rsidR="000E77ED" w:rsidRPr="00B5204C" w:rsidRDefault="008E1385" w:rsidP="00646F70">
      <w:pPr>
        <w:tabs>
          <w:tab w:val="left" w:pos="3767"/>
        </w:tabs>
        <w:spacing w:line="360" w:lineRule="auto"/>
      </w:pPr>
      <w:r>
        <w:t xml:space="preserve">This issue has also been </w:t>
      </w:r>
      <w:r w:rsidR="00B5204C">
        <w:t xml:space="preserve">identified by the UN CRPD </w:t>
      </w:r>
      <w:r w:rsidR="00F23F1A">
        <w:t>C</w:t>
      </w:r>
      <w:r w:rsidR="00B5204C">
        <w:t xml:space="preserve">ommittee. In its </w:t>
      </w:r>
      <w:hyperlink r:id="rId11" w:history="1">
        <w:r w:rsidR="00B5204C" w:rsidRPr="00B5204C">
          <w:rPr>
            <w:rStyle w:val="Hyperlink"/>
          </w:rPr>
          <w:t>2025 concluding observations to the EU</w:t>
        </w:r>
      </w:hyperlink>
      <w:r w:rsidR="00B5204C">
        <w:t>, the committee warned:</w:t>
      </w:r>
      <w:r w:rsidR="000E77ED">
        <w:t xml:space="preserve"> “</w:t>
      </w:r>
      <w:r w:rsidR="000E77ED">
        <w:rPr>
          <w:rFonts w:eastAsia="Aptos" w:cs="Arial"/>
          <w:i/>
          <w:iCs/>
        </w:rPr>
        <w:t>t</w:t>
      </w:r>
      <w:r w:rsidR="000E77ED" w:rsidRPr="00A0378F">
        <w:rPr>
          <w:rFonts w:eastAsia="Aptos" w:cs="Arial"/>
          <w:i/>
          <w:iCs/>
        </w:rPr>
        <w:t>he Audiovisual Media Services Directive lacks timelines and targets for implementation and does not ensure accessibility of video-sharing platforms, social media and the audiovisual sections of news websites</w:t>
      </w:r>
      <w:r w:rsidR="000E77ED">
        <w:rPr>
          <w:rFonts w:eastAsia="Aptos" w:cs="Arial"/>
          <w:i/>
          <w:iCs/>
        </w:rPr>
        <w:t>”.</w:t>
      </w:r>
      <w:r w:rsidR="008F1D9A">
        <w:rPr>
          <w:rFonts w:eastAsia="Aptos" w:cs="Arial"/>
        </w:rPr>
        <w:t xml:space="preserve">(pt. 52(b)). </w:t>
      </w:r>
      <w:r w:rsidR="00510D2D">
        <w:rPr>
          <w:rFonts w:eastAsia="Aptos" w:cs="Arial"/>
        </w:rPr>
        <w:t>In the same document, t</w:t>
      </w:r>
      <w:r w:rsidR="008F1D9A">
        <w:rPr>
          <w:rFonts w:eastAsia="Aptos" w:cs="Arial"/>
        </w:rPr>
        <w:t xml:space="preserve">he Committee recommended the </w:t>
      </w:r>
      <w:r w:rsidR="005639BE">
        <w:rPr>
          <w:rFonts w:eastAsia="Aptos" w:cs="Arial"/>
        </w:rPr>
        <w:t>EU</w:t>
      </w:r>
      <w:r w:rsidR="008F1D9A">
        <w:rPr>
          <w:rFonts w:eastAsia="Aptos" w:cs="Arial"/>
        </w:rPr>
        <w:t xml:space="preserve"> to </w:t>
      </w:r>
      <w:r w:rsidR="00DC1739">
        <w:rPr>
          <w:rFonts w:eastAsia="Aptos" w:cs="Arial"/>
        </w:rPr>
        <w:t>“</w:t>
      </w:r>
      <w:r w:rsidR="00A606B6">
        <w:rPr>
          <w:rFonts w:eastAsia="Aptos" w:cs="Arial"/>
          <w:i/>
          <w:iCs/>
        </w:rPr>
        <w:t xml:space="preserve">set timelines and harmonised </w:t>
      </w:r>
      <w:r w:rsidR="00CE5D94">
        <w:rPr>
          <w:rFonts w:eastAsia="Aptos" w:cs="Arial"/>
          <w:i/>
          <w:iCs/>
        </w:rPr>
        <w:t>EU</w:t>
      </w:r>
      <w:r w:rsidR="00A606B6">
        <w:rPr>
          <w:rFonts w:eastAsia="Aptos" w:cs="Arial"/>
          <w:i/>
          <w:iCs/>
        </w:rPr>
        <w:t xml:space="preserve">-wide criteria for </w:t>
      </w:r>
      <w:r w:rsidR="00A606B6">
        <w:rPr>
          <w:rFonts w:eastAsia="Aptos" w:cs="Arial"/>
          <w:i/>
          <w:iCs/>
        </w:rPr>
        <w:lastRenderedPageBreak/>
        <w:t>au</w:t>
      </w:r>
      <w:r w:rsidR="00AA70E6">
        <w:rPr>
          <w:rFonts w:eastAsia="Aptos" w:cs="Arial"/>
          <w:i/>
          <w:iCs/>
        </w:rPr>
        <w:t>diovisual</w:t>
      </w:r>
      <w:r w:rsidR="00A606B6">
        <w:rPr>
          <w:rFonts w:eastAsia="Aptos" w:cs="Arial"/>
          <w:i/>
          <w:iCs/>
        </w:rPr>
        <w:t xml:space="preserve"> accessibility in the A</w:t>
      </w:r>
      <w:r w:rsidR="00B37B3D">
        <w:rPr>
          <w:rFonts w:eastAsia="Aptos" w:cs="Arial"/>
          <w:i/>
          <w:iCs/>
        </w:rPr>
        <w:t xml:space="preserve">udiovisual </w:t>
      </w:r>
      <w:r w:rsidR="00A606B6">
        <w:rPr>
          <w:rFonts w:eastAsia="Aptos" w:cs="Arial"/>
          <w:i/>
          <w:iCs/>
        </w:rPr>
        <w:t>M</w:t>
      </w:r>
      <w:r w:rsidR="00B37B3D">
        <w:rPr>
          <w:rFonts w:eastAsia="Aptos" w:cs="Arial"/>
          <w:i/>
          <w:iCs/>
        </w:rPr>
        <w:t xml:space="preserve">edia </w:t>
      </w:r>
      <w:r w:rsidR="00A606B6">
        <w:rPr>
          <w:rFonts w:eastAsia="Aptos" w:cs="Arial"/>
          <w:i/>
          <w:iCs/>
        </w:rPr>
        <w:t>S</w:t>
      </w:r>
      <w:r w:rsidR="00B37B3D">
        <w:rPr>
          <w:rFonts w:eastAsia="Aptos" w:cs="Arial"/>
          <w:i/>
          <w:iCs/>
        </w:rPr>
        <w:t xml:space="preserve">ervices </w:t>
      </w:r>
      <w:r w:rsidR="00A606B6">
        <w:rPr>
          <w:rFonts w:eastAsia="Aptos" w:cs="Arial"/>
          <w:i/>
          <w:iCs/>
        </w:rPr>
        <w:t>D</w:t>
      </w:r>
      <w:r w:rsidR="00B37B3D">
        <w:rPr>
          <w:rFonts w:eastAsia="Aptos" w:cs="Arial"/>
          <w:i/>
          <w:iCs/>
        </w:rPr>
        <w:t>irective</w:t>
      </w:r>
      <w:r w:rsidR="00A606B6">
        <w:rPr>
          <w:rFonts w:eastAsia="Aptos" w:cs="Arial"/>
          <w:i/>
          <w:iCs/>
        </w:rPr>
        <w:t>, including quantitative and qualitative targets</w:t>
      </w:r>
      <w:r w:rsidR="00DC1739">
        <w:rPr>
          <w:rFonts w:eastAsia="Aptos" w:cs="Arial"/>
          <w:i/>
          <w:iCs/>
        </w:rPr>
        <w:t>”</w:t>
      </w:r>
      <w:r w:rsidR="00A606B6">
        <w:rPr>
          <w:rFonts w:eastAsia="Aptos" w:cs="Arial"/>
          <w:i/>
          <w:iCs/>
        </w:rPr>
        <w:t xml:space="preserve"> </w:t>
      </w:r>
      <w:r w:rsidR="00A606B6">
        <w:rPr>
          <w:rFonts w:eastAsia="Aptos" w:cs="Arial"/>
        </w:rPr>
        <w:t>(</w:t>
      </w:r>
      <w:r w:rsidR="003D72FF">
        <w:rPr>
          <w:rFonts w:eastAsia="Aptos" w:cs="Arial"/>
        </w:rPr>
        <w:t xml:space="preserve">pt. 53(b)). </w:t>
      </w:r>
      <w:r w:rsidR="000E77ED">
        <w:rPr>
          <w:rFonts w:eastAsia="Aptos" w:cs="Arial"/>
          <w:i/>
          <w:iCs/>
        </w:rPr>
        <w:t xml:space="preserve"> </w:t>
      </w:r>
    </w:p>
    <w:p w14:paraId="07A4F17F" w14:textId="71F000B8" w:rsidR="0025236F" w:rsidRDefault="0025236F" w:rsidP="00646F70">
      <w:pPr>
        <w:tabs>
          <w:tab w:val="left" w:pos="3767"/>
        </w:tabs>
        <w:spacing w:line="360" w:lineRule="auto"/>
      </w:pPr>
      <w:r>
        <w:t xml:space="preserve">Recent reports, including those of the </w:t>
      </w:r>
      <w:hyperlink r:id="rId12" w:history="1">
        <w:r w:rsidRPr="0025236F">
          <w:rPr>
            <w:rStyle w:val="Hyperlink"/>
          </w:rPr>
          <w:t>European Audiovisual Observatory</w:t>
        </w:r>
      </w:hyperlink>
      <w:r>
        <w:t xml:space="preserve"> (2023) and the </w:t>
      </w:r>
      <w:hyperlink r:id="rId13" w:history="1">
        <w:r w:rsidRPr="0025236F">
          <w:rPr>
            <w:rStyle w:val="Hyperlink"/>
          </w:rPr>
          <w:t>European Regulators Group for Audiovisual Media Services</w:t>
        </w:r>
      </w:hyperlink>
      <w:r>
        <w:t xml:space="preserve"> (2021), provide detailed </w:t>
      </w:r>
      <w:r w:rsidR="000023BD">
        <w:t>evidence</w:t>
      </w:r>
      <w:r>
        <w:t xml:space="preserve"> on the </w:t>
      </w:r>
      <w:r w:rsidR="00E45605">
        <w:t xml:space="preserve">different measures taken by </w:t>
      </w:r>
      <w:r w:rsidR="00B37B3D">
        <w:t>M</w:t>
      </w:r>
      <w:r w:rsidR="00E45605">
        <w:t xml:space="preserve">ember </w:t>
      </w:r>
      <w:r w:rsidR="00B37B3D">
        <w:t>S</w:t>
      </w:r>
      <w:r w:rsidR="00E45605">
        <w:t xml:space="preserve">tates. </w:t>
      </w:r>
      <w:r w:rsidR="006E3234">
        <w:t xml:space="preserve"> </w:t>
      </w:r>
      <w:r w:rsidR="00906AD4">
        <w:t>Notable findings include</w:t>
      </w:r>
      <w:r w:rsidR="000D136B">
        <w:t>:</w:t>
      </w:r>
    </w:p>
    <w:p w14:paraId="2E4EEBF9" w14:textId="228716B2" w:rsidR="00E45605" w:rsidRDefault="00E45605" w:rsidP="00E45605">
      <w:pPr>
        <w:pStyle w:val="ListParagraph"/>
        <w:numPr>
          <w:ilvl w:val="0"/>
          <w:numId w:val="1"/>
        </w:numPr>
        <w:tabs>
          <w:tab w:val="left" w:pos="3767"/>
        </w:tabs>
        <w:spacing w:line="360" w:lineRule="auto"/>
      </w:pPr>
      <w:r w:rsidRPr="00E04D6A">
        <w:rPr>
          <w:b/>
          <w:bCs/>
        </w:rPr>
        <w:t xml:space="preserve">Accessibility obligations differ </w:t>
      </w:r>
      <w:r w:rsidR="00A33C18">
        <w:rPr>
          <w:b/>
          <w:bCs/>
        </w:rPr>
        <w:t xml:space="preserve">depending on the </w:t>
      </w:r>
      <w:r w:rsidR="00711123" w:rsidRPr="00E04D6A">
        <w:rPr>
          <w:b/>
          <w:bCs/>
        </w:rPr>
        <w:t>AVM</w:t>
      </w:r>
      <w:r w:rsidR="00711123">
        <w:rPr>
          <w:b/>
          <w:bCs/>
        </w:rPr>
        <w:t xml:space="preserve">S </w:t>
      </w:r>
      <w:r w:rsidRPr="00E04D6A">
        <w:rPr>
          <w:b/>
          <w:bCs/>
        </w:rPr>
        <w:t>provider</w:t>
      </w:r>
      <w:r>
        <w:t>. In general, they are higher for</w:t>
      </w:r>
      <w:r w:rsidR="00A33C18">
        <w:t xml:space="preserve">, </w:t>
      </w:r>
      <w:r>
        <w:t>or only applicable to</w:t>
      </w:r>
      <w:r w:rsidR="00A33C18">
        <w:t>,</w:t>
      </w:r>
      <w:r>
        <w:t xml:space="preserve"> public broadcasters</w:t>
      </w:r>
      <w:r w:rsidR="006E3234">
        <w:t xml:space="preserve"> while o</w:t>
      </w:r>
      <w:r>
        <w:t xml:space="preserve">bligations for </w:t>
      </w:r>
      <w:r w:rsidR="000023BD">
        <w:t>commercial</w:t>
      </w:r>
      <w:r>
        <w:t xml:space="preserve"> broadcasters and video-on-demand platforms are weaker or non-existent</w:t>
      </w:r>
      <w:r w:rsidR="00DE6406">
        <w:rPr>
          <w:rStyle w:val="FootnoteReference"/>
        </w:rPr>
        <w:footnoteReference w:id="1"/>
      </w:r>
      <w:r w:rsidR="00F51601">
        <w:t xml:space="preserve">, </w:t>
      </w:r>
      <w:r w:rsidR="00617B53">
        <w:t xml:space="preserve">undermining the </w:t>
      </w:r>
      <w:r w:rsidR="001B015B">
        <w:t xml:space="preserve">purpose of </w:t>
      </w:r>
      <w:r w:rsidR="00B37B3D">
        <w:t>A</w:t>
      </w:r>
      <w:r w:rsidR="001B015B">
        <w:t>rticle 7(1) o</w:t>
      </w:r>
      <w:r w:rsidR="00643EBD">
        <w:t>f the AVMSD</w:t>
      </w:r>
      <w:r>
        <w:t>.</w:t>
      </w:r>
    </w:p>
    <w:p w14:paraId="58BEC0EE" w14:textId="77777777" w:rsidR="00E04D6A" w:rsidRDefault="00E04D6A" w:rsidP="00E04D6A">
      <w:pPr>
        <w:pStyle w:val="ListParagraph"/>
        <w:tabs>
          <w:tab w:val="left" w:pos="3767"/>
        </w:tabs>
        <w:spacing w:line="360" w:lineRule="auto"/>
      </w:pPr>
    </w:p>
    <w:p w14:paraId="1DD764F0" w14:textId="216C121B" w:rsidR="00E04D6A" w:rsidRDefault="00E45605" w:rsidP="00E04D6A">
      <w:pPr>
        <w:pStyle w:val="ListParagraph"/>
        <w:numPr>
          <w:ilvl w:val="0"/>
          <w:numId w:val="1"/>
        </w:numPr>
        <w:tabs>
          <w:tab w:val="left" w:pos="3767"/>
        </w:tabs>
        <w:spacing w:line="360" w:lineRule="auto"/>
      </w:pPr>
      <w:r w:rsidRPr="00E04D6A">
        <w:rPr>
          <w:b/>
          <w:bCs/>
        </w:rPr>
        <w:t xml:space="preserve">Accessibility obligations differ </w:t>
      </w:r>
      <w:r w:rsidR="009D151F">
        <w:rPr>
          <w:b/>
          <w:bCs/>
        </w:rPr>
        <w:t>depending on the type of</w:t>
      </w:r>
      <w:r w:rsidRPr="00E04D6A">
        <w:rPr>
          <w:b/>
          <w:bCs/>
        </w:rPr>
        <w:t xml:space="preserve"> access service.</w:t>
      </w:r>
      <w:r>
        <w:t xml:space="preserve"> Certain access services are prioritized over others, </w:t>
      </w:r>
      <w:r w:rsidR="009D151F">
        <w:t xml:space="preserve">leading to discrimination </w:t>
      </w:r>
      <w:r>
        <w:t>among different disability groups. In general</w:t>
      </w:r>
      <w:r w:rsidR="003D117E">
        <w:t>,</w:t>
      </w:r>
      <w:r>
        <w:t xml:space="preserve"> </w:t>
      </w:r>
      <w:r w:rsidR="004C38E8">
        <w:t xml:space="preserve">pre-recorded </w:t>
      </w:r>
      <w:r>
        <w:t xml:space="preserve">subtitling is more prevalent than </w:t>
      </w:r>
      <w:r w:rsidR="0007263B">
        <w:t xml:space="preserve">live subtitling, </w:t>
      </w:r>
      <w:r>
        <w:t xml:space="preserve">audio description, sign language </w:t>
      </w:r>
      <w:r w:rsidR="00766EA1">
        <w:t>and spoken subtitles</w:t>
      </w:r>
      <w:r w:rsidR="007E2924">
        <w:rPr>
          <w:rStyle w:val="FootnoteReference"/>
        </w:rPr>
        <w:footnoteReference w:id="2"/>
      </w:r>
      <w:r>
        <w:t xml:space="preserve">. </w:t>
      </w:r>
    </w:p>
    <w:p w14:paraId="7B343B64" w14:textId="77777777" w:rsidR="00E04D6A" w:rsidRDefault="00E04D6A" w:rsidP="00E04D6A">
      <w:pPr>
        <w:pStyle w:val="ListParagraph"/>
        <w:tabs>
          <w:tab w:val="left" w:pos="3767"/>
        </w:tabs>
        <w:spacing w:line="360" w:lineRule="auto"/>
      </w:pPr>
    </w:p>
    <w:p w14:paraId="5F750600" w14:textId="39278B80" w:rsidR="003A6231" w:rsidRPr="00070246" w:rsidRDefault="00E45605" w:rsidP="00E04D6A">
      <w:pPr>
        <w:pStyle w:val="ListParagraph"/>
        <w:numPr>
          <w:ilvl w:val="0"/>
          <w:numId w:val="1"/>
        </w:numPr>
        <w:tabs>
          <w:tab w:val="left" w:pos="3767"/>
        </w:tabs>
        <w:spacing w:line="360" w:lineRule="auto"/>
      </w:pPr>
      <w:r w:rsidRPr="00E04D6A">
        <w:rPr>
          <w:b/>
          <w:bCs/>
        </w:rPr>
        <w:t>Quality of access services</w:t>
      </w:r>
      <w:r w:rsidR="00B37B3D">
        <w:rPr>
          <w:b/>
          <w:bCs/>
        </w:rPr>
        <w:t xml:space="preserve">. </w:t>
      </w:r>
      <w:r w:rsidR="00B37B3D">
        <w:t>F</w:t>
      </w:r>
      <w:r>
        <w:t xml:space="preserve">ew Member States have introduced quality considerations in the provision of access services. This </w:t>
      </w:r>
      <w:r w:rsidR="003D117E">
        <w:t>results in</w:t>
      </w:r>
      <w:r>
        <w:t xml:space="preserve"> situations </w:t>
      </w:r>
      <w:r w:rsidR="003D117E">
        <w:t xml:space="preserve">where </w:t>
      </w:r>
      <w:r>
        <w:t xml:space="preserve">subtitles are not specifically designed for deaf and hard-of-hearing persons, audio-description </w:t>
      </w:r>
      <w:r w:rsidR="00020520">
        <w:t>is not</w:t>
      </w:r>
      <w:r>
        <w:t xml:space="preserve"> delivered by trained professionals or sign language interpreters</w:t>
      </w:r>
      <w:r w:rsidR="00535B32">
        <w:t xml:space="preserve"> are not qualified</w:t>
      </w:r>
      <w:r w:rsidR="00405C7C">
        <w:t xml:space="preserve"> or not </w:t>
      </w:r>
      <w:r w:rsidR="00BB3AD3">
        <w:t>easily visible on the screen</w:t>
      </w:r>
      <w:r w:rsidR="003138B6">
        <w:rPr>
          <w:rStyle w:val="FootnoteReference"/>
        </w:rPr>
        <w:footnoteReference w:id="3"/>
      </w:r>
      <w:r>
        <w:t xml:space="preserve">. </w:t>
      </w:r>
    </w:p>
    <w:p w14:paraId="64D2E199" w14:textId="06FE09B7" w:rsidR="00070246" w:rsidRPr="00070246" w:rsidRDefault="00070246" w:rsidP="00E04D6A">
      <w:pPr>
        <w:tabs>
          <w:tab w:val="left" w:pos="3767"/>
        </w:tabs>
        <w:spacing w:line="360" w:lineRule="auto"/>
        <w:rPr>
          <w:rFonts w:eastAsia="Aptos" w:cs="Arial"/>
        </w:rPr>
      </w:pPr>
      <w:r>
        <w:lastRenderedPageBreak/>
        <w:t>In addition, we must</w:t>
      </w:r>
      <w:r>
        <w:rPr>
          <w:rFonts w:cs="Arial"/>
        </w:rPr>
        <w:t xml:space="preserve"> not overlook the changes in the way people consume audiovisual services. While linear television</w:t>
      </w:r>
      <w:r w:rsidR="00392C3A">
        <w:rPr>
          <w:rFonts w:cs="Arial"/>
        </w:rPr>
        <w:t>,</w:t>
      </w:r>
      <w:r w:rsidR="00A42A1B">
        <w:rPr>
          <w:rFonts w:cs="Arial"/>
        </w:rPr>
        <w:t xml:space="preserve"> </w:t>
      </w:r>
      <w:r>
        <w:rPr>
          <w:rFonts w:cs="Arial"/>
        </w:rPr>
        <w:t>where accessibility obligations are traditionally stronger</w:t>
      </w:r>
      <w:r w:rsidR="00392C3A">
        <w:rPr>
          <w:rFonts w:cs="Arial"/>
        </w:rPr>
        <w:t xml:space="preserve">, </w:t>
      </w:r>
      <w:r>
        <w:rPr>
          <w:rFonts w:cs="Arial"/>
        </w:rPr>
        <w:t xml:space="preserve">remains relevant, an increasing number of people access audiovisual media content through video-on-demand platforms, video-sharing platforms, online news sites and social media. Unfortunately, the existing EU legal framework fails to address this reality, leaving accessibility as a voluntary practice. </w:t>
      </w:r>
    </w:p>
    <w:p w14:paraId="3E58C76A" w14:textId="7E09632F" w:rsidR="00967B56" w:rsidRDefault="00967B56" w:rsidP="00E04D6A">
      <w:pPr>
        <w:tabs>
          <w:tab w:val="left" w:pos="3767"/>
        </w:tabs>
        <w:spacing w:line="360" w:lineRule="auto"/>
        <w:rPr>
          <w:rFonts w:eastAsia="Aptos" w:cs="Arial"/>
        </w:rPr>
      </w:pPr>
      <w:r>
        <w:rPr>
          <w:rFonts w:eastAsia="Aptos" w:cs="Arial"/>
        </w:rPr>
        <w:t xml:space="preserve">To truly advance accessibility for persons with disabilities, </w:t>
      </w:r>
      <w:r w:rsidR="005B7C3B">
        <w:rPr>
          <w:rFonts w:eastAsia="Aptos" w:cs="Arial"/>
        </w:rPr>
        <w:t xml:space="preserve">and fulfil its obligations under the CRPD, </w:t>
      </w:r>
      <w:r>
        <w:rPr>
          <w:rFonts w:eastAsia="Aptos" w:cs="Arial"/>
        </w:rPr>
        <w:t xml:space="preserve">the </w:t>
      </w:r>
      <w:r w:rsidR="005B7C3B">
        <w:rPr>
          <w:rFonts w:eastAsia="Aptos" w:cs="Arial"/>
        </w:rPr>
        <w:t xml:space="preserve">European Commission must ensure that the </w:t>
      </w:r>
      <w:r>
        <w:rPr>
          <w:rFonts w:eastAsia="Aptos" w:cs="Arial"/>
        </w:rPr>
        <w:t>upcoming AVMSD revisio</w:t>
      </w:r>
      <w:r w:rsidR="005B7C3B">
        <w:rPr>
          <w:rFonts w:eastAsia="Aptos" w:cs="Arial"/>
        </w:rPr>
        <w:t>n</w:t>
      </w:r>
      <w:r>
        <w:rPr>
          <w:rFonts w:eastAsia="Aptos" w:cs="Arial"/>
        </w:rPr>
        <w:t>:</w:t>
      </w:r>
    </w:p>
    <w:p w14:paraId="0935FDD9" w14:textId="2D987064" w:rsidR="00967B56" w:rsidRDefault="00967B56" w:rsidP="00967B56">
      <w:pPr>
        <w:pStyle w:val="ListParagraph"/>
        <w:numPr>
          <w:ilvl w:val="0"/>
          <w:numId w:val="2"/>
        </w:numPr>
        <w:tabs>
          <w:tab w:val="left" w:pos="3767"/>
        </w:tabs>
        <w:spacing w:line="360" w:lineRule="auto"/>
        <w:rPr>
          <w:rFonts w:eastAsia="Aptos" w:cs="Arial"/>
        </w:rPr>
      </w:pPr>
      <w:r>
        <w:rPr>
          <w:rFonts w:eastAsia="Aptos" w:cs="Arial"/>
        </w:rPr>
        <w:t>Strengthen</w:t>
      </w:r>
      <w:r w:rsidR="005B7C3B">
        <w:rPr>
          <w:rFonts w:eastAsia="Aptos" w:cs="Arial"/>
        </w:rPr>
        <w:t>s</w:t>
      </w:r>
      <w:r>
        <w:rPr>
          <w:rFonts w:eastAsia="Aptos" w:cs="Arial"/>
        </w:rPr>
        <w:t xml:space="preserve"> the wording of Article 7</w:t>
      </w:r>
      <w:r w:rsidR="00BA35B2">
        <w:rPr>
          <w:rFonts w:eastAsia="Aptos" w:cs="Arial"/>
        </w:rPr>
        <w:t>(</w:t>
      </w:r>
      <w:r>
        <w:rPr>
          <w:rFonts w:eastAsia="Aptos" w:cs="Arial"/>
        </w:rPr>
        <w:t>1</w:t>
      </w:r>
      <w:r w:rsidR="00BA35B2">
        <w:rPr>
          <w:rFonts w:eastAsia="Aptos" w:cs="Arial"/>
        </w:rPr>
        <w:t>)</w:t>
      </w:r>
      <w:r>
        <w:rPr>
          <w:rFonts w:eastAsia="Aptos" w:cs="Arial"/>
        </w:rPr>
        <w:t xml:space="preserve"> to ensure that all audiovisual media service </w:t>
      </w:r>
      <w:r w:rsidR="00B57211">
        <w:rPr>
          <w:rFonts w:eastAsia="Aptos" w:cs="Arial"/>
        </w:rPr>
        <w:t xml:space="preserve">providers </w:t>
      </w:r>
      <w:r w:rsidR="0033645F">
        <w:rPr>
          <w:rFonts w:eastAsia="Aptos" w:cs="Arial"/>
        </w:rPr>
        <w:t>- both</w:t>
      </w:r>
      <w:r>
        <w:rPr>
          <w:rFonts w:eastAsia="Aptos" w:cs="Arial"/>
        </w:rPr>
        <w:t xml:space="preserve"> public and commercial TV channels </w:t>
      </w:r>
      <w:r w:rsidR="001A13CA">
        <w:rPr>
          <w:rFonts w:eastAsia="Aptos" w:cs="Arial"/>
        </w:rPr>
        <w:t>as well as</w:t>
      </w:r>
      <w:r>
        <w:rPr>
          <w:rFonts w:eastAsia="Aptos" w:cs="Arial"/>
        </w:rPr>
        <w:t xml:space="preserve"> video-on-demand platforms</w:t>
      </w:r>
      <w:r w:rsidR="001A13CA">
        <w:rPr>
          <w:rFonts w:eastAsia="Aptos" w:cs="Arial"/>
        </w:rPr>
        <w:t xml:space="preserve"> - </w:t>
      </w:r>
      <w:r>
        <w:rPr>
          <w:rFonts w:eastAsia="Aptos" w:cs="Arial"/>
        </w:rPr>
        <w:t>continuously make their services accessible to persons with disabilities.</w:t>
      </w:r>
      <w:r w:rsidR="00B57211">
        <w:rPr>
          <w:rFonts w:eastAsia="Aptos" w:cs="Arial"/>
        </w:rPr>
        <w:t xml:space="preserve"> </w:t>
      </w:r>
      <w:r w:rsidR="00AF448E">
        <w:rPr>
          <w:rFonts w:eastAsia="Aptos" w:cs="Arial"/>
        </w:rPr>
        <w:t>This means to ensure progress on media accessibility for all AVMS providers and for all access services.</w:t>
      </w:r>
    </w:p>
    <w:p w14:paraId="616465CA" w14:textId="7CDAA12A" w:rsidR="00967B56" w:rsidRDefault="00967B56" w:rsidP="00967B56">
      <w:pPr>
        <w:pStyle w:val="ListParagraph"/>
        <w:numPr>
          <w:ilvl w:val="0"/>
          <w:numId w:val="2"/>
        </w:numPr>
        <w:tabs>
          <w:tab w:val="left" w:pos="3767"/>
        </w:tabs>
        <w:spacing w:line="360" w:lineRule="auto"/>
        <w:rPr>
          <w:rFonts w:eastAsia="Aptos" w:cs="Arial"/>
        </w:rPr>
      </w:pPr>
      <w:r w:rsidRPr="00967B56">
        <w:rPr>
          <w:rFonts w:eastAsia="Aptos" w:cs="Arial"/>
        </w:rPr>
        <w:t>Establish</w:t>
      </w:r>
      <w:r w:rsidR="005B7C3B">
        <w:rPr>
          <w:rFonts w:eastAsia="Aptos" w:cs="Arial"/>
        </w:rPr>
        <w:t>es</w:t>
      </w:r>
      <w:r w:rsidRPr="00967B56">
        <w:rPr>
          <w:rFonts w:eastAsia="Aptos" w:cs="Arial"/>
        </w:rPr>
        <w:t xml:space="preserve"> harmonised accessibility requirements </w:t>
      </w:r>
      <w:r w:rsidR="001A13CA">
        <w:rPr>
          <w:rFonts w:eastAsia="Aptos" w:cs="Arial"/>
        </w:rPr>
        <w:t>across</w:t>
      </w:r>
      <w:r w:rsidRPr="00967B56">
        <w:rPr>
          <w:rFonts w:eastAsia="Aptos" w:cs="Arial"/>
        </w:rPr>
        <w:t xml:space="preserve"> the different access services</w:t>
      </w:r>
      <w:r w:rsidR="00853443">
        <w:rPr>
          <w:rStyle w:val="FootnoteReference"/>
          <w:rFonts w:eastAsia="Aptos" w:cs="Arial"/>
        </w:rPr>
        <w:footnoteReference w:id="4"/>
      </w:r>
      <w:r w:rsidR="009E6DFD">
        <w:rPr>
          <w:rFonts w:eastAsia="Aptos" w:cs="Arial"/>
        </w:rPr>
        <w:t xml:space="preserve">. </w:t>
      </w:r>
    </w:p>
    <w:p w14:paraId="3B8BE1C5" w14:textId="575A146B" w:rsidR="0007263B" w:rsidRDefault="00826555" w:rsidP="00967B56">
      <w:pPr>
        <w:pStyle w:val="ListParagraph"/>
        <w:numPr>
          <w:ilvl w:val="0"/>
          <w:numId w:val="2"/>
        </w:numPr>
        <w:tabs>
          <w:tab w:val="left" w:pos="3767"/>
        </w:tabs>
        <w:spacing w:line="360" w:lineRule="auto"/>
        <w:rPr>
          <w:rFonts w:eastAsia="Aptos" w:cs="Arial"/>
        </w:rPr>
      </w:pPr>
      <w:r>
        <w:rPr>
          <w:rFonts w:eastAsia="Aptos" w:cs="Arial"/>
        </w:rPr>
        <w:t>Ensur</w:t>
      </w:r>
      <w:r w:rsidR="00FC27AB">
        <w:rPr>
          <w:rFonts w:eastAsia="Aptos" w:cs="Arial"/>
        </w:rPr>
        <w:t>es</w:t>
      </w:r>
      <w:r>
        <w:rPr>
          <w:rFonts w:eastAsia="Aptos" w:cs="Arial"/>
        </w:rPr>
        <w:t xml:space="preserve"> </w:t>
      </w:r>
      <w:r w:rsidR="0007263B">
        <w:rPr>
          <w:rFonts w:eastAsia="Aptos" w:cs="Arial"/>
        </w:rPr>
        <w:t xml:space="preserve">that emergency information </w:t>
      </w:r>
      <w:r w:rsidR="00A049C5">
        <w:rPr>
          <w:rFonts w:eastAsia="Aptos" w:cs="Arial"/>
        </w:rPr>
        <w:t>(article 7(5))</w:t>
      </w:r>
      <w:r w:rsidR="0007263B">
        <w:rPr>
          <w:rFonts w:eastAsia="Aptos" w:cs="Arial"/>
        </w:rPr>
        <w:t xml:space="preserve"> is accessible to all persons with disabilities</w:t>
      </w:r>
      <w:r w:rsidR="00A049C5">
        <w:rPr>
          <w:rFonts w:eastAsia="Aptos" w:cs="Arial"/>
        </w:rPr>
        <w:t xml:space="preserve"> with all </w:t>
      </w:r>
      <w:r w:rsidR="00337659">
        <w:rPr>
          <w:rFonts w:eastAsia="Aptos" w:cs="Arial"/>
        </w:rPr>
        <w:t>necessary access service</w:t>
      </w:r>
      <w:r w:rsidR="003B1878">
        <w:rPr>
          <w:rFonts w:eastAsia="Aptos" w:cs="Arial"/>
        </w:rPr>
        <w:t>s</w:t>
      </w:r>
      <w:r w:rsidR="00337659">
        <w:rPr>
          <w:rFonts w:eastAsia="Aptos" w:cs="Arial"/>
        </w:rPr>
        <w:t xml:space="preserve"> and easy to understand content</w:t>
      </w:r>
      <w:r w:rsidR="00AD5B40">
        <w:rPr>
          <w:rStyle w:val="FootnoteReference"/>
          <w:rFonts w:eastAsia="Aptos" w:cs="Arial"/>
        </w:rPr>
        <w:footnoteReference w:id="5"/>
      </w:r>
      <w:r w:rsidR="0007263B">
        <w:rPr>
          <w:rFonts w:eastAsia="Aptos" w:cs="Arial"/>
        </w:rPr>
        <w:t xml:space="preserve">. </w:t>
      </w:r>
    </w:p>
    <w:p w14:paraId="56867549" w14:textId="5D5AFA78" w:rsidR="00967B56" w:rsidRDefault="00967B56" w:rsidP="00967B56">
      <w:pPr>
        <w:pStyle w:val="ListParagraph"/>
        <w:numPr>
          <w:ilvl w:val="0"/>
          <w:numId w:val="2"/>
        </w:numPr>
        <w:tabs>
          <w:tab w:val="left" w:pos="3767"/>
        </w:tabs>
        <w:spacing w:line="360" w:lineRule="auto"/>
        <w:rPr>
          <w:rFonts w:eastAsia="Aptos" w:cs="Arial"/>
        </w:rPr>
      </w:pPr>
      <w:r>
        <w:rPr>
          <w:rFonts w:eastAsia="Aptos" w:cs="Arial"/>
        </w:rPr>
        <w:t>Ensure</w:t>
      </w:r>
      <w:r w:rsidR="005B7C3B">
        <w:rPr>
          <w:rFonts w:eastAsia="Aptos" w:cs="Arial"/>
        </w:rPr>
        <w:t>s</w:t>
      </w:r>
      <w:r>
        <w:rPr>
          <w:rFonts w:eastAsia="Aptos" w:cs="Arial"/>
        </w:rPr>
        <w:t xml:space="preserve"> the diversity of accessible content</w:t>
      </w:r>
      <w:r w:rsidR="00294936">
        <w:rPr>
          <w:rFonts w:eastAsia="Aptos" w:cs="Arial"/>
        </w:rPr>
        <w:t xml:space="preserve"> </w:t>
      </w:r>
      <w:r w:rsidR="006F1FD5">
        <w:rPr>
          <w:rFonts w:cs="Arial"/>
        </w:rPr>
        <w:t xml:space="preserve">across all kinds of programming, including programs for children, sports, culture or </w:t>
      </w:r>
      <w:r w:rsidR="003E1D20">
        <w:rPr>
          <w:rFonts w:cs="Arial"/>
        </w:rPr>
        <w:t>films</w:t>
      </w:r>
      <w:r w:rsidR="00F3655C">
        <w:rPr>
          <w:rFonts w:cs="Arial"/>
        </w:rPr>
        <w:t xml:space="preserve">. </w:t>
      </w:r>
    </w:p>
    <w:p w14:paraId="7624F970" w14:textId="342B4F11" w:rsidR="00967B56" w:rsidRDefault="00967B56" w:rsidP="00967B56">
      <w:pPr>
        <w:pStyle w:val="ListParagraph"/>
        <w:numPr>
          <w:ilvl w:val="0"/>
          <w:numId w:val="2"/>
        </w:numPr>
        <w:tabs>
          <w:tab w:val="left" w:pos="3767"/>
        </w:tabs>
        <w:spacing w:line="360" w:lineRule="auto"/>
        <w:rPr>
          <w:rFonts w:eastAsia="Aptos" w:cs="Arial"/>
        </w:rPr>
      </w:pPr>
      <w:r w:rsidRPr="00967B56">
        <w:rPr>
          <w:rFonts w:eastAsia="Aptos" w:cs="Arial"/>
        </w:rPr>
        <w:t>Address</w:t>
      </w:r>
      <w:r w:rsidR="005B7C3B">
        <w:rPr>
          <w:rFonts w:eastAsia="Aptos" w:cs="Arial"/>
        </w:rPr>
        <w:t>es</w:t>
      </w:r>
      <w:r w:rsidRPr="00967B56">
        <w:rPr>
          <w:rFonts w:eastAsia="Aptos" w:cs="Arial"/>
        </w:rPr>
        <w:t xml:space="preserve"> the inaccessibility of vide</w:t>
      </w:r>
      <w:r w:rsidR="005B7C3B">
        <w:rPr>
          <w:rFonts w:eastAsia="Aptos" w:cs="Arial"/>
        </w:rPr>
        <w:t>o</w:t>
      </w:r>
      <w:r w:rsidRPr="00967B56">
        <w:rPr>
          <w:rFonts w:eastAsia="Aptos" w:cs="Arial"/>
        </w:rPr>
        <w:t>-sharing platforms, social media and online news platforms</w:t>
      </w:r>
      <w:r w:rsidR="005A714E">
        <w:rPr>
          <w:rStyle w:val="FootnoteReference"/>
          <w:rFonts w:eastAsia="Aptos" w:cs="Arial"/>
        </w:rPr>
        <w:footnoteReference w:id="6"/>
      </w:r>
      <w:r w:rsidRPr="00967B56">
        <w:rPr>
          <w:rFonts w:eastAsia="Aptos" w:cs="Arial"/>
        </w:rPr>
        <w:t xml:space="preserve">. </w:t>
      </w:r>
    </w:p>
    <w:p w14:paraId="786B8F52" w14:textId="3832C68D" w:rsidR="00967B56" w:rsidRDefault="00967B56" w:rsidP="00967B56">
      <w:pPr>
        <w:pStyle w:val="ListParagraph"/>
        <w:numPr>
          <w:ilvl w:val="0"/>
          <w:numId w:val="2"/>
        </w:numPr>
        <w:tabs>
          <w:tab w:val="left" w:pos="3767"/>
        </w:tabs>
        <w:spacing w:line="360" w:lineRule="auto"/>
        <w:rPr>
          <w:rFonts w:eastAsia="Aptos" w:cs="Arial"/>
        </w:rPr>
      </w:pPr>
      <w:r>
        <w:rPr>
          <w:rFonts w:eastAsia="Aptos" w:cs="Arial"/>
        </w:rPr>
        <w:t>Strengthen</w:t>
      </w:r>
      <w:r w:rsidR="005B7C3B">
        <w:rPr>
          <w:rFonts w:eastAsia="Aptos" w:cs="Arial"/>
        </w:rPr>
        <w:t>s</w:t>
      </w:r>
      <w:r>
        <w:rPr>
          <w:rFonts w:eastAsia="Aptos" w:cs="Arial"/>
        </w:rPr>
        <w:t xml:space="preserve"> cooperation of audiovisual media service providers and regulators with organisations of persons with disabilities. </w:t>
      </w:r>
    </w:p>
    <w:p w14:paraId="4EF8A981" w14:textId="37687F52" w:rsidR="005C5AB2" w:rsidRDefault="009E6DFD" w:rsidP="00967B56">
      <w:pPr>
        <w:pStyle w:val="ListParagraph"/>
        <w:numPr>
          <w:ilvl w:val="0"/>
          <w:numId w:val="2"/>
        </w:numPr>
        <w:tabs>
          <w:tab w:val="left" w:pos="3767"/>
        </w:tabs>
        <w:spacing w:line="360" w:lineRule="auto"/>
        <w:rPr>
          <w:rFonts w:eastAsia="Aptos" w:cs="Arial"/>
        </w:rPr>
      </w:pPr>
      <w:r>
        <w:rPr>
          <w:rFonts w:eastAsia="Aptos" w:cs="Arial"/>
        </w:rPr>
        <w:t>Establishes r</w:t>
      </w:r>
      <w:r w:rsidR="005C5AB2">
        <w:rPr>
          <w:rFonts w:eastAsia="Aptos" w:cs="Arial"/>
        </w:rPr>
        <w:t>obust monitoring and sanctions mechanisms for non-compliance</w:t>
      </w:r>
      <w:r w:rsidR="00C933D9">
        <w:rPr>
          <w:rFonts w:eastAsia="Aptos" w:cs="Arial"/>
        </w:rPr>
        <w:t>.</w:t>
      </w:r>
    </w:p>
    <w:p w14:paraId="7749DCB1" w14:textId="35CE3B51" w:rsidR="00EE7CDB" w:rsidRDefault="00DB084E" w:rsidP="00967B56">
      <w:pPr>
        <w:pStyle w:val="ListParagraph"/>
        <w:numPr>
          <w:ilvl w:val="0"/>
          <w:numId w:val="2"/>
        </w:numPr>
        <w:tabs>
          <w:tab w:val="left" w:pos="3767"/>
        </w:tabs>
        <w:spacing w:line="360" w:lineRule="auto"/>
        <w:rPr>
          <w:rFonts w:eastAsia="Aptos" w:cs="Arial"/>
        </w:rPr>
      </w:pPr>
      <w:r w:rsidRPr="00EE7CDB">
        <w:rPr>
          <w:rFonts w:eastAsia="Aptos" w:cs="Arial"/>
        </w:rPr>
        <w:lastRenderedPageBreak/>
        <w:t>En</w:t>
      </w:r>
      <w:r w:rsidR="00C933D9" w:rsidRPr="00EE7CDB">
        <w:rPr>
          <w:rFonts w:eastAsia="Aptos" w:cs="Arial"/>
        </w:rPr>
        <w:t>sure</w:t>
      </w:r>
      <w:r w:rsidR="003B1878">
        <w:rPr>
          <w:rFonts w:eastAsia="Aptos" w:cs="Arial"/>
        </w:rPr>
        <w:t>s</w:t>
      </w:r>
      <w:r w:rsidR="00C933D9" w:rsidRPr="00EE7CDB">
        <w:rPr>
          <w:rFonts w:eastAsia="Aptos" w:cs="Arial"/>
        </w:rPr>
        <w:t xml:space="preserve"> that</w:t>
      </w:r>
      <w:r w:rsidR="001B7A10">
        <w:rPr>
          <w:rFonts w:eastAsia="Aptos" w:cs="Arial"/>
        </w:rPr>
        <w:t xml:space="preserve"> </w:t>
      </w:r>
      <w:r w:rsidR="00097A1F" w:rsidRPr="00EE7CDB">
        <w:rPr>
          <w:rFonts w:eastAsia="Aptos" w:cs="Arial"/>
        </w:rPr>
        <w:t>access services</w:t>
      </w:r>
      <w:r w:rsidR="00C933D9" w:rsidRPr="00EE7CDB">
        <w:rPr>
          <w:rFonts w:eastAsia="Aptos" w:cs="Arial"/>
        </w:rPr>
        <w:t xml:space="preserve"> become a mandatory component of exploitation rights</w:t>
      </w:r>
      <w:r w:rsidR="000B37BB">
        <w:rPr>
          <w:rFonts w:eastAsia="Aptos" w:cs="Arial"/>
        </w:rPr>
        <w:t xml:space="preserve"> </w:t>
      </w:r>
      <w:r w:rsidR="00D25C0D" w:rsidRPr="00EE7CDB">
        <w:rPr>
          <w:rFonts w:eastAsia="Aptos" w:cs="Arial"/>
        </w:rPr>
        <w:t>so that they are automaticall</w:t>
      </w:r>
      <w:r w:rsidR="00EE7CDB" w:rsidRPr="00EE7CDB">
        <w:rPr>
          <w:rFonts w:eastAsia="Aptos" w:cs="Arial"/>
        </w:rPr>
        <w:t>y</w:t>
      </w:r>
      <w:r w:rsidR="00D25C0D" w:rsidRPr="00EE7CDB">
        <w:rPr>
          <w:rFonts w:eastAsia="Aptos" w:cs="Arial"/>
        </w:rPr>
        <w:t xml:space="preserve"> transferred when content is resold</w:t>
      </w:r>
      <w:r w:rsidR="00C93290">
        <w:rPr>
          <w:rStyle w:val="FootnoteReference"/>
          <w:rFonts w:eastAsia="Aptos" w:cs="Arial"/>
        </w:rPr>
        <w:footnoteReference w:id="7"/>
      </w:r>
      <w:r w:rsidR="000B37BB">
        <w:rPr>
          <w:rFonts w:eastAsia="Aptos" w:cs="Arial"/>
        </w:rPr>
        <w:t xml:space="preserve">. When </w:t>
      </w:r>
      <w:r w:rsidR="00765D35">
        <w:rPr>
          <w:rFonts w:eastAsia="Aptos" w:cs="Arial"/>
        </w:rPr>
        <w:t xml:space="preserve">access services are </w:t>
      </w:r>
      <w:r w:rsidR="000B37BB">
        <w:rPr>
          <w:rFonts w:eastAsia="Aptos" w:cs="Arial"/>
        </w:rPr>
        <w:t xml:space="preserve">unavailable, </w:t>
      </w:r>
      <w:r w:rsidR="00765D35">
        <w:rPr>
          <w:rFonts w:eastAsia="Aptos" w:cs="Arial"/>
        </w:rPr>
        <w:t>there should be the possibility to add them</w:t>
      </w:r>
      <w:r w:rsidR="005065FC">
        <w:rPr>
          <w:rFonts w:eastAsia="Aptos" w:cs="Arial"/>
        </w:rPr>
        <w:t xml:space="preserve"> to the content</w:t>
      </w:r>
      <w:r w:rsidR="00765D35">
        <w:rPr>
          <w:rFonts w:eastAsia="Aptos" w:cs="Arial"/>
        </w:rPr>
        <w:t xml:space="preserve"> without the need of acquiring additional rights</w:t>
      </w:r>
      <w:r w:rsidR="00C93290">
        <w:rPr>
          <w:rFonts w:eastAsia="Aptos" w:cs="Arial"/>
        </w:rPr>
        <w:t>.</w:t>
      </w:r>
      <w:r w:rsidR="00432E36">
        <w:rPr>
          <w:rFonts w:eastAsia="Aptos" w:cs="Arial"/>
        </w:rPr>
        <w:t xml:space="preserve"> </w:t>
      </w:r>
    </w:p>
    <w:p w14:paraId="723360DA" w14:textId="283B3074" w:rsidR="00967B56" w:rsidRPr="00EE7CDB" w:rsidRDefault="008A7B38" w:rsidP="00EC2C6F">
      <w:pPr>
        <w:tabs>
          <w:tab w:val="left" w:pos="3767"/>
        </w:tabs>
        <w:spacing w:line="360" w:lineRule="auto"/>
        <w:rPr>
          <w:rFonts w:eastAsia="Aptos" w:cs="Arial"/>
        </w:rPr>
      </w:pPr>
      <w:r w:rsidRPr="00EE7CDB">
        <w:rPr>
          <w:rFonts w:eastAsia="Aptos" w:cs="Arial"/>
        </w:rPr>
        <w:t>In other words, t</w:t>
      </w:r>
      <w:r w:rsidR="00967B56" w:rsidRPr="00EE7CDB">
        <w:rPr>
          <w:rFonts w:eastAsia="Aptos" w:cs="Arial"/>
        </w:rPr>
        <w:t xml:space="preserve">he AVMSD must </w:t>
      </w:r>
      <w:r w:rsidR="007E08BA" w:rsidRPr="00EE7CDB">
        <w:rPr>
          <w:rFonts w:eastAsia="Aptos" w:cs="Arial"/>
        </w:rPr>
        <w:t>move beyond</w:t>
      </w:r>
      <w:r w:rsidR="00967B56" w:rsidRPr="00EE7CDB">
        <w:rPr>
          <w:rFonts w:eastAsia="Aptos" w:cs="Arial"/>
        </w:rPr>
        <w:t xml:space="preserve"> general duties of progressive improvement and </w:t>
      </w:r>
      <w:r w:rsidR="00483243" w:rsidRPr="00EE7CDB">
        <w:rPr>
          <w:rFonts w:eastAsia="Aptos" w:cs="Arial"/>
        </w:rPr>
        <w:t xml:space="preserve">instead </w:t>
      </w:r>
      <w:r w:rsidR="00967B56" w:rsidRPr="00EE7CDB">
        <w:rPr>
          <w:rFonts w:eastAsia="Aptos" w:cs="Arial"/>
        </w:rPr>
        <w:t>promote measurable and enforceable minimum accessibility obligations</w:t>
      </w:r>
      <w:r w:rsidR="00814C37" w:rsidRPr="00EE7CDB">
        <w:rPr>
          <w:rFonts w:eastAsia="Aptos" w:cs="Arial"/>
        </w:rPr>
        <w:t xml:space="preserve"> at the </w:t>
      </w:r>
      <w:r w:rsidR="00B94A02">
        <w:rPr>
          <w:rFonts w:eastAsia="Aptos" w:cs="Arial"/>
        </w:rPr>
        <w:t>E</w:t>
      </w:r>
      <w:r w:rsidR="00814C37" w:rsidRPr="00EE7CDB">
        <w:rPr>
          <w:rFonts w:eastAsia="Aptos" w:cs="Arial"/>
        </w:rPr>
        <w:t>uropean level</w:t>
      </w:r>
      <w:r w:rsidR="00967B56" w:rsidRPr="00EE7CDB">
        <w:rPr>
          <w:rFonts w:eastAsia="Aptos" w:cs="Arial"/>
        </w:rPr>
        <w:t>. In our experience, the best way to ensure this is through quotas that specify with clear timelines the percentage of audiovisual content to be made accessible for each type of access service</w:t>
      </w:r>
      <w:r w:rsidR="00F50F54" w:rsidRPr="00EE7CDB">
        <w:rPr>
          <w:rFonts w:eastAsia="Aptos" w:cs="Arial"/>
        </w:rPr>
        <w:t xml:space="preserve"> and for each </w:t>
      </w:r>
      <w:r w:rsidR="00D60899">
        <w:rPr>
          <w:rFonts w:eastAsia="Aptos" w:cs="Arial"/>
        </w:rPr>
        <w:t xml:space="preserve">type of </w:t>
      </w:r>
      <w:r w:rsidR="00F50F54" w:rsidRPr="00EE7CDB">
        <w:rPr>
          <w:rFonts w:eastAsia="Aptos" w:cs="Arial"/>
        </w:rPr>
        <w:t>audiovisual service provider (</w:t>
      </w:r>
      <w:r w:rsidR="0017563C" w:rsidRPr="00EE7CDB">
        <w:rPr>
          <w:rFonts w:eastAsia="Aptos" w:cs="Arial"/>
        </w:rPr>
        <w:t>public and private broadcasters and on-demand platfor</w:t>
      </w:r>
      <w:r w:rsidR="002214B0" w:rsidRPr="00EE7CDB">
        <w:rPr>
          <w:rFonts w:eastAsia="Aptos" w:cs="Arial"/>
        </w:rPr>
        <w:t>ms</w:t>
      </w:r>
      <w:r w:rsidR="00817674" w:rsidRPr="00EE7CDB">
        <w:rPr>
          <w:rFonts w:eastAsia="Aptos" w:cs="Arial"/>
        </w:rPr>
        <w:t>)</w:t>
      </w:r>
      <w:r w:rsidR="00967B56" w:rsidRPr="00EE7CDB">
        <w:rPr>
          <w:rFonts w:eastAsia="Aptos" w:cs="Arial"/>
        </w:rPr>
        <w:t xml:space="preserve">. </w:t>
      </w:r>
      <w:r w:rsidR="00483243" w:rsidRPr="00EE7CDB">
        <w:rPr>
          <w:rFonts w:eastAsia="Aptos" w:cs="Arial"/>
        </w:rPr>
        <w:t>To date</w:t>
      </w:r>
      <w:r w:rsidR="00CB7F2E" w:rsidRPr="00EE7CDB">
        <w:rPr>
          <w:rFonts w:eastAsia="Aptos" w:cs="Arial"/>
        </w:rPr>
        <w:t>, on</w:t>
      </w:r>
      <w:r w:rsidR="0071477F" w:rsidRPr="00EE7CDB">
        <w:rPr>
          <w:rFonts w:eastAsia="Aptos" w:cs="Arial"/>
        </w:rPr>
        <w:t>ly</w:t>
      </w:r>
      <w:r w:rsidR="00CB7F2E" w:rsidRPr="00EE7CDB">
        <w:rPr>
          <w:rFonts w:eastAsia="Aptos" w:cs="Arial"/>
        </w:rPr>
        <w:t xml:space="preserve"> 16 Member States have introduced such system</w:t>
      </w:r>
      <w:r w:rsidR="001665A1">
        <w:rPr>
          <w:rStyle w:val="FootnoteReference"/>
          <w:rFonts w:eastAsia="Aptos" w:cs="Arial"/>
        </w:rPr>
        <w:footnoteReference w:id="8"/>
      </w:r>
      <w:r w:rsidR="00CB7F2E" w:rsidRPr="00EE7CDB">
        <w:rPr>
          <w:rFonts w:eastAsia="Aptos" w:cs="Arial"/>
        </w:rPr>
        <w:t xml:space="preserve">. </w:t>
      </w:r>
      <w:r w:rsidR="00817674" w:rsidRPr="00EE7CDB">
        <w:rPr>
          <w:rFonts w:eastAsia="Aptos" w:cs="Arial"/>
        </w:rPr>
        <w:t>The revised AVMSD should require this</w:t>
      </w:r>
      <w:r w:rsidR="002214B0" w:rsidRPr="00EE7CDB">
        <w:rPr>
          <w:rFonts w:eastAsia="Aptos" w:cs="Arial"/>
        </w:rPr>
        <w:t xml:space="preserve"> to all Member States. </w:t>
      </w:r>
    </w:p>
    <w:p w14:paraId="7CD1BE98" w14:textId="6903C3DE" w:rsidR="00264784" w:rsidRDefault="003A6231" w:rsidP="009D716F">
      <w:pPr>
        <w:tabs>
          <w:tab w:val="left" w:pos="3767"/>
        </w:tabs>
        <w:spacing w:line="360" w:lineRule="auto"/>
        <w:rPr>
          <w:rFonts w:eastAsia="Aptos" w:cs="Arial"/>
        </w:rPr>
      </w:pPr>
      <w:r>
        <w:rPr>
          <w:rFonts w:eastAsia="Aptos" w:cs="Arial"/>
        </w:rPr>
        <w:t xml:space="preserve">Although we recognize the relevance of the topics identified </w:t>
      </w:r>
      <w:r w:rsidR="00712069">
        <w:rPr>
          <w:rFonts w:eastAsia="Aptos" w:cs="Arial"/>
        </w:rPr>
        <w:t xml:space="preserve">so far </w:t>
      </w:r>
      <w:r>
        <w:rPr>
          <w:rFonts w:eastAsia="Aptos" w:cs="Arial"/>
        </w:rPr>
        <w:t>by the Commission during the evaluation and consultation process</w:t>
      </w:r>
      <w:r>
        <w:rPr>
          <w:rStyle w:val="FootnoteReference"/>
          <w:rFonts w:cs="Arial"/>
        </w:rPr>
        <w:footnoteReference w:id="9"/>
      </w:r>
      <w:r w:rsidR="00967B56">
        <w:rPr>
          <w:rFonts w:eastAsia="Aptos" w:cs="Arial"/>
        </w:rPr>
        <w:t xml:space="preserve">, we believe that any </w:t>
      </w:r>
      <w:r w:rsidR="0071477F">
        <w:rPr>
          <w:rFonts w:eastAsia="Aptos" w:cs="Arial"/>
        </w:rPr>
        <w:t xml:space="preserve">meaningful </w:t>
      </w:r>
      <w:r w:rsidR="00712069">
        <w:rPr>
          <w:rFonts w:eastAsia="Aptos" w:cs="Arial"/>
        </w:rPr>
        <w:t>attempt</w:t>
      </w:r>
      <w:r w:rsidR="00967B56">
        <w:rPr>
          <w:rFonts w:eastAsia="Aptos" w:cs="Arial"/>
        </w:rPr>
        <w:t xml:space="preserve"> to improve the existing rules on audiovisual media services, should address the concerns outlined in this letter to ensure equal rights for persons with disability</w:t>
      </w:r>
      <w:r w:rsidR="00264784">
        <w:rPr>
          <w:rFonts w:eastAsia="Aptos" w:cs="Arial"/>
        </w:rPr>
        <w:t>.</w:t>
      </w:r>
      <w:r w:rsidR="004E5666">
        <w:rPr>
          <w:rFonts w:eastAsia="Aptos" w:cs="Arial"/>
        </w:rPr>
        <w:t xml:space="preserve"> </w:t>
      </w:r>
    </w:p>
    <w:p w14:paraId="2EBF73D8" w14:textId="5D2EE32F" w:rsidR="00967B56" w:rsidRDefault="00264784" w:rsidP="00E04D6A">
      <w:pPr>
        <w:tabs>
          <w:tab w:val="left" w:pos="3767"/>
        </w:tabs>
        <w:spacing w:line="360" w:lineRule="auto"/>
        <w:rPr>
          <w:rFonts w:eastAsia="Aptos" w:cs="Arial"/>
        </w:rPr>
      </w:pPr>
      <w:r>
        <w:rPr>
          <w:rFonts w:eastAsia="Aptos" w:cs="Arial"/>
        </w:rPr>
        <w:t>We thank you for your consideration</w:t>
      </w:r>
      <w:r w:rsidR="004E5666">
        <w:rPr>
          <w:rFonts w:eastAsia="Aptos" w:cs="Arial"/>
        </w:rPr>
        <w:t xml:space="preserve"> and remain available </w:t>
      </w:r>
      <w:r w:rsidR="00850522">
        <w:rPr>
          <w:rFonts w:eastAsia="Aptos" w:cs="Arial"/>
        </w:rPr>
        <w:t xml:space="preserve">to further support the Commission in preparing this important initiative. </w:t>
      </w:r>
    </w:p>
    <w:p w14:paraId="38A58C5A" w14:textId="768A21F1" w:rsidR="00713C74" w:rsidRPr="00C04B53" w:rsidRDefault="0097107F" w:rsidP="00C04B53">
      <w:pPr>
        <w:tabs>
          <w:tab w:val="left" w:pos="3767"/>
        </w:tabs>
        <w:spacing w:line="360" w:lineRule="auto"/>
        <w:rPr>
          <w:rFonts w:eastAsia="Aptos" w:cs="Arial"/>
        </w:rPr>
      </w:pPr>
      <w:r>
        <w:rPr>
          <w:rFonts w:eastAsia="Aptos" w:cs="Arial"/>
        </w:rPr>
        <w:t>Yours sincerely,</w:t>
      </w:r>
    </w:p>
    <w:p w14:paraId="0ADE2FBD" w14:textId="77777777" w:rsidR="00713C74" w:rsidRDefault="00713C74" w:rsidP="00070DEC">
      <w:pPr>
        <w:tabs>
          <w:tab w:val="left" w:pos="3767"/>
        </w:tabs>
        <w:spacing w:line="360" w:lineRule="auto"/>
        <w:jc w:val="center"/>
        <w:sectPr w:rsidR="00713C74" w:rsidSect="00C04B53">
          <w:headerReference w:type="default" r:id="rId14"/>
          <w:headerReference w:type="first" r:id="rId15"/>
          <w:pgSz w:w="11906" w:h="16838"/>
          <w:pgMar w:top="1440" w:right="1440" w:bottom="567" w:left="1440" w:header="708" w:footer="708" w:gutter="0"/>
          <w:cols w:space="708"/>
          <w:titlePg/>
          <w:docGrid w:linePitch="360"/>
        </w:sectPr>
      </w:pPr>
    </w:p>
    <w:p w14:paraId="76C61335" w14:textId="77777777" w:rsidR="00C04B53" w:rsidRDefault="00C04B53" w:rsidP="00C04B53">
      <w:pPr>
        <w:tabs>
          <w:tab w:val="left" w:pos="3767"/>
        </w:tabs>
        <w:spacing w:line="360" w:lineRule="auto"/>
        <w:rPr>
          <w:b/>
          <w:bCs/>
        </w:rPr>
      </w:pPr>
    </w:p>
    <w:p w14:paraId="2C450780" w14:textId="77777777" w:rsidR="00C04B53" w:rsidRDefault="00C04B53" w:rsidP="00C04B53">
      <w:pPr>
        <w:tabs>
          <w:tab w:val="left" w:pos="3767"/>
        </w:tabs>
        <w:spacing w:line="360" w:lineRule="auto"/>
        <w:rPr>
          <w:b/>
          <w:bCs/>
        </w:rPr>
        <w:sectPr w:rsidR="00C04B53" w:rsidSect="003300E2">
          <w:type w:val="continuous"/>
          <w:pgSz w:w="11906" w:h="16838"/>
          <w:pgMar w:top="1440" w:right="1440" w:bottom="1440" w:left="1440" w:header="708" w:footer="708" w:gutter="0"/>
          <w:cols w:num="2" w:space="708"/>
          <w:docGrid w:linePitch="360"/>
        </w:sectPr>
      </w:pPr>
    </w:p>
    <w:p w14:paraId="3CA88DF2" w14:textId="77777777" w:rsidR="00C04B53" w:rsidRPr="00C04B53" w:rsidRDefault="00C04B53" w:rsidP="00C04B53">
      <w:pPr>
        <w:tabs>
          <w:tab w:val="left" w:pos="3767"/>
        </w:tabs>
        <w:spacing w:line="360" w:lineRule="auto"/>
      </w:pPr>
      <w:r w:rsidRPr="00070DEC">
        <w:rPr>
          <w:b/>
          <w:bCs/>
        </w:rPr>
        <w:t>European Blind Union (EBU)</w:t>
      </w:r>
      <w:r>
        <w:rPr>
          <w:b/>
          <w:bCs/>
        </w:rPr>
        <w:t xml:space="preserve"> </w:t>
      </w:r>
      <w:r w:rsidRPr="00244131">
        <w:t>Tytti Matsinen, </w:t>
      </w:r>
      <w:r>
        <w:t>President</w:t>
      </w:r>
    </w:p>
    <w:p w14:paraId="295A4393" w14:textId="6225858B" w:rsidR="00C04B53" w:rsidRPr="00592204" w:rsidRDefault="00C04B53" w:rsidP="00C04B53">
      <w:pPr>
        <w:tabs>
          <w:tab w:val="left" w:pos="3767"/>
        </w:tabs>
        <w:spacing w:line="360" w:lineRule="auto"/>
      </w:pPr>
      <w:r w:rsidRPr="00070DEC">
        <w:rPr>
          <w:b/>
          <w:bCs/>
        </w:rPr>
        <w:t xml:space="preserve">European Disability Forum (EDF) </w:t>
      </w:r>
      <w:r w:rsidR="00592204">
        <w:t>Gunta Anca, President</w:t>
      </w:r>
    </w:p>
    <w:p w14:paraId="06DF1CE5" w14:textId="77777777" w:rsidR="00C04B53" w:rsidRPr="00C04B53" w:rsidRDefault="00C04B53" w:rsidP="00C04B53">
      <w:pPr>
        <w:tabs>
          <w:tab w:val="left" w:pos="3767"/>
        </w:tabs>
        <w:spacing w:line="360" w:lineRule="auto"/>
        <w:sectPr w:rsidR="00C04B53" w:rsidRPr="00C04B53" w:rsidSect="00C04B53">
          <w:type w:val="continuous"/>
          <w:pgSz w:w="11906" w:h="16838"/>
          <w:pgMar w:top="1440" w:right="1440" w:bottom="1440" w:left="1440" w:header="708" w:footer="708" w:gutter="0"/>
          <w:cols w:space="708"/>
          <w:docGrid w:linePitch="360"/>
        </w:sectPr>
      </w:pPr>
      <w:r w:rsidRPr="00070DEC">
        <w:rPr>
          <w:b/>
          <w:bCs/>
        </w:rPr>
        <w:t>European Federation of Hard of Hearing People (EFHOH)</w:t>
      </w:r>
      <w:r>
        <w:rPr>
          <w:b/>
          <w:bCs/>
        </w:rPr>
        <w:t xml:space="preserve"> </w:t>
      </w:r>
      <w:r>
        <w:t>Lidia Best, President</w:t>
      </w:r>
    </w:p>
    <w:p w14:paraId="38644366" w14:textId="77777777" w:rsidR="00C04B53" w:rsidRDefault="00C04B53" w:rsidP="00C04B53">
      <w:pPr>
        <w:tabs>
          <w:tab w:val="left" w:pos="3767"/>
        </w:tabs>
        <w:spacing w:line="360" w:lineRule="auto"/>
      </w:pPr>
      <w:r w:rsidRPr="00070DEC">
        <w:rPr>
          <w:b/>
          <w:bCs/>
        </w:rPr>
        <w:t>European Union of the Deaf (EUD)</w:t>
      </w:r>
      <w:r>
        <w:rPr>
          <w:b/>
          <w:bCs/>
        </w:rPr>
        <w:t xml:space="preserve"> </w:t>
      </w:r>
      <w:r>
        <w:t>Sofia Isari, President</w:t>
      </w:r>
    </w:p>
    <w:p w14:paraId="19C73300" w14:textId="3D81F128" w:rsidR="003300E2" w:rsidRPr="00C04B53" w:rsidRDefault="00C04B53" w:rsidP="0086787A">
      <w:pPr>
        <w:tabs>
          <w:tab w:val="left" w:pos="3767"/>
        </w:tabs>
        <w:spacing w:line="360" w:lineRule="auto"/>
        <w:sectPr w:rsidR="003300E2" w:rsidRPr="00C04B53" w:rsidSect="0086787A">
          <w:type w:val="continuous"/>
          <w:pgSz w:w="11906" w:h="16838"/>
          <w:pgMar w:top="1440" w:right="1440" w:bottom="1440" w:left="1440" w:header="708" w:footer="708" w:gutter="0"/>
          <w:cols w:space="708"/>
          <w:docGrid w:linePitch="360"/>
        </w:sectPr>
      </w:pPr>
      <w:r w:rsidRPr="00C04B53">
        <w:rPr>
          <w:b/>
          <w:bCs/>
        </w:rPr>
        <w:t xml:space="preserve">Inclusion Europe </w:t>
      </w:r>
      <w:r w:rsidRPr="00C04B53">
        <w:t xml:space="preserve">Jyrki </w:t>
      </w:r>
      <w:proofErr w:type="spellStart"/>
      <w:r w:rsidRPr="00C04B53">
        <w:t>Pinomaa</w:t>
      </w:r>
      <w:proofErr w:type="spellEnd"/>
      <w:r w:rsidRPr="00C04B53">
        <w:t>, President</w:t>
      </w:r>
    </w:p>
    <w:p w14:paraId="44EDB9D3" w14:textId="6676C558" w:rsidR="00E04D6A" w:rsidRPr="00C04B53" w:rsidRDefault="00E04D6A" w:rsidP="0086787A">
      <w:pPr>
        <w:tabs>
          <w:tab w:val="left" w:pos="3767"/>
        </w:tabs>
        <w:spacing w:line="360" w:lineRule="auto"/>
      </w:pPr>
    </w:p>
    <w:sectPr w:rsidR="00E04D6A" w:rsidRPr="00C04B53" w:rsidSect="0086787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0895" w14:textId="77777777" w:rsidR="00000DDB" w:rsidRDefault="00000DDB" w:rsidP="003D3D2C">
      <w:pPr>
        <w:spacing w:after="0" w:line="240" w:lineRule="auto"/>
      </w:pPr>
      <w:r>
        <w:separator/>
      </w:r>
    </w:p>
  </w:endnote>
  <w:endnote w:type="continuationSeparator" w:id="0">
    <w:p w14:paraId="2818AD6F" w14:textId="77777777" w:rsidR="00000DDB" w:rsidRDefault="00000DDB" w:rsidP="003D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9AAB" w14:textId="77777777" w:rsidR="00000DDB" w:rsidRDefault="00000DDB" w:rsidP="003D3D2C">
      <w:pPr>
        <w:spacing w:after="0" w:line="240" w:lineRule="auto"/>
      </w:pPr>
      <w:r>
        <w:separator/>
      </w:r>
    </w:p>
  </w:footnote>
  <w:footnote w:type="continuationSeparator" w:id="0">
    <w:p w14:paraId="2B4C3A2E" w14:textId="77777777" w:rsidR="00000DDB" w:rsidRDefault="00000DDB" w:rsidP="003D3D2C">
      <w:pPr>
        <w:spacing w:after="0" w:line="240" w:lineRule="auto"/>
      </w:pPr>
      <w:r>
        <w:continuationSeparator/>
      </w:r>
    </w:p>
  </w:footnote>
  <w:footnote w:id="1">
    <w:p w14:paraId="4A0E242E" w14:textId="33A5A2CA" w:rsidR="00DE6406" w:rsidRDefault="00DE6406">
      <w:pPr>
        <w:pStyle w:val="FootnoteText"/>
      </w:pPr>
      <w:r>
        <w:rPr>
          <w:rStyle w:val="FootnoteReference"/>
        </w:rPr>
        <w:footnoteRef/>
      </w:r>
      <w:r>
        <w:t xml:space="preserve"> </w:t>
      </w:r>
      <w:r w:rsidR="007E2924" w:rsidRPr="00296CCD">
        <w:rPr>
          <w:rFonts w:cs="Arial"/>
        </w:rPr>
        <w:t xml:space="preserve">According to the </w:t>
      </w:r>
      <w:hyperlink r:id="rId1" w:history="1">
        <w:r w:rsidR="007E2924" w:rsidRPr="00296CCD">
          <w:rPr>
            <w:rStyle w:val="Hyperlink"/>
            <w:rFonts w:cs="Arial"/>
          </w:rPr>
          <w:t>2023 Audiovisual Media Observatory Report</w:t>
        </w:r>
      </w:hyperlink>
      <w:r w:rsidR="007E2924" w:rsidRPr="00296CCD">
        <w:rPr>
          <w:rFonts w:cs="Arial"/>
        </w:rPr>
        <w:t xml:space="preserve">, </w:t>
      </w:r>
      <w:r w:rsidR="00724683">
        <w:rPr>
          <w:rFonts w:cs="Arial"/>
        </w:rPr>
        <w:t xml:space="preserve">(p13 - 14) </w:t>
      </w:r>
      <w:r w:rsidR="007E2924" w:rsidRPr="00296CCD">
        <w:rPr>
          <w:rFonts w:cs="Arial"/>
        </w:rPr>
        <w:t>linear TV is the main group regulated. 16 MS have stricter obligations for public broadcasters and 7 MS regulate Video-on-demand platforms separately. Out of the 17 Member States (MS) that impose quotas, only 7 have them on video-on demand platforms, 12 apply different quotas for public and private broadcasters and 3 MS only have quotas for public broadcasters</w:t>
      </w:r>
    </w:p>
  </w:footnote>
  <w:footnote w:id="2">
    <w:p w14:paraId="6FC74E99" w14:textId="1C99181F" w:rsidR="007E2924" w:rsidRDefault="007E2924">
      <w:pPr>
        <w:pStyle w:val="FootnoteText"/>
      </w:pPr>
      <w:r>
        <w:rPr>
          <w:rStyle w:val="FootnoteReference"/>
        </w:rPr>
        <w:footnoteRef/>
      </w:r>
      <w:r>
        <w:t xml:space="preserve"> </w:t>
      </w:r>
      <w:r w:rsidR="003138B6" w:rsidRPr="00296CCD">
        <w:rPr>
          <w:rFonts w:cs="Arial"/>
        </w:rPr>
        <w:t xml:space="preserve">According to the 2023 Audiovisual Media Observatory Report, while 17 MS oblige to use one or more access services, 9 have total discretion. 15 MS have quotas for subtitling, 11 MS for sign language, 9 MS for audio description and only 4 MS for spoken subtitles.  Similarly, </w:t>
      </w:r>
      <w:hyperlink r:id="rId2" w:history="1">
        <w:r w:rsidR="003138B6" w:rsidRPr="00296CCD">
          <w:rPr>
            <w:rStyle w:val="Hyperlink"/>
            <w:rFonts w:cs="Arial"/>
          </w:rPr>
          <w:t>the 2023 report on language diversity and accessibility of streaming platforms</w:t>
        </w:r>
      </w:hyperlink>
      <w:r w:rsidR="003138B6" w:rsidRPr="00296CCD">
        <w:rPr>
          <w:rFonts w:cs="Arial"/>
        </w:rPr>
        <w:t xml:space="preserve"> (Disney +, Netflix and Amazon) shows that audio-description is scarce in all languages, but specially in languages other than English and that while subtitling is generally more available, it is not available in all language</w:t>
      </w:r>
      <w:r w:rsidR="0026492F">
        <w:rPr>
          <w:rFonts w:cs="Arial"/>
        </w:rPr>
        <w:t xml:space="preserve">s. </w:t>
      </w:r>
    </w:p>
  </w:footnote>
  <w:footnote w:id="3">
    <w:p w14:paraId="49CB930F" w14:textId="24937AE4" w:rsidR="003138B6" w:rsidRDefault="003138B6">
      <w:pPr>
        <w:pStyle w:val="FootnoteText"/>
      </w:pPr>
      <w:r>
        <w:rPr>
          <w:rStyle w:val="FootnoteReference"/>
        </w:rPr>
        <w:footnoteRef/>
      </w:r>
      <w:r>
        <w:t xml:space="preserve"> </w:t>
      </w:r>
      <w:r w:rsidR="001665A1" w:rsidRPr="00296CCD">
        <w:rPr>
          <w:rFonts w:eastAsia="Aptos" w:cs="Arial"/>
        </w:rPr>
        <w:t xml:space="preserve">According to </w:t>
      </w:r>
      <w:hyperlink r:id="rId3" w:history="1">
        <w:r w:rsidR="001665A1" w:rsidRPr="00296CCD">
          <w:rPr>
            <w:rStyle w:val="Hyperlink"/>
            <w:rFonts w:eastAsia="Aptos" w:cs="Arial"/>
          </w:rPr>
          <w:t>ERGA 2021 report</w:t>
        </w:r>
      </w:hyperlink>
      <w:r w:rsidR="001665A1" w:rsidRPr="00296CCD">
        <w:rPr>
          <w:rFonts w:eastAsia="Aptos" w:cs="Arial"/>
        </w:rPr>
        <w:t xml:space="preserve">, </w:t>
      </w:r>
      <w:r w:rsidR="00724683">
        <w:rPr>
          <w:rFonts w:eastAsia="Aptos" w:cs="Arial"/>
        </w:rPr>
        <w:t xml:space="preserve">(p15) </w:t>
      </w:r>
      <w:r w:rsidR="001665A1" w:rsidRPr="00296CCD">
        <w:rPr>
          <w:rFonts w:eastAsia="Aptos" w:cs="Arial"/>
        </w:rPr>
        <w:t xml:space="preserve">very few Member States (MS) appear to have introduced qualitative obligations: 8 MS for linear broadcast and 4 for on demand. The </w:t>
      </w:r>
      <w:hyperlink r:id="rId4" w:history="1">
        <w:r w:rsidR="001665A1" w:rsidRPr="004B5736">
          <w:rPr>
            <w:rStyle w:val="Hyperlink"/>
            <w:rFonts w:eastAsia="Aptos" w:cs="Arial"/>
          </w:rPr>
          <w:t>Audiovisua</w:t>
        </w:r>
        <w:r w:rsidR="004B5736">
          <w:rPr>
            <w:rStyle w:val="Hyperlink"/>
            <w:rFonts w:eastAsia="Aptos" w:cs="Arial"/>
          </w:rPr>
          <w:t>l Media</w:t>
        </w:r>
        <w:r w:rsidR="001665A1" w:rsidRPr="004B5736">
          <w:rPr>
            <w:rStyle w:val="Hyperlink"/>
            <w:rFonts w:eastAsia="Aptos" w:cs="Arial"/>
          </w:rPr>
          <w:t xml:space="preserve"> Observatory Report</w:t>
        </w:r>
      </w:hyperlink>
      <w:r w:rsidR="001665A1" w:rsidRPr="00296CCD">
        <w:rPr>
          <w:rFonts w:eastAsia="Aptos" w:cs="Arial"/>
        </w:rPr>
        <w:t xml:space="preserve"> </w:t>
      </w:r>
      <w:r w:rsidR="004B5736">
        <w:rPr>
          <w:rFonts w:eastAsia="Aptos" w:cs="Arial"/>
        </w:rPr>
        <w:t xml:space="preserve">(p18) </w:t>
      </w:r>
      <w:r w:rsidR="001665A1" w:rsidRPr="00296CCD">
        <w:rPr>
          <w:rFonts w:eastAsia="Aptos" w:cs="Arial"/>
        </w:rPr>
        <w:t>goes further, indicating that only a limited number of MS have a code of best practice or quality assurance document for access services (5 MS for subtitling, 3 MS for sign language and 4 MS for audio description).</w:t>
      </w:r>
    </w:p>
  </w:footnote>
  <w:footnote w:id="4">
    <w:p w14:paraId="219BA96B" w14:textId="7EC1D6C7" w:rsidR="00853443" w:rsidRDefault="00853443">
      <w:pPr>
        <w:pStyle w:val="FootnoteText"/>
      </w:pPr>
      <w:r>
        <w:rPr>
          <w:rStyle w:val="FootnoteReference"/>
        </w:rPr>
        <w:footnoteRef/>
      </w:r>
      <w:r>
        <w:t xml:space="preserve"> </w:t>
      </w:r>
      <w:r w:rsidR="00DC38E1">
        <w:t>The European Accessibility Act</w:t>
      </w:r>
      <w:r w:rsidR="00AF6F07">
        <w:t xml:space="preserve"> is a good example of th</w:t>
      </w:r>
      <w:r w:rsidR="00DE5B2C">
        <w:t>is</w:t>
      </w:r>
      <w:r w:rsidR="00AF6F07">
        <w:t xml:space="preserve"> as it already sets harmonised accessibility requirements for certain products and services. In the context of the AVMSD, access services</w:t>
      </w:r>
      <w:r>
        <w:t xml:space="preserve"> must include subtitles for the deaf and hard of hearing, sign language, audio</w:t>
      </w:r>
      <w:r w:rsidR="00F67414">
        <w:t>-</w:t>
      </w:r>
      <w:r>
        <w:t>description</w:t>
      </w:r>
      <w:r w:rsidR="00F67414">
        <w:t xml:space="preserve">, spoken subtitles and easy to understand formats. </w:t>
      </w:r>
    </w:p>
  </w:footnote>
  <w:footnote w:id="5">
    <w:p w14:paraId="595D9D47" w14:textId="52D04660" w:rsidR="00AD5B40" w:rsidRDefault="00AD5B40">
      <w:pPr>
        <w:pStyle w:val="FootnoteText"/>
      </w:pPr>
      <w:r>
        <w:rPr>
          <w:rStyle w:val="FootnoteReference"/>
        </w:rPr>
        <w:footnoteRef/>
      </w:r>
      <w:r>
        <w:t xml:space="preserve"> </w:t>
      </w:r>
      <w:r w:rsidR="005A714E" w:rsidRPr="00692016">
        <w:rPr>
          <w:rFonts w:eastAsia="Aptos" w:cs="Arial"/>
          <w:szCs w:val="24"/>
        </w:rPr>
        <w:t xml:space="preserve"> </w:t>
      </w:r>
      <w:r w:rsidR="005A714E">
        <w:rPr>
          <w:rFonts w:eastAsia="Aptos" w:cs="Arial"/>
          <w:szCs w:val="24"/>
        </w:rPr>
        <w:t xml:space="preserve"> </w:t>
      </w:r>
      <w:r w:rsidR="005A714E" w:rsidRPr="00692016">
        <w:rPr>
          <w:rFonts w:eastAsia="Aptos" w:cs="Arial"/>
          <w:szCs w:val="24"/>
        </w:rPr>
        <w:t xml:space="preserve">According to the </w:t>
      </w:r>
      <w:hyperlink r:id="rId5" w:history="1">
        <w:r w:rsidR="005A714E" w:rsidRPr="00485C12">
          <w:rPr>
            <w:rStyle w:val="Hyperlink"/>
            <w:rFonts w:eastAsia="Aptos" w:cs="Arial"/>
            <w:szCs w:val="24"/>
          </w:rPr>
          <w:t>Audiovisual Media Observatory Report,</w:t>
        </w:r>
      </w:hyperlink>
      <w:r w:rsidR="005A714E">
        <w:rPr>
          <w:rStyle w:val="FootnoteReference"/>
          <w:rFonts w:eastAsia="Aptos" w:cs="Arial"/>
          <w:szCs w:val="24"/>
        </w:rPr>
        <w:footnoteRef/>
      </w:r>
      <w:r w:rsidR="005A714E" w:rsidRPr="00692016">
        <w:rPr>
          <w:rFonts w:eastAsia="Aptos" w:cs="Arial"/>
          <w:szCs w:val="24"/>
        </w:rPr>
        <w:t xml:space="preserve"> only 21</w:t>
      </w:r>
      <w:r w:rsidR="005A714E">
        <w:rPr>
          <w:rFonts w:eastAsia="Aptos" w:cs="Arial"/>
          <w:szCs w:val="24"/>
        </w:rPr>
        <w:t xml:space="preserve"> Member States</w:t>
      </w:r>
      <w:r w:rsidR="005A714E" w:rsidRPr="00692016">
        <w:rPr>
          <w:rFonts w:eastAsia="Aptos" w:cs="Arial"/>
          <w:szCs w:val="24"/>
        </w:rPr>
        <w:t xml:space="preserve"> require this in th</w:t>
      </w:r>
      <w:r w:rsidR="005A714E">
        <w:rPr>
          <w:rFonts w:eastAsia="Aptos" w:cs="Arial"/>
          <w:szCs w:val="24"/>
        </w:rPr>
        <w:t>eir</w:t>
      </w:r>
      <w:r w:rsidR="005A714E" w:rsidRPr="00692016">
        <w:rPr>
          <w:rFonts w:eastAsia="Aptos" w:cs="Arial"/>
          <w:szCs w:val="24"/>
        </w:rPr>
        <w:t xml:space="preserve"> legislation </w:t>
      </w:r>
      <w:r w:rsidR="005A714E">
        <w:rPr>
          <w:rFonts w:eastAsia="Aptos" w:cs="Arial"/>
          <w:szCs w:val="24"/>
        </w:rPr>
        <w:t xml:space="preserve">and </w:t>
      </w:r>
      <w:r w:rsidR="005A714E" w:rsidRPr="00692016">
        <w:rPr>
          <w:rFonts w:eastAsia="Aptos" w:cs="Arial"/>
          <w:szCs w:val="24"/>
        </w:rPr>
        <w:t>5 allow audiovisual media</w:t>
      </w:r>
      <w:r w:rsidR="005A714E">
        <w:rPr>
          <w:rFonts w:eastAsia="Aptos" w:cs="Arial"/>
          <w:szCs w:val="24"/>
        </w:rPr>
        <w:t xml:space="preserve"> broadcasters</w:t>
      </w:r>
      <w:r w:rsidR="005A714E" w:rsidRPr="00692016">
        <w:rPr>
          <w:rFonts w:eastAsia="Aptos" w:cs="Arial"/>
          <w:szCs w:val="24"/>
        </w:rPr>
        <w:t xml:space="preserve"> to do it to ‘the best’ of their ability. Similarly, </w:t>
      </w:r>
      <w:hyperlink r:id="rId6" w:history="1">
        <w:r w:rsidR="005A714E" w:rsidRPr="00692016">
          <w:rPr>
            <w:rFonts w:eastAsia="Aptos" w:cs="Arial"/>
            <w:color w:val="0000FF"/>
            <w:szCs w:val="24"/>
            <w:u w:val="single"/>
          </w:rPr>
          <w:t>the 2025 report by the European Broadcasting Union</w:t>
        </w:r>
      </w:hyperlink>
      <w:r w:rsidR="005A714E" w:rsidRPr="00692016">
        <w:rPr>
          <w:rFonts w:eastAsia="Aptos" w:cs="Arial"/>
          <w:szCs w:val="24"/>
        </w:rPr>
        <w:t xml:space="preserve"> shows that only 49% of public sector media (PSM) have defined some rules and recommendations to provide access services in case of emergency content</w:t>
      </w:r>
    </w:p>
  </w:footnote>
  <w:footnote w:id="6">
    <w:p w14:paraId="7C8520E1" w14:textId="64B254DC" w:rsidR="005A714E" w:rsidRDefault="005A714E">
      <w:pPr>
        <w:pStyle w:val="FootnoteText"/>
      </w:pPr>
      <w:r>
        <w:rPr>
          <w:rStyle w:val="FootnoteReference"/>
        </w:rPr>
        <w:footnoteRef/>
      </w:r>
      <w:r>
        <w:t xml:space="preserve"> </w:t>
      </w:r>
      <w:r w:rsidR="00F74E8F">
        <w:t>The AVMSD should require</w:t>
      </w:r>
      <w:r>
        <w:t xml:space="preserve"> (1) the accessibility of</w:t>
      </w:r>
      <w:r w:rsidR="004B6270">
        <w:t xml:space="preserve"> video-sharing, social media and online news platforms</w:t>
      </w:r>
      <w:r>
        <w:t>,</w:t>
      </w:r>
      <w:r w:rsidR="0042071D">
        <w:t xml:space="preserve"> including </w:t>
      </w:r>
      <w:r w:rsidR="00A42DC7">
        <w:t xml:space="preserve">related </w:t>
      </w:r>
      <w:r w:rsidR="0042071D">
        <w:t xml:space="preserve">websites and apps, </w:t>
      </w:r>
      <w:r>
        <w:t>(2)</w:t>
      </w:r>
      <w:r w:rsidR="00D567A3">
        <w:t xml:space="preserve"> </w:t>
      </w:r>
      <w:r w:rsidR="00DC52D7">
        <w:t>the availability of</w:t>
      </w:r>
      <w:r w:rsidR="00DC52D7" w:rsidRPr="00570D4D">
        <w:t xml:space="preserve"> accessibility</w:t>
      </w:r>
      <w:r w:rsidR="00494D8E" w:rsidRPr="00570D4D">
        <w:t xml:space="preserve"> tools free of charge and </w:t>
      </w:r>
      <w:r w:rsidR="00494D8E">
        <w:t>by default</w:t>
      </w:r>
      <w:r w:rsidR="00DC52D7">
        <w:t xml:space="preserve"> and (3)</w:t>
      </w:r>
      <w:r w:rsidR="00796E89">
        <w:t xml:space="preserve"> the provision of access services for certain actors with editorial responsibility or</w:t>
      </w:r>
      <w:r w:rsidR="00BF30B5">
        <w:t xml:space="preserve"> influence. </w:t>
      </w:r>
    </w:p>
  </w:footnote>
  <w:footnote w:id="7">
    <w:p w14:paraId="0AF7E9D1" w14:textId="32F9185B" w:rsidR="00C93290" w:rsidRDefault="00C93290" w:rsidP="00C93290">
      <w:pPr>
        <w:pStyle w:val="FootnoteText"/>
      </w:pPr>
      <w:r>
        <w:rPr>
          <w:rStyle w:val="FootnoteReference"/>
        </w:rPr>
        <w:footnoteRef/>
      </w:r>
      <w:r>
        <w:t xml:space="preserve"> </w:t>
      </w:r>
      <w:r w:rsidR="00C44B4A">
        <w:t xml:space="preserve">This should include the possibility to modify them, as national standards can be different. </w:t>
      </w:r>
    </w:p>
  </w:footnote>
  <w:footnote w:id="8">
    <w:p w14:paraId="28AE7C8C" w14:textId="0CF03C46" w:rsidR="001665A1" w:rsidRDefault="001665A1">
      <w:pPr>
        <w:pStyle w:val="FootnoteText"/>
      </w:pPr>
      <w:r>
        <w:rPr>
          <w:rStyle w:val="FootnoteReference"/>
        </w:rPr>
        <w:footnoteRef/>
      </w:r>
      <w:r>
        <w:t xml:space="preserve"> </w:t>
      </w:r>
      <w:hyperlink r:id="rId7" w:history="1">
        <w:r w:rsidR="003B63A1" w:rsidRPr="008932B4">
          <w:rPr>
            <w:rStyle w:val="Hyperlink"/>
          </w:rPr>
          <w:t xml:space="preserve">Audiovisual </w:t>
        </w:r>
        <w:r w:rsidR="005142E0" w:rsidRPr="008932B4">
          <w:rPr>
            <w:rStyle w:val="Hyperlink"/>
          </w:rPr>
          <w:t>Media Observatory</w:t>
        </w:r>
        <w:r w:rsidR="003B63A1" w:rsidRPr="008932B4">
          <w:rPr>
            <w:rStyle w:val="Hyperlink"/>
          </w:rPr>
          <w:t xml:space="preserve"> Report</w:t>
        </w:r>
      </w:hyperlink>
      <w:r w:rsidR="003B63A1">
        <w:t xml:space="preserve"> (page 15)</w:t>
      </w:r>
      <w:r w:rsidR="00EC40D0">
        <w:t xml:space="preserve"> - </w:t>
      </w:r>
      <w:r w:rsidR="00EC40D0" w:rsidRPr="00EC40D0">
        <w:t>BE(VL), BE(FR), BG, CZ, DK, ES, FI, FR, GR, LT, MT, NL, PL, PT, RO, SE, SK</w:t>
      </w:r>
      <w:r w:rsidR="00B74D2C">
        <w:t xml:space="preserve">. </w:t>
      </w:r>
    </w:p>
  </w:footnote>
  <w:footnote w:id="9">
    <w:p w14:paraId="13DACE6F" w14:textId="4387DC7A" w:rsidR="003A6231" w:rsidRDefault="003A6231" w:rsidP="003A6231">
      <w:pPr>
        <w:pStyle w:val="FootnoteText"/>
      </w:pPr>
      <w:r>
        <w:rPr>
          <w:rStyle w:val="FootnoteReference"/>
        </w:rPr>
        <w:footnoteRef/>
      </w:r>
      <w:r>
        <w:t xml:space="preserve"> Among others, advertising rules, level playing field between traditional and new digital players, protection of minors on video-sharing platforms.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B91E" w14:textId="57DD1913" w:rsidR="00870A9C" w:rsidRDefault="00554977">
    <w:pPr>
      <w:pStyle w:val="Header"/>
      <w:rPr>
        <w:noProof/>
      </w:rPr>
    </w:pPr>
    <w:r w:rsidRPr="00554977">
      <w:t xml:space="preserve"> </w:t>
    </w:r>
  </w:p>
  <w:p w14:paraId="77E21431" w14:textId="4FA9B3FA" w:rsidR="00D31F1E" w:rsidRDefault="00D31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D2B3" w14:textId="0E1CF667" w:rsidR="00C04B53" w:rsidRDefault="00C04B53">
    <w:pPr>
      <w:pStyle w:val="Header"/>
    </w:pPr>
    <w:r>
      <w:rPr>
        <w:noProof/>
      </w:rPr>
      <w:drawing>
        <wp:anchor distT="0" distB="0" distL="114300" distR="114300" simplePos="0" relativeHeight="251658240" behindDoc="0" locked="0" layoutInCell="1" allowOverlap="1" wp14:anchorId="2656132B" wp14:editId="43956E16">
          <wp:simplePos x="0" y="0"/>
          <wp:positionH relativeFrom="column">
            <wp:posOffset>4686698</wp:posOffset>
          </wp:positionH>
          <wp:positionV relativeFrom="paragraph">
            <wp:posOffset>-8063</wp:posOffset>
          </wp:positionV>
          <wp:extent cx="1464310" cy="741680"/>
          <wp:effectExtent l="0" t="0" r="2540" b="1270"/>
          <wp:wrapSquare wrapText="bothSides"/>
          <wp:docPr id="1792082025" name="Picture 3" descr="Logo from the European Blind Un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62196" name="Picture 3" descr="Logo from the European Blind Uni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741680"/>
                  </a:xfrm>
                  <a:prstGeom prst="rect">
                    <a:avLst/>
                  </a:prstGeom>
                  <a:noFill/>
                  <a:ln>
                    <a:noFill/>
                  </a:ln>
                </pic:spPr>
              </pic:pic>
            </a:graphicData>
          </a:graphic>
        </wp:anchor>
      </w:drawing>
    </w:r>
    <w:r>
      <w:rPr>
        <w:noProof/>
      </w:rPr>
      <w:drawing>
        <wp:anchor distT="0" distB="0" distL="114300" distR="114300" simplePos="0" relativeHeight="251658243" behindDoc="0" locked="0" layoutInCell="1" allowOverlap="1" wp14:anchorId="00E08C77" wp14:editId="2D75EDBA">
          <wp:simplePos x="0" y="0"/>
          <wp:positionH relativeFrom="column">
            <wp:posOffset>3055414</wp:posOffset>
          </wp:positionH>
          <wp:positionV relativeFrom="paragraph">
            <wp:posOffset>-88708</wp:posOffset>
          </wp:positionV>
          <wp:extent cx="1606163" cy="818457"/>
          <wp:effectExtent l="0" t="0" r="0" b="1270"/>
          <wp:wrapSquare wrapText="bothSides"/>
          <wp:docPr id="1881690504" name="Picture 7" descr="Logo from the European Federation of Hard of Heari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19756" name="Picture 7" descr="Logo from the European Federation of Hard of Hearing People"/>
                  <pic:cNvPicPr>
                    <a:picLocks noChangeAspect="1" noChangeArrowheads="1"/>
                  </pic:cNvPicPr>
                </pic:nvPicPr>
                <pic:blipFill rotWithShape="1">
                  <a:blip r:embed="rId2">
                    <a:extLst>
                      <a:ext uri="{28A0092B-C50C-407E-A947-70E740481C1C}">
                        <a14:useLocalDpi xmlns:a14="http://schemas.microsoft.com/office/drawing/2010/main" val="0"/>
                      </a:ext>
                    </a:extLst>
                  </a:blip>
                  <a:srcRect l="19173" t="5428" r="22146" b="43768"/>
                  <a:stretch>
                    <a:fillRect/>
                  </a:stretch>
                </pic:blipFill>
                <pic:spPr bwMode="auto">
                  <a:xfrm>
                    <a:off x="0" y="0"/>
                    <a:ext cx="1606163" cy="818457"/>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2" behindDoc="0" locked="0" layoutInCell="1" allowOverlap="1" wp14:anchorId="65DB2FEC" wp14:editId="16A98BEB">
          <wp:simplePos x="0" y="0"/>
          <wp:positionH relativeFrom="margin">
            <wp:posOffset>2213684</wp:posOffset>
          </wp:positionH>
          <wp:positionV relativeFrom="paragraph">
            <wp:posOffset>-110357</wp:posOffset>
          </wp:positionV>
          <wp:extent cx="727075" cy="905510"/>
          <wp:effectExtent l="0" t="0" r="0" b="8890"/>
          <wp:wrapSquare wrapText="bothSides"/>
          <wp:docPr id="1921802687" name="Picture 6" descr="Logo of European Union of the D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02831" name="Picture 6" descr="Logo of European Union of the Deaf"/>
                  <pic:cNvPicPr>
                    <a:picLocks noChangeAspect="1" noChangeArrowheads="1"/>
                  </pic:cNvPicPr>
                </pic:nvPicPr>
                <pic:blipFill rotWithShape="1">
                  <a:blip r:embed="rId3">
                    <a:extLst>
                      <a:ext uri="{28A0092B-C50C-407E-A947-70E740481C1C}">
                        <a14:useLocalDpi xmlns:a14="http://schemas.microsoft.com/office/drawing/2010/main" val="0"/>
                      </a:ext>
                    </a:extLst>
                  </a:blip>
                  <a:srcRect l="9843" t="4849" r="60451" b="8726"/>
                  <a:stretch>
                    <a:fillRect/>
                  </a:stretch>
                </pic:blipFill>
                <pic:spPr bwMode="auto">
                  <a:xfrm>
                    <a:off x="0" y="0"/>
                    <a:ext cx="727075" cy="90551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4" behindDoc="1" locked="0" layoutInCell="1" allowOverlap="1" wp14:anchorId="683BEF62" wp14:editId="0E6786F0">
          <wp:simplePos x="0" y="0"/>
          <wp:positionH relativeFrom="column">
            <wp:posOffset>598200</wp:posOffset>
          </wp:positionH>
          <wp:positionV relativeFrom="paragraph">
            <wp:posOffset>72552</wp:posOffset>
          </wp:positionV>
          <wp:extent cx="1478915" cy="640715"/>
          <wp:effectExtent l="0" t="0" r="6985" b="6985"/>
          <wp:wrapTight wrapText="bothSides">
            <wp:wrapPolygon edited="0">
              <wp:start x="0" y="0"/>
              <wp:lineTo x="0" y="21193"/>
              <wp:lineTo x="21424" y="21193"/>
              <wp:lineTo x="21424" y="0"/>
              <wp:lineTo x="0" y="0"/>
            </wp:wrapPolygon>
          </wp:wrapTight>
          <wp:docPr id="1026729780" name="Picture 8" descr="Logo of Inclusion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76014" name="Picture 8" descr="Logo of Inclusion Euro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8915"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CE23874" wp14:editId="6E69E5FF">
          <wp:simplePos x="0" y="0"/>
          <wp:positionH relativeFrom="column">
            <wp:posOffset>-350874</wp:posOffset>
          </wp:positionH>
          <wp:positionV relativeFrom="paragraph">
            <wp:posOffset>-40227</wp:posOffset>
          </wp:positionV>
          <wp:extent cx="829310" cy="829310"/>
          <wp:effectExtent l="0" t="0" r="0" b="8890"/>
          <wp:wrapSquare wrapText="bothSides"/>
          <wp:docPr id="40047627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2069" name="Picture 2" descr="Logo of the European Disability For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0C95"/>
    <w:multiLevelType w:val="hybridMultilevel"/>
    <w:tmpl w:val="B4C0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A4C25"/>
    <w:multiLevelType w:val="hybridMultilevel"/>
    <w:tmpl w:val="E22E9152"/>
    <w:lvl w:ilvl="0" w:tplc="54604B58">
      <w:start w:val="4"/>
      <w:numFmt w:val="bullet"/>
      <w:lvlText w:val="-"/>
      <w:lvlJc w:val="left"/>
      <w:pPr>
        <w:ind w:left="860" w:hanging="360"/>
      </w:pPr>
      <w:rPr>
        <w:rFonts w:ascii="Arial" w:eastAsiaTheme="minorHAnsi" w:hAnsi="Arial" w:cs="Aria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 w15:restartNumberingAfterBreak="0">
    <w:nsid w:val="61D86693"/>
    <w:multiLevelType w:val="hybridMultilevel"/>
    <w:tmpl w:val="F162DFF2"/>
    <w:lvl w:ilvl="0" w:tplc="2376EDCA">
      <w:start w:val="4"/>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 w15:restartNumberingAfterBreak="0">
    <w:nsid w:val="6D302ACD"/>
    <w:multiLevelType w:val="hybridMultilevel"/>
    <w:tmpl w:val="86EA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939059">
    <w:abstractNumId w:val="0"/>
  </w:num>
  <w:num w:numId="2" w16cid:durableId="1617250197">
    <w:abstractNumId w:val="3"/>
  </w:num>
  <w:num w:numId="3" w16cid:durableId="1126586383">
    <w:abstractNumId w:val="2"/>
  </w:num>
  <w:num w:numId="4" w16cid:durableId="93055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70"/>
    <w:rsid w:val="00000DDB"/>
    <w:rsid w:val="000023BD"/>
    <w:rsid w:val="00002A79"/>
    <w:rsid w:val="00020520"/>
    <w:rsid w:val="00020F40"/>
    <w:rsid w:val="00024220"/>
    <w:rsid w:val="00070246"/>
    <w:rsid w:val="00070DEC"/>
    <w:rsid w:val="0007263B"/>
    <w:rsid w:val="00074C41"/>
    <w:rsid w:val="00075CD2"/>
    <w:rsid w:val="00097A1F"/>
    <w:rsid w:val="000A2A63"/>
    <w:rsid w:val="000B28B4"/>
    <w:rsid w:val="000B37BB"/>
    <w:rsid w:val="000B388E"/>
    <w:rsid w:val="000D136B"/>
    <w:rsid w:val="000E77ED"/>
    <w:rsid w:val="0010552D"/>
    <w:rsid w:val="001112EF"/>
    <w:rsid w:val="001552D7"/>
    <w:rsid w:val="001650D5"/>
    <w:rsid w:val="001665A1"/>
    <w:rsid w:val="0016769E"/>
    <w:rsid w:val="0017563C"/>
    <w:rsid w:val="00197086"/>
    <w:rsid w:val="001A13CA"/>
    <w:rsid w:val="001B015B"/>
    <w:rsid w:val="001B7A10"/>
    <w:rsid w:val="001D6044"/>
    <w:rsid w:val="001E375F"/>
    <w:rsid w:val="001E5144"/>
    <w:rsid w:val="00203501"/>
    <w:rsid w:val="002214B0"/>
    <w:rsid w:val="00233E23"/>
    <w:rsid w:val="00244131"/>
    <w:rsid w:val="002479E7"/>
    <w:rsid w:val="0025236F"/>
    <w:rsid w:val="00264784"/>
    <w:rsid w:val="0026492F"/>
    <w:rsid w:val="00290D3D"/>
    <w:rsid w:val="00294936"/>
    <w:rsid w:val="002A212F"/>
    <w:rsid w:val="002A2EFA"/>
    <w:rsid w:val="002B0409"/>
    <w:rsid w:val="002B35E0"/>
    <w:rsid w:val="00305D27"/>
    <w:rsid w:val="003138B6"/>
    <w:rsid w:val="003300E2"/>
    <w:rsid w:val="0033645F"/>
    <w:rsid w:val="00337659"/>
    <w:rsid w:val="0035293A"/>
    <w:rsid w:val="00361212"/>
    <w:rsid w:val="0038434E"/>
    <w:rsid w:val="00392C3A"/>
    <w:rsid w:val="003A03ED"/>
    <w:rsid w:val="003A6231"/>
    <w:rsid w:val="003B1878"/>
    <w:rsid w:val="003B63A1"/>
    <w:rsid w:val="003D117E"/>
    <w:rsid w:val="003D3D2C"/>
    <w:rsid w:val="003D72FF"/>
    <w:rsid w:val="003E1D20"/>
    <w:rsid w:val="003E722C"/>
    <w:rsid w:val="00405C7C"/>
    <w:rsid w:val="00407C2E"/>
    <w:rsid w:val="0042071D"/>
    <w:rsid w:val="00432E36"/>
    <w:rsid w:val="00435D54"/>
    <w:rsid w:val="00460D54"/>
    <w:rsid w:val="00482D63"/>
    <w:rsid w:val="00483243"/>
    <w:rsid w:val="004938EF"/>
    <w:rsid w:val="00494D8E"/>
    <w:rsid w:val="004B5736"/>
    <w:rsid w:val="004B6270"/>
    <w:rsid w:val="004C38E8"/>
    <w:rsid w:val="004D1473"/>
    <w:rsid w:val="004E38BD"/>
    <w:rsid w:val="004E5666"/>
    <w:rsid w:val="005065FC"/>
    <w:rsid w:val="00507A3A"/>
    <w:rsid w:val="00510D2D"/>
    <w:rsid w:val="005142E0"/>
    <w:rsid w:val="00534861"/>
    <w:rsid w:val="00535B32"/>
    <w:rsid w:val="00541B73"/>
    <w:rsid w:val="00551173"/>
    <w:rsid w:val="00554977"/>
    <w:rsid w:val="005639BE"/>
    <w:rsid w:val="00582E88"/>
    <w:rsid w:val="00592204"/>
    <w:rsid w:val="005943FF"/>
    <w:rsid w:val="00595FC2"/>
    <w:rsid w:val="005A06ED"/>
    <w:rsid w:val="005A714E"/>
    <w:rsid w:val="005B1951"/>
    <w:rsid w:val="005B7C3B"/>
    <w:rsid w:val="005C5AB2"/>
    <w:rsid w:val="005D1B07"/>
    <w:rsid w:val="005D30EE"/>
    <w:rsid w:val="005E240B"/>
    <w:rsid w:val="005E510D"/>
    <w:rsid w:val="005E6840"/>
    <w:rsid w:val="005E7890"/>
    <w:rsid w:val="0061047F"/>
    <w:rsid w:val="00617B53"/>
    <w:rsid w:val="00636922"/>
    <w:rsid w:val="00643EBD"/>
    <w:rsid w:val="00646F70"/>
    <w:rsid w:val="006842E2"/>
    <w:rsid w:val="0068631B"/>
    <w:rsid w:val="006B1FF7"/>
    <w:rsid w:val="006B2FCD"/>
    <w:rsid w:val="006B393B"/>
    <w:rsid w:val="006C01CD"/>
    <w:rsid w:val="006D3C07"/>
    <w:rsid w:val="006E3234"/>
    <w:rsid w:val="006F1FD5"/>
    <w:rsid w:val="00710016"/>
    <w:rsid w:val="00711123"/>
    <w:rsid w:val="00712069"/>
    <w:rsid w:val="00713C74"/>
    <w:rsid w:val="0071477F"/>
    <w:rsid w:val="00724683"/>
    <w:rsid w:val="00734028"/>
    <w:rsid w:val="007525A7"/>
    <w:rsid w:val="00754065"/>
    <w:rsid w:val="00765D35"/>
    <w:rsid w:val="00766EA1"/>
    <w:rsid w:val="007778B8"/>
    <w:rsid w:val="00796E89"/>
    <w:rsid w:val="007A4850"/>
    <w:rsid w:val="007B7807"/>
    <w:rsid w:val="007E08BA"/>
    <w:rsid w:val="007E2924"/>
    <w:rsid w:val="007F4E24"/>
    <w:rsid w:val="00814C37"/>
    <w:rsid w:val="00817674"/>
    <w:rsid w:val="00826555"/>
    <w:rsid w:val="008323AB"/>
    <w:rsid w:val="00843112"/>
    <w:rsid w:val="00850522"/>
    <w:rsid w:val="00853443"/>
    <w:rsid w:val="0085411D"/>
    <w:rsid w:val="00862A42"/>
    <w:rsid w:val="0086787A"/>
    <w:rsid w:val="00867D63"/>
    <w:rsid w:val="00870A9C"/>
    <w:rsid w:val="008932B4"/>
    <w:rsid w:val="008A7B38"/>
    <w:rsid w:val="008B47AD"/>
    <w:rsid w:val="008E1385"/>
    <w:rsid w:val="008E52E6"/>
    <w:rsid w:val="008F1D9A"/>
    <w:rsid w:val="008F6106"/>
    <w:rsid w:val="00904EBC"/>
    <w:rsid w:val="00906AD4"/>
    <w:rsid w:val="0092572D"/>
    <w:rsid w:val="00926BDD"/>
    <w:rsid w:val="0094491A"/>
    <w:rsid w:val="00945D35"/>
    <w:rsid w:val="00953EDA"/>
    <w:rsid w:val="009628C6"/>
    <w:rsid w:val="00967B56"/>
    <w:rsid w:val="00970876"/>
    <w:rsid w:val="0097107F"/>
    <w:rsid w:val="009B6D66"/>
    <w:rsid w:val="009D151F"/>
    <w:rsid w:val="009D716F"/>
    <w:rsid w:val="009E5B59"/>
    <w:rsid w:val="009E6DFD"/>
    <w:rsid w:val="009F4E4D"/>
    <w:rsid w:val="00A049C5"/>
    <w:rsid w:val="00A24314"/>
    <w:rsid w:val="00A33C18"/>
    <w:rsid w:val="00A37603"/>
    <w:rsid w:val="00A42A1B"/>
    <w:rsid w:val="00A42DC7"/>
    <w:rsid w:val="00A54DC5"/>
    <w:rsid w:val="00A579FB"/>
    <w:rsid w:val="00A606B6"/>
    <w:rsid w:val="00AA70E6"/>
    <w:rsid w:val="00AB167C"/>
    <w:rsid w:val="00AB70A7"/>
    <w:rsid w:val="00AD1053"/>
    <w:rsid w:val="00AD5B40"/>
    <w:rsid w:val="00AE2158"/>
    <w:rsid w:val="00AE33C7"/>
    <w:rsid w:val="00AE60D0"/>
    <w:rsid w:val="00AF448E"/>
    <w:rsid w:val="00AF6F07"/>
    <w:rsid w:val="00B0174A"/>
    <w:rsid w:val="00B04719"/>
    <w:rsid w:val="00B225D0"/>
    <w:rsid w:val="00B37B3D"/>
    <w:rsid w:val="00B40621"/>
    <w:rsid w:val="00B5204C"/>
    <w:rsid w:val="00B57211"/>
    <w:rsid w:val="00B659DC"/>
    <w:rsid w:val="00B6645C"/>
    <w:rsid w:val="00B74D2C"/>
    <w:rsid w:val="00B8218A"/>
    <w:rsid w:val="00B83F6E"/>
    <w:rsid w:val="00B94A02"/>
    <w:rsid w:val="00B97AFD"/>
    <w:rsid w:val="00BA066B"/>
    <w:rsid w:val="00BA35B2"/>
    <w:rsid w:val="00BA7B15"/>
    <w:rsid w:val="00BB3AD3"/>
    <w:rsid w:val="00BC5F7F"/>
    <w:rsid w:val="00BF30B5"/>
    <w:rsid w:val="00BF5D02"/>
    <w:rsid w:val="00C03601"/>
    <w:rsid w:val="00C04B53"/>
    <w:rsid w:val="00C44B4A"/>
    <w:rsid w:val="00C52664"/>
    <w:rsid w:val="00C6119C"/>
    <w:rsid w:val="00C766EC"/>
    <w:rsid w:val="00C92860"/>
    <w:rsid w:val="00C93290"/>
    <w:rsid w:val="00C933D9"/>
    <w:rsid w:val="00C94424"/>
    <w:rsid w:val="00CB6F8B"/>
    <w:rsid w:val="00CB7F2E"/>
    <w:rsid w:val="00CC755B"/>
    <w:rsid w:val="00CE5D94"/>
    <w:rsid w:val="00CF3A34"/>
    <w:rsid w:val="00D25C0D"/>
    <w:rsid w:val="00D31F1E"/>
    <w:rsid w:val="00D35CC7"/>
    <w:rsid w:val="00D3776B"/>
    <w:rsid w:val="00D41B41"/>
    <w:rsid w:val="00D43398"/>
    <w:rsid w:val="00D567A3"/>
    <w:rsid w:val="00D60899"/>
    <w:rsid w:val="00D61921"/>
    <w:rsid w:val="00D755A2"/>
    <w:rsid w:val="00D7649E"/>
    <w:rsid w:val="00DA1C7D"/>
    <w:rsid w:val="00DA7241"/>
    <w:rsid w:val="00DB07A2"/>
    <w:rsid w:val="00DB084E"/>
    <w:rsid w:val="00DB3BB1"/>
    <w:rsid w:val="00DC00C7"/>
    <w:rsid w:val="00DC1739"/>
    <w:rsid w:val="00DC38E1"/>
    <w:rsid w:val="00DC52D7"/>
    <w:rsid w:val="00DD5250"/>
    <w:rsid w:val="00DE5B2C"/>
    <w:rsid w:val="00DE6406"/>
    <w:rsid w:val="00E04D6A"/>
    <w:rsid w:val="00E074CF"/>
    <w:rsid w:val="00E25188"/>
    <w:rsid w:val="00E33005"/>
    <w:rsid w:val="00E45605"/>
    <w:rsid w:val="00E56D7A"/>
    <w:rsid w:val="00E71570"/>
    <w:rsid w:val="00E80A55"/>
    <w:rsid w:val="00E94944"/>
    <w:rsid w:val="00EB3B72"/>
    <w:rsid w:val="00EC2C6F"/>
    <w:rsid w:val="00EC40D0"/>
    <w:rsid w:val="00EE3853"/>
    <w:rsid w:val="00EE457B"/>
    <w:rsid w:val="00EE5D1C"/>
    <w:rsid w:val="00EE7CDB"/>
    <w:rsid w:val="00EF6B70"/>
    <w:rsid w:val="00F23F1A"/>
    <w:rsid w:val="00F25F04"/>
    <w:rsid w:val="00F3655C"/>
    <w:rsid w:val="00F50F54"/>
    <w:rsid w:val="00F51601"/>
    <w:rsid w:val="00F67414"/>
    <w:rsid w:val="00F70AAA"/>
    <w:rsid w:val="00F73C79"/>
    <w:rsid w:val="00F74490"/>
    <w:rsid w:val="00F74E8F"/>
    <w:rsid w:val="00F93576"/>
    <w:rsid w:val="00FA6E0E"/>
    <w:rsid w:val="00FB34B2"/>
    <w:rsid w:val="00FC27AB"/>
    <w:rsid w:val="00FF4DB2"/>
    <w:rsid w:val="00FF6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743A6"/>
  <w15:chartTrackingRefBased/>
  <w15:docId w15:val="{7916FF46-71CA-4FA0-A564-EE244331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850"/>
    <w:rPr>
      <w:rFonts w:ascii="Arial" w:hAnsi="Arial"/>
    </w:rPr>
  </w:style>
  <w:style w:type="paragraph" w:styleId="Heading1">
    <w:name w:val="heading 1"/>
    <w:basedOn w:val="Normal"/>
    <w:next w:val="Normal"/>
    <w:link w:val="Heading1Char"/>
    <w:uiPriority w:val="9"/>
    <w:qFormat/>
    <w:rsid w:val="00D35CC7"/>
    <w:pPr>
      <w:keepNext/>
      <w:keepLines/>
      <w:spacing w:before="360" w:after="80"/>
      <w:outlineLvl w:val="0"/>
    </w:pPr>
    <w:rPr>
      <w:rFonts w:eastAsiaTheme="majorEastAsia" w:cstheme="majorBidi"/>
      <w:b/>
      <w:color w:val="153D63" w:themeColor="text2" w:themeTint="E6"/>
      <w:sz w:val="36"/>
      <w:szCs w:val="40"/>
    </w:rPr>
  </w:style>
  <w:style w:type="paragraph" w:styleId="Heading2">
    <w:name w:val="heading 2"/>
    <w:basedOn w:val="Normal"/>
    <w:next w:val="Normal"/>
    <w:link w:val="Heading2Char"/>
    <w:uiPriority w:val="9"/>
    <w:unhideWhenUsed/>
    <w:qFormat/>
    <w:rsid w:val="00D35CC7"/>
    <w:pPr>
      <w:keepNext/>
      <w:keepLines/>
      <w:spacing w:before="160" w:after="80"/>
      <w:outlineLvl w:val="1"/>
    </w:pPr>
    <w:rPr>
      <w:rFonts w:eastAsiaTheme="majorEastAsia" w:cstheme="majorBidi"/>
      <w:b/>
      <w:color w:val="C00000"/>
      <w:sz w:val="32"/>
      <w:szCs w:val="32"/>
    </w:rPr>
  </w:style>
  <w:style w:type="paragraph" w:styleId="Heading3">
    <w:name w:val="heading 3"/>
    <w:basedOn w:val="Normal"/>
    <w:next w:val="Normal"/>
    <w:link w:val="Heading3Char"/>
    <w:uiPriority w:val="9"/>
    <w:unhideWhenUsed/>
    <w:qFormat/>
    <w:rsid w:val="00D35CC7"/>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7A4850"/>
    <w:pPr>
      <w:keepNext/>
      <w:keepLines/>
      <w:spacing w:before="80" w:after="40"/>
      <w:outlineLvl w:val="3"/>
    </w:pPr>
    <w:rPr>
      <w:rFonts w:asciiTheme="minorHAnsi" w:eastAsiaTheme="majorEastAsia" w:hAnsiTheme="minorHAnsi" w:cstheme="majorBidi"/>
      <w:iCs/>
      <w:color w:val="0F4761" w:themeColor="accent1" w:themeShade="BF"/>
    </w:rPr>
  </w:style>
  <w:style w:type="paragraph" w:styleId="Heading5">
    <w:name w:val="heading 5"/>
    <w:basedOn w:val="Normal"/>
    <w:next w:val="Normal"/>
    <w:link w:val="Heading5Char"/>
    <w:uiPriority w:val="9"/>
    <w:semiHidden/>
    <w:unhideWhenUsed/>
    <w:qFormat/>
    <w:rsid w:val="007A48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48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48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48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48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CC7"/>
    <w:rPr>
      <w:rFonts w:ascii="Arial" w:eastAsiaTheme="majorEastAsia" w:hAnsi="Arial" w:cstheme="majorBidi"/>
      <w:b/>
      <w:color w:val="153D63" w:themeColor="text2" w:themeTint="E6"/>
      <w:sz w:val="36"/>
      <w:szCs w:val="40"/>
      <w:lang w:val="en-GB"/>
    </w:rPr>
  </w:style>
  <w:style w:type="character" w:customStyle="1" w:styleId="Heading2Char">
    <w:name w:val="Heading 2 Char"/>
    <w:basedOn w:val="DefaultParagraphFont"/>
    <w:link w:val="Heading2"/>
    <w:uiPriority w:val="9"/>
    <w:rsid w:val="00D35CC7"/>
    <w:rPr>
      <w:rFonts w:ascii="Arial" w:eastAsiaTheme="majorEastAsia" w:hAnsi="Arial" w:cstheme="majorBidi"/>
      <w:b/>
      <w:color w:val="C00000"/>
      <w:sz w:val="32"/>
      <w:szCs w:val="32"/>
      <w:lang w:val="en-GB"/>
    </w:rPr>
  </w:style>
  <w:style w:type="character" w:customStyle="1" w:styleId="Heading3Char">
    <w:name w:val="Heading 3 Char"/>
    <w:basedOn w:val="DefaultParagraphFont"/>
    <w:link w:val="Heading3"/>
    <w:uiPriority w:val="9"/>
    <w:rsid w:val="00D35CC7"/>
    <w:rPr>
      <w:rFonts w:ascii="Arial" w:eastAsiaTheme="majorEastAsia" w:hAnsi="Arial" w:cstheme="majorBidi"/>
      <w:b/>
      <w:color w:val="000000" w:themeColor="text1"/>
      <w:sz w:val="28"/>
      <w:szCs w:val="28"/>
      <w:lang w:val="en-GB"/>
    </w:rPr>
  </w:style>
  <w:style w:type="character" w:customStyle="1" w:styleId="Heading4Char">
    <w:name w:val="Heading 4 Char"/>
    <w:basedOn w:val="DefaultParagraphFont"/>
    <w:link w:val="Heading4"/>
    <w:uiPriority w:val="9"/>
    <w:semiHidden/>
    <w:rsid w:val="007A4850"/>
    <w:rPr>
      <w:rFonts w:eastAsiaTheme="majorEastAsia" w:cstheme="majorBidi"/>
      <w:iCs/>
      <w:color w:val="0F4761" w:themeColor="accent1" w:themeShade="BF"/>
      <w:lang w:val="en-GB"/>
    </w:rPr>
  </w:style>
  <w:style w:type="character" w:customStyle="1" w:styleId="Heading5Char">
    <w:name w:val="Heading 5 Char"/>
    <w:basedOn w:val="DefaultParagraphFont"/>
    <w:link w:val="Heading5"/>
    <w:uiPriority w:val="9"/>
    <w:semiHidden/>
    <w:rsid w:val="007A485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A485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A485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A485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A485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A4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85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A48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85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A4850"/>
    <w:pPr>
      <w:spacing w:before="160"/>
      <w:jc w:val="center"/>
    </w:pPr>
    <w:rPr>
      <w:i/>
      <w:iCs/>
      <w:color w:val="404040" w:themeColor="text1" w:themeTint="BF"/>
    </w:rPr>
  </w:style>
  <w:style w:type="character" w:customStyle="1" w:styleId="QuoteChar">
    <w:name w:val="Quote Char"/>
    <w:basedOn w:val="DefaultParagraphFont"/>
    <w:link w:val="Quote"/>
    <w:uiPriority w:val="29"/>
    <w:rsid w:val="007A4850"/>
    <w:rPr>
      <w:rFonts w:ascii="Arial" w:hAnsi="Arial"/>
      <w:i/>
      <w:iCs/>
      <w:color w:val="404040" w:themeColor="text1" w:themeTint="BF"/>
      <w:lang w:val="en-GB"/>
    </w:rPr>
  </w:style>
  <w:style w:type="paragraph" w:styleId="ListParagraph">
    <w:name w:val="List Paragraph"/>
    <w:basedOn w:val="Normal"/>
    <w:uiPriority w:val="34"/>
    <w:qFormat/>
    <w:rsid w:val="007A4850"/>
    <w:pPr>
      <w:ind w:left="720"/>
      <w:contextualSpacing/>
    </w:pPr>
  </w:style>
  <w:style w:type="character" w:styleId="IntenseEmphasis">
    <w:name w:val="Intense Emphasis"/>
    <w:basedOn w:val="DefaultParagraphFont"/>
    <w:uiPriority w:val="21"/>
    <w:qFormat/>
    <w:rsid w:val="007A4850"/>
    <w:rPr>
      <w:i/>
      <w:iCs/>
      <w:color w:val="0F4761" w:themeColor="accent1" w:themeShade="BF"/>
    </w:rPr>
  </w:style>
  <w:style w:type="paragraph" w:styleId="IntenseQuote">
    <w:name w:val="Intense Quote"/>
    <w:basedOn w:val="Normal"/>
    <w:next w:val="Normal"/>
    <w:link w:val="IntenseQuoteChar"/>
    <w:uiPriority w:val="30"/>
    <w:qFormat/>
    <w:rsid w:val="007A4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850"/>
    <w:rPr>
      <w:rFonts w:ascii="Arial" w:hAnsi="Arial"/>
      <w:i/>
      <w:iCs/>
      <w:color w:val="0F4761" w:themeColor="accent1" w:themeShade="BF"/>
      <w:lang w:val="en-GB"/>
    </w:rPr>
  </w:style>
  <w:style w:type="character" w:styleId="IntenseReference">
    <w:name w:val="Intense Reference"/>
    <w:basedOn w:val="DefaultParagraphFont"/>
    <w:uiPriority w:val="32"/>
    <w:qFormat/>
    <w:rsid w:val="007A4850"/>
    <w:rPr>
      <w:b/>
      <w:bCs/>
      <w:smallCaps/>
      <w:color w:val="0F4761" w:themeColor="accent1" w:themeShade="BF"/>
      <w:spacing w:val="5"/>
    </w:rPr>
  </w:style>
  <w:style w:type="paragraph" w:styleId="FootnoteText">
    <w:name w:val="footnote text"/>
    <w:basedOn w:val="Normal"/>
    <w:link w:val="FootnoteTextChar"/>
    <w:uiPriority w:val="99"/>
    <w:semiHidden/>
    <w:unhideWhenUsed/>
    <w:rsid w:val="003D3D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D2C"/>
    <w:rPr>
      <w:rFonts w:ascii="Arial" w:hAnsi="Arial"/>
      <w:sz w:val="20"/>
      <w:szCs w:val="20"/>
      <w:lang w:val="en-GB"/>
    </w:rPr>
  </w:style>
  <w:style w:type="character" w:styleId="FootnoteReference">
    <w:name w:val="footnote reference"/>
    <w:basedOn w:val="DefaultParagraphFont"/>
    <w:uiPriority w:val="99"/>
    <w:unhideWhenUsed/>
    <w:rsid w:val="003D3D2C"/>
    <w:rPr>
      <w:vertAlign w:val="superscript"/>
    </w:rPr>
  </w:style>
  <w:style w:type="character" w:styleId="Hyperlink">
    <w:name w:val="Hyperlink"/>
    <w:basedOn w:val="DefaultParagraphFont"/>
    <w:uiPriority w:val="99"/>
    <w:unhideWhenUsed/>
    <w:rsid w:val="0025236F"/>
    <w:rPr>
      <w:color w:val="467886" w:themeColor="hyperlink"/>
      <w:u w:val="single"/>
    </w:rPr>
  </w:style>
  <w:style w:type="character" w:styleId="UnresolvedMention">
    <w:name w:val="Unresolved Mention"/>
    <w:basedOn w:val="DefaultParagraphFont"/>
    <w:uiPriority w:val="99"/>
    <w:semiHidden/>
    <w:unhideWhenUsed/>
    <w:rsid w:val="0025236F"/>
    <w:rPr>
      <w:color w:val="605E5C"/>
      <w:shd w:val="clear" w:color="auto" w:fill="E1DFDD"/>
    </w:rPr>
  </w:style>
  <w:style w:type="paragraph" w:styleId="Header">
    <w:name w:val="header"/>
    <w:basedOn w:val="Normal"/>
    <w:link w:val="HeaderChar"/>
    <w:uiPriority w:val="99"/>
    <w:unhideWhenUsed/>
    <w:rsid w:val="00BA06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066B"/>
    <w:rPr>
      <w:rFonts w:ascii="Arial" w:hAnsi="Arial"/>
    </w:rPr>
  </w:style>
  <w:style w:type="paragraph" w:styleId="Footer">
    <w:name w:val="footer"/>
    <w:basedOn w:val="Normal"/>
    <w:link w:val="FooterChar"/>
    <w:uiPriority w:val="99"/>
    <w:unhideWhenUsed/>
    <w:rsid w:val="00BA06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066B"/>
    <w:rPr>
      <w:rFonts w:ascii="Arial" w:hAnsi="Arial"/>
    </w:rPr>
  </w:style>
  <w:style w:type="paragraph" w:styleId="Revision">
    <w:name w:val="Revision"/>
    <w:hidden/>
    <w:uiPriority w:val="99"/>
    <w:semiHidden/>
    <w:rsid w:val="006B393B"/>
    <w:pPr>
      <w:spacing w:after="0" w:line="240" w:lineRule="auto"/>
    </w:pPr>
    <w:rPr>
      <w:rFonts w:ascii="Arial" w:hAnsi="Arial"/>
    </w:rPr>
  </w:style>
  <w:style w:type="character" w:styleId="CommentReference">
    <w:name w:val="annotation reference"/>
    <w:basedOn w:val="DefaultParagraphFont"/>
    <w:uiPriority w:val="99"/>
    <w:semiHidden/>
    <w:unhideWhenUsed/>
    <w:rsid w:val="00C6119C"/>
    <w:rPr>
      <w:sz w:val="16"/>
      <w:szCs w:val="16"/>
    </w:rPr>
  </w:style>
  <w:style w:type="paragraph" w:styleId="CommentText">
    <w:name w:val="annotation text"/>
    <w:basedOn w:val="Normal"/>
    <w:link w:val="CommentTextChar"/>
    <w:uiPriority w:val="99"/>
    <w:unhideWhenUsed/>
    <w:rsid w:val="00C6119C"/>
    <w:pPr>
      <w:spacing w:line="240" w:lineRule="auto"/>
    </w:pPr>
    <w:rPr>
      <w:sz w:val="20"/>
      <w:szCs w:val="20"/>
    </w:rPr>
  </w:style>
  <w:style w:type="character" w:customStyle="1" w:styleId="CommentTextChar">
    <w:name w:val="Comment Text Char"/>
    <w:basedOn w:val="DefaultParagraphFont"/>
    <w:link w:val="CommentText"/>
    <w:uiPriority w:val="99"/>
    <w:rsid w:val="00C611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119C"/>
    <w:rPr>
      <w:b/>
      <w:bCs/>
    </w:rPr>
  </w:style>
  <w:style w:type="character" w:customStyle="1" w:styleId="CommentSubjectChar">
    <w:name w:val="Comment Subject Char"/>
    <w:basedOn w:val="CommentTextChar"/>
    <w:link w:val="CommentSubject"/>
    <w:uiPriority w:val="99"/>
    <w:semiHidden/>
    <w:rsid w:val="00C6119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f-feph.org/content/uploads/2023/05/Presentation-ERGA_AVMS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bs.coe.int/en/web/observatoire/-/new-mapping-report-accessibility-measures-as-implemented-by-avms-providers-for-persons-with-disabilit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un.org/en/CRPD/C/EU/CO/2-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df-feph.org/content/uploads/2023/05/Presentation-ERGA_AVMSD.pdf" TargetMode="External"/><Relationship Id="rId7" Type="http://schemas.openxmlformats.org/officeDocument/2006/relationships/hyperlink" Target="https://rm.coe.int/accessibility-measures-as-implemented-by-avms-providers-for-persons-wi/1680aefb42" TargetMode="External"/><Relationship Id="rId2" Type="http://schemas.openxmlformats.org/officeDocument/2006/relationships/hyperlink" Target="https://www.dianariba.com/wp-content/uploads/2024/02/Monitoring20languages_20240125-comprimido.pdf" TargetMode="External"/><Relationship Id="rId1" Type="http://schemas.openxmlformats.org/officeDocument/2006/relationships/hyperlink" Target="https://www.obs.coe.int/en/web/observatoire/-/new-mapping-report-accessibility-measures-as-implemented-by-avms-providers-for-persons-with-disabilities" TargetMode="External"/><Relationship Id="rId6" Type="http://schemas.openxmlformats.org/officeDocument/2006/relationships/hyperlink" Target="https://www.ebu.ch/publications/research/members_only/report/msp-services-dacces" TargetMode="External"/><Relationship Id="rId5" Type="http://schemas.openxmlformats.org/officeDocument/2006/relationships/hyperlink" Target="https://rm.coe.int/accessibility-measures-as-implemented-by-avms-providers-for-persons-wi/1680aefb42" TargetMode="External"/><Relationship Id="rId4" Type="http://schemas.openxmlformats.org/officeDocument/2006/relationships/hyperlink" Target="https://rm.coe.int/accessibility-measures-as-implemented-by-avms-providers-for-persons-wi/1680aefb42"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09193b-fc47-4219-a883-12ef0cde8689">
      <Terms xmlns="http://schemas.microsoft.com/office/infopath/2007/PartnerControls"/>
    </lcf76f155ced4ddcb4097134ff3c332f>
    <TaxCatchAll xmlns="252f4827-23ce-43c5-a232-6be14f1d3f5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DAF37-222D-46AE-9D62-9DA3B5AB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A8EE1-CD86-4C3C-AB55-F5DFB61B23F2}">
  <ds:schemaRefs>
    <ds:schemaRef ds:uri="http://schemas.microsoft.com/sharepoint/v3/contenttype/forms"/>
  </ds:schemaRefs>
</ds:datastoreItem>
</file>

<file path=customXml/itemProps3.xml><?xml version="1.0" encoding="utf-8"?>
<ds:datastoreItem xmlns:ds="http://schemas.openxmlformats.org/officeDocument/2006/customXml" ds:itemID="{92279D78-9964-4594-9570-D0DB83363FA1}">
  <ds:schemaRef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252f4827-23ce-43c5-a232-6be14f1d3f55"/>
    <ds:schemaRef ds:uri="http://schemas.microsoft.com/office/infopath/2007/PartnerControls"/>
    <ds:schemaRef ds:uri="1109193b-fc47-4219-a883-12ef0cde868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7EEC570-EE56-4809-8141-994A8E12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Daniel Casas</cp:lastModifiedBy>
  <cp:revision>2</cp:revision>
  <dcterms:created xsi:type="dcterms:W3CDTF">2026-05-18T08:02:00Z</dcterms:created>
  <dcterms:modified xsi:type="dcterms:W3CDTF">2026-05-18T08:02:00Z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0x01010085A93ADCB5E9954D932071C14D018D3D</vt:lpwstr>
  </property>
  <property fmtid="{D5CDD505-2E9C-101B-9397-08002B2CF9AE}" pid="3" name="MediaServiceImageTags">
    <vt:lpwstr/>
  </property>
  <property fmtid="{D5CDD505-2E9C-101B-9397-08002B2CF9AE}" pid="4" name="GrammarlyDocumentId">
    <vt:lpwstr>52c26294-9c2b-471a-bb82-c1addd926c30</vt:lpwstr>
  </property>
</Properties>
</file>