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A82A" w14:textId="77777777" w:rsidR="008054A7" w:rsidRPr="00CE713D" w:rsidRDefault="008054A7" w:rsidP="00541EBA">
      <w:pPr>
        <w:spacing w:before="240"/>
        <w:jc w:val="center"/>
      </w:pPr>
      <w:r w:rsidRPr="00CE713D">
        <w:rPr>
          <w:noProof/>
        </w:rPr>
        <mc:AlternateContent>
          <mc:Choice Requires="wps">
            <w:drawing>
              <wp:anchor distT="0" distB="0" distL="114300" distR="114300" simplePos="0" relativeHeight="251658241"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67AC0" id="Rectangle 6" o:spid="_x0000_s1026" alt="&quot;&quot;" style="position:absolute;margin-left:0;margin-top:-47pt;width:528.85pt;height:790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CE713D">
        <w:rPr>
          <w:noProof/>
        </w:rPr>
        <mc:AlternateContent>
          <mc:Choice Requires="wps">
            <w:drawing>
              <wp:anchor distT="0" distB="0" distL="114300" distR="114300" simplePos="0" relativeHeight="251658240"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C7BC0D" id="Rectangle 1" o:spid="_x0000_s1026" alt="&quot;&quot;" style="position:absolute;margin-left:0;margin-top:-72.15pt;width:593.55pt;height:870.6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sidRPr="00CE713D">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599C845" w14:textId="21EE5BB4" w:rsidR="00A8410F" w:rsidRPr="00CE713D" w:rsidRDefault="00A8410F" w:rsidP="00A8410F">
      <w:pPr>
        <w:pStyle w:val="Title"/>
        <w:spacing w:before="360"/>
      </w:pPr>
      <w:r w:rsidRPr="00CE713D">
        <w:t>EU Strategy on the Rights of Persons with Disabilities: Assessment of action</w:t>
      </w:r>
      <w:r w:rsidR="00CE0B2F">
        <w:t>s</w:t>
      </w:r>
      <w:r w:rsidRPr="00CE713D">
        <w:t xml:space="preserve"> 2026-2030</w:t>
      </w:r>
    </w:p>
    <w:p w14:paraId="2F1DDA4B" w14:textId="77777777" w:rsidR="008054A7" w:rsidRPr="00CE713D" w:rsidRDefault="00E47FF5" w:rsidP="00355289">
      <w:pPr>
        <w:pStyle w:val="Subtitle"/>
        <w:spacing w:before="480"/>
      </w:pPr>
      <w:r w:rsidRPr="00CE713D">
        <w:t xml:space="preserve">European Disability </w:t>
      </w:r>
      <w:r w:rsidR="00606390" w:rsidRPr="00CE713D">
        <w:t xml:space="preserve">Forum </w:t>
      </w:r>
      <w:r w:rsidRPr="00CE713D">
        <w:t>Position Paper</w:t>
      </w:r>
    </w:p>
    <w:p w14:paraId="274C3861" w14:textId="288C1F0C" w:rsidR="00D11DAB" w:rsidRPr="00CE713D" w:rsidRDefault="00D11DAB" w:rsidP="00D11DAB">
      <w:pPr>
        <w:pStyle w:val="Subtitle"/>
        <w:spacing w:after="360"/>
      </w:pPr>
      <w:r w:rsidRPr="00CE713D">
        <w:rPr>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31E13EF3">
                <wp:simplePos x="0" y="0"/>
                <wp:positionH relativeFrom="page">
                  <wp:align>right</wp:align>
                </wp:positionH>
                <wp:positionV relativeFrom="paragraph">
                  <wp:posOffset>462412</wp:posOffset>
                </wp:positionV>
                <wp:extent cx="7549116" cy="836908"/>
                <wp:effectExtent l="0" t="0" r="13970" b="209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836908"/>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46A75" id="Rectangle 3" o:spid="_x0000_s1026" alt="&quot;&quot;" style="position:absolute;margin-left:543.2pt;margin-top:36.4pt;width:594.4pt;height:65.9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" fillcolor="#a20000" strokecolor="#1f3763 [1604]" strokeweight="1pt">
                <w10:wrap anchorx="page"/>
              </v:rect>
            </w:pict>
          </mc:Fallback>
        </mc:AlternateContent>
      </w:r>
      <w:r w:rsidR="00A8410F" w:rsidRPr="00CE713D">
        <w:t>May</w:t>
      </w:r>
      <w:r w:rsidRPr="00CE713D">
        <w:t xml:space="preserve"> </w:t>
      </w:r>
      <w:r w:rsidR="00606390" w:rsidRPr="00CE713D">
        <w:t>202</w:t>
      </w:r>
      <w:r w:rsidR="00A8410F" w:rsidRPr="00CE713D">
        <w:t>6</w:t>
      </w:r>
    </w:p>
    <w:p w14:paraId="321B9F81" w14:textId="2440A49F" w:rsidR="00E62CBF" w:rsidRPr="00CE713D" w:rsidRDefault="00247E84" w:rsidP="00D11DAB">
      <w:pPr>
        <w:spacing w:before="360" w:after="840"/>
        <w:rPr>
          <w:b/>
          <w:bCs/>
          <w:color w:val="FFFFFF" w:themeColor="background1"/>
          <w:sz w:val="28"/>
          <w:szCs w:val="28"/>
        </w:rPr>
      </w:pPr>
      <w:r>
        <w:rPr>
          <w:b/>
          <w:bCs/>
          <w:color w:val="FFFFFF" w:themeColor="background1"/>
          <w:sz w:val="28"/>
          <w:szCs w:val="28"/>
        </w:rPr>
        <w:t xml:space="preserve">Analysis of the European Commission communication: “Enhancing the </w:t>
      </w:r>
      <w:r w:rsidR="00E41BF9">
        <w:rPr>
          <w:b/>
          <w:bCs/>
          <w:color w:val="FFFFFF" w:themeColor="background1"/>
          <w:sz w:val="28"/>
          <w:szCs w:val="28"/>
        </w:rPr>
        <w:t>strategy for the rights of persons with disabilities up to 2030</w:t>
      </w:r>
      <w:r>
        <w:rPr>
          <w:b/>
          <w:bCs/>
          <w:color w:val="FFFFFF" w:themeColor="background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tblGrid>
      <w:tr w:rsidR="008F664D" w:rsidRPr="00CE713D" w14:paraId="5EA8385F" w14:textId="77777777" w:rsidTr="001E0F08">
        <w:tc>
          <w:tcPr>
            <w:tcW w:w="2245" w:type="dxa"/>
          </w:tcPr>
          <w:p w14:paraId="68C2EF87" w14:textId="77777777" w:rsidR="008F664D" w:rsidRPr="00CE713D" w:rsidRDefault="008F664D" w:rsidP="001E0F08">
            <w:pPr>
              <w:rPr>
                <w:color w:val="FFFFFF" w:themeColor="background1"/>
                <w:lang w:eastAsia="zh-CN" w:bidi="hi-IN"/>
              </w:rPr>
            </w:pPr>
            <w:r w:rsidRPr="00CE713D">
              <w:rPr>
                <w:noProof/>
              </w:rPr>
              <w:drawing>
                <wp:anchor distT="0" distB="0" distL="114300" distR="114300" simplePos="0" relativeHeight="251658244" behindDoc="1" locked="0" layoutInCell="1" allowOverlap="1" wp14:anchorId="6982BC2A" wp14:editId="009295E2">
                  <wp:simplePos x="0" y="0"/>
                  <wp:positionH relativeFrom="column">
                    <wp:posOffset>-68580</wp:posOffset>
                  </wp:positionH>
                  <wp:positionV relativeFrom="paragraph">
                    <wp:posOffset>-42545</wp:posOffset>
                  </wp:positionV>
                  <wp:extent cx="1249648" cy="1266825"/>
                  <wp:effectExtent l="0" t="0" r="0" b="0"/>
                  <wp:wrapNone/>
                  <wp:docPr id="61490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9648"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877E3C" w14:textId="77777777" w:rsidR="00A9576D" w:rsidRPr="00CE713D" w:rsidRDefault="00A9576D" w:rsidP="00D235C8">
      <w:pPr>
        <w:pStyle w:val="Heading1"/>
        <w:pageBreakBefore/>
        <w:tabs>
          <w:tab w:val="left" w:pos="3495"/>
        </w:tabs>
      </w:pPr>
      <w:bookmarkStart w:id="0" w:name="_Toc235203112"/>
      <w:r w:rsidRPr="00CE713D">
        <w:lastRenderedPageBreak/>
        <w:t>Table of Contents</w:t>
      </w:r>
      <w:bookmarkEnd w:id="0"/>
      <w:r w:rsidR="00D235C8" w:rsidRPr="00CE713D">
        <w:tab/>
      </w:r>
    </w:p>
    <w:p w14:paraId="3E1A2496" w14:textId="7AA2E578" w:rsidR="00B81A67" w:rsidRDefault="00A9576D">
      <w:pPr>
        <w:pStyle w:val="TOC1"/>
        <w:tabs>
          <w:tab w:val="right" w:leader="dot" w:pos="9016"/>
        </w:tabs>
        <w:rPr>
          <w:rFonts w:asciiTheme="minorHAnsi" w:eastAsiaTheme="minorEastAsia" w:hAnsiTheme="minorHAnsi"/>
          <w:noProof/>
          <w:kern w:val="2"/>
          <w:szCs w:val="24"/>
          <w:lang w:eastAsia="en-GB"/>
          <w14:ligatures w14:val="standardContextual"/>
        </w:rPr>
      </w:pPr>
      <w:r w:rsidRPr="00CE713D">
        <w:fldChar w:fldCharType="begin"/>
      </w:r>
      <w:r w:rsidRPr="00CE713D">
        <w:instrText xml:space="preserve"> TOC \o "1-2" \h \z \u </w:instrText>
      </w:r>
      <w:r w:rsidRPr="00CE713D">
        <w:fldChar w:fldCharType="separate"/>
      </w:r>
      <w:hyperlink w:anchor="_Toc235203112" w:history="1">
        <w:r w:rsidR="00B81A67" w:rsidRPr="00FC351C">
          <w:rPr>
            <w:rStyle w:val="Hyperlink"/>
            <w:noProof/>
          </w:rPr>
          <w:t>Table of Contents</w:t>
        </w:r>
        <w:r w:rsidR="00B81A67">
          <w:rPr>
            <w:noProof/>
            <w:webHidden/>
          </w:rPr>
          <w:tab/>
        </w:r>
        <w:r w:rsidR="00B81A67">
          <w:rPr>
            <w:noProof/>
            <w:webHidden/>
          </w:rPr>
          <w:fldChar w:fldCharType="begin"/>
        </w:r>
        <w:r w:rsidR="00B81A67">
          <w:rPr>
            <w:noProof/>
            <w:webHidden/>
          </w:rPr>
          <w:instrText xml:space="preserve"> PAGEREF _Toc235203112 \h </w:instrText>
        </w:r>
        <w:r w:rsidR="00B81A67">
          <w:rPr>
            <w:noProof/>
            <w:webHidden/>
          </w:rPr>
        </w:r>
        <w:r w:rsidR="00B81A67">
          <w:rPr>
            <w:noProof/>
            <w:webHidden/>
          </w:rPr>
          <w:fldChar w:fldCharType="separate"/>
        </w:r>
        <w:r w:rsidR="00B81A67">
          <w:rPr>
            <w:noProof/>
            <w:webHidden/>
          </w:rPr>
          <w:t>3</w:t>
        </w:r>
        <w:r w:rsidR="00B81A67">
          <w:rPr>
            <w:noProof/>
            <w:webHidden/>
          </w:rPr>
          <w:fldChar w:fldCharType="end"/>
        </w:r>
      </w:hyperlink>
    </w:p>
    <w:p w14:paraId="0BFA736D" w14:textId="75357068" w:rsidR="00B81A67" w:rsidRDefault="00B81A6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5203113" w:history="1">
        <w:r w:rsidRPr="00FC351C">
          <w:rPr>
            <w:rStyle w:val="Hyperlink"/>
            <w:noProof/>
          </w:rPr>
          <w:t>Introduction</w:t>
        </w:r>
        <w:r>
          <w:rPr>
            <w:noProof/>
            <w:webHidden/>
          </w:rPr>
          <w:tab/>
        </w:r>
        <w:r>
          <w:rPr>
            <w:noProof/>
            <w:webHidden/>
          </w:rPr>
          <w:fldChar w:fldCharType="begin"/>
        </w:r>
        <w:r>
          <w:rPr>
            <w:noProof/>
            <w:webHidden/>
          </w:rPr>
          <w:instrText xml:space="preserve"> PAGEREF _Toc235203113 \h </w:instrText>
        </w:r>
        <w:r>
          <w:rPr>
            <w:noProof/>
            <w:webHidden/>
          </w:rPr>
        </w:r>
        <w:r>
          <w:rPr>
            <w:noProof/>
            <w:webHidden/>
          </w:rPr>
          <w:fldChar w:fldCharType="separate"/>
        </w:r>
        <w:r>
          <w:rPr>
            <w:noProof/>
            <w:webHidden/>
          </w:rPr>
          <w:t>3</w:t>
        </w:r>
        <w:r>
          <w:rPr>
            <w:noProof/>
            <w:webHidden/>
          </w:rPr>
          <w:fldChar w:fldCharType="end"/>
        </w:r>
      </w:hyperlink>
    </w:p>
    <w:p w14:paraId="222AC36A" w14:textId="3CE1CBAC"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14" w:history="1">
        <w:r w:rsidRPr="00FC351C">
          <w:rPr>
            <w:rStyle w:val="Hyperlink"/>
            <w:noProof/>
          </w:rPr>
          <w:t>Executive Summary</w:t>
        </w:r>
        <w:r>
          <w:rPr>
            <w:noProof/>
            <w:webHidden/>
          </w:rPr>
          <w:tab/>
        </w:r>
        <w:r>
          <w:rPr>
            <w:noProof/>
            <w:webHidden/>
          </w:rPr>
          <w:fldChar w:fldCharType="begin"/>
        </w:r>
        <w:r>
          <w:rPr>
            <w:noProof/>
            <w:webHidden/>
          </w:rPr>
          <w:instrText xml:space="preserve"> PAGEREF _Toc235203114 \h </w:instrText>
        </w:r>
        <w:r>
          <w:rPr>
            <w:noProof/>
            <w:webHidden/>
          </w:rPr>
        </w:r>
        <w:r>
          <w:rPr>
            <w:noProof/>
            <w:webHidden/>
          </w:rPr>
          <w:fldChar w:fldCharType="separate"/>
        </w:r>
        <w:r>
          <w:rPr>
            <w:noProof/>
            <w:webHidden/>
          </w:rPr>
          <w:t>3</w:t>
        </w:r>
        <w:r>
          <w:rPr>
            <w:noProof/>
            <w:webHidden/>
          </w:rPr>
          <w:fldChar w:fldCharType="end"/>
        </w:r>
      </w:hyperlink>
    </w:p>
    <w:p w14:paraId="5D97706E" w14:textId="27A174FE"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15" w:history="1">
        <w:r w:rsidRPr="00FC351C">
          <w:rPr>
            <w:rStyle w:val="Hyperlink"/>
            <w:noProof/>
          </w:rPr>
          <w:t>Types of actions in the enhanced strategy</w:t>
        </w:r>
        <w:r>
          <w:rPr>
            <w:noProof/>
            <w:webHidden/>
          </w:rPr>
          <w:tab/>
        </w:r>
        <w:r>
          <w:rPr>
            <w:noProof/>
            <w:webHidden/>
          </w:rPr>
          <w:fldChar w:fldCharType="begin"/>
        </w:r>
        <w:r>
          <w:rPr>
            <w:noProof/>
            <w:webHidden/>
          </w:rPr>
          <w:instrText xml:space="preserve"> PAGEREF _Toc235203115 \h </w:instrText>
        </w:r>
        <w:r>
          <w:rPr>
            <w:noProof/>
            <w:webHidden/>
          </w:rPr>
        </w:r>
        <w:r>
          <w:rPr>
            <w:noProof/>
            <w:webHidden/>
          </w:rPr>
          <w:fldChar w:fldCharType="separate"/>
        </w:r>
        <w:r>
          <w:rPr>
            <w:noProof/>
            <w:webHidden/>
          </w:rPr>
          <w:t>4</w:t>
        </w:r>
        <w:r>
          <w:rPr>
            <w:noProof/>
            <w:webHidden/>
          </w:rPr>
          <w:fldChar w:fldCharType="end"/>
        </w:r>
      </w:hyperlink>
    </w:p>
    <w:p w14:paraId="15C10B46" w14:textId="6458C6E0"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16" w:history="1">
        <w:r w:rsidRPr="00FC351C">
          <w:rPr>
            <w:rStyle w:val="Hyperlink"/>
            <w:noProof/>
          </w:rPr>
          <w:t>Legislation in the enhanced strategy</w:t>
        </w:r>
        <w:r>
          <w:rPr>
            <w:noProof/>
            <w:webHidden/>
          </w:rPr>
          <w:tab/>
        </w:r>
        <w:r>
          <w:rPr>
            <w:noProof/>
            <w:webHidden/>
          </w:rPr>
          <w:fldChar w:fldCharType="begin"/>
        </w:r>
        <w:r>
          <w:rPr>
            <w:noProof/>
            <w:webHidden/>
          </w:rPr>
          <w:instrText xml:space="preserve"> PAGEREF _Toc235203116 \h </w:instrText>
        </w:r>
        <w:r>
          <w:rPr>
            <w:noProof/>
            <w:webHidden/>
          </w:rPr>
        </w:r>
        <w:r>
          <w:rPr>
            <w:noProof/>
            <w:webHidden/>
          </w:rPr>
          <w:fldChar w:fldCharType="separate"/>
        </w:r>
        <w:r>
          <w:rPr>
            <w:noProof/>
            <w:webHidden/>
          </w:rPr>
          <w:t>5</w:t>
        </w:r>
        <w:r>
          <w:rPr>
            <w:noProof/>
            <w:webHidden/>
          </w:rPr>
          <w:fldChar w:fldCharType="end"/>
        </w:r>
      </w:hyperlink>
    </w:p>
    <w:p w14:paraId="29DA31B5" w14:textId="6D565D68"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17" w:history="1">
        <w:r w:rsidRPr="00FC351C">
          <w:rPr>
            <w:rStyle w:val="Hyperlink"/>
            <w:noProof/>
          </w:rPr>
          <w:t>Calls to the Member States</w:t>
        </w:r>
        <w:r>
          <w:rPr>
            <w:noProof/>
            <w:webHidden/>
          </w:rPr>
          <w:tab/>
        </w:r>
        <w:r>
          <w:rPr>
            <w:noProof/>
            <w:webHidden/>
          </w:rPr>
          <w:fldChar w:fldCharType="begin"/>
        </w:r>
        <w:r>
          <w:rPr>
            <w:noProof/>
            <w:webHidden/>
          </w:rPr>
          <w:instrText xml:space="preserve"> PAGEREF _Toc235203117 \h </w:instrText>
        </w:r>
        <w:r>
          <w:rPr>
            <w:noProof/>
            <w:webHidden/>
          </w:rPr>
        </w:r>
        <w:r>
          <w:rPr>
            <w:noProof/>
            <w:webHidden/>
          </w:rPr>
          <w:fldChar w:fldCharType="separate"/>
        </w:r>
        <w:r>
          <w:rPr>
            <w:noProof/>
            <w:webHidden/>
          </w:rPr>
          <w:t>5</w:t>
        </w:r>
        <w:r>
          <w:rPr>
            <w:noProof/>
            <w:webHidden/>
          </w:rPr>
          <w:fldChar w:fldCharType="end"/>
        </w:r>
      </w:hyperlink>
    </w:p>
    <w:p w14:paraId="32B1A5DA" w14:textId="31027D1B"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18" w:history="1">
        <w:r w:rsidRPr="00FC351C">
          <w:rPr>
            <w:rStyle w:val="Hyperlink"/>
            <w:noProof/>
          </w:rPr>
          <w:t>Actions that are not new</w:t>
        </w:r>
        <w:r>
          <w:rPr>
            <w:noProof/>
            <w:webHidden/>
          </w:rPr>
          <w:tab/>
        </w:r>
        <w:r>
          <w:rPr>
            <w:noProof/>
            <w:webHidden/>
          </w:rPr>
          <w:fldChar w:fldCharType="begin"/>
        </w:r>
        <w:r>
          <w:rPr>
            <w:noProof/>
            <w:webHidden/>
          </w:rPr>
          <w:instrText xml:space="preserve"> PAGEREF _Toc235203118 \h </w:instrText>
        </w:r>
        <w:r>
          <w:rPr>
            <w:noProof/>
            <w:webHidden/>
          </w:rPr>
        </w:r>
        <w:r>
          <w:rPr>
            <w:noProof/>
            <w:webHidden/>
          </w:rPr>
          <w:fldChar w:fldCharType="separate"/>
        </w:r>
        <w:r>
          <w:rPr>
            <w:noProof/>
            <w:webHidden/>
          </w:rPr>
          <w:t>6</w:t>
        </w:r>
        <w:r>
          <w:rPr>
            <w:noProof/>
            <w:webHidden/>
          </w:rPr>
          <w:fldChar w:fldCharType="end"/>
        </w:r>
      </w:hyperlink>
    </w:p>
    <w:p w14:paraId="64345F67" w14:textId="04A3FD94"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19" w:history="1">
        <w:r w:rsidRPr="00FC351C">
          <w:rPr>
            <w:rStyle w:val="Hyperlink"/>
            <w:noProof/>
          </w:rPr>
          <w:t>Inclusion of EDF’s demands in the enhanced strategy</w:t>
        </w:r>
        <w:r>
          <w:rPr>
            <w:noProof/>
            <w:webHidden/>
          </w:rPr>
          <w:tab/>
        </w:r>
        <w:r>
          <w:rPr>
            <w:noProof/>
            <w:webHidden/>
          </w:rPr>
          <w:fldChar w:fldCharType="begin"/>
        </w:r>
        <w:r>
          <w:rPr>
            <w:noProof/>
            <w:webHidden/>
          </w:rPr>
          <w:instrText xml:space="preserve"> PAGEREF _Toc235203119 \h </w:instrText>
        </w:r>
        <w:r>
          <w:rPr>
            <w:noProof/>
            <w:webHidden/>
          </w:rPr>
        </w:r>
        <w:r>
          <w:rPr>
            <w:noProof/>
            <w:webHidden/>
          </w:rPr>
          <w:fldChar w:fldCharType="separate"/>
        </w:r>
        <w:r>
          <w:rPr>
            <w:noProof/>
            <w:webHidden/>
          </w:rPr>
          <w:t>7</w:t>
        </w:r>
        <w:r>
          <w:rPr>
            <w:noProof/>
            <w:webHidden/>
          </w:rPr>
          <w:fldChar w:fldCharType="end"/>
        </w:r>
      </w:hyperlink>
    </w:p>
    <w:p w14:paraId="483CEFFF" w14:textId="1D4822FC" w:rsidR="00B81A67" w:rsidRDefault="00B81A6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5203120" w:history="1">
        <w:r w:rsidRPr="00FC351C">
          <w:rPr>
            <w:rStyle w:val="Hyperlink"/>
            <w:noProof/>
          </w:rPr>
          <w:t>Analysis of actions under the Enhanced Strategy</w:t>
        </w:r>
        <w:r>
          <w:rPr>
            <w:noProof/>
            <w:webHidden/>
          </w:rPr>
          <w:tab/>
        </w:r>
        <w:r>
          <w:rPr>
            <w:noProof/>
            <w:webHidden/>
          </w:rPr>
          <w:fldChar w:fldCharType="begin"/>
        </w:r>
        <w:r>
          <w:rPr>
            <w:noProof/>
            <w:webHidden/>
          </w:rPr>
          <w:instrText xml:space="preserve"> PAGEREF _Toc235203120 \h </w:instrText>
        </w:r>
        <w:r>
          <w:rPr>
            <w:noProof/>
            <w:webHidden/>
          </w:rPr>
        </w:r>
        <w:r>
          <w:rPr>
            <w:noProof/>
            <w:webHidden/>
          </w:rPr>
          <w:fldChar w:fldCharType="separate"/>
        </w:r>
        <w:r>
          <w:rPr>
            <w:noProof/>
            <w:webHidden/>
          </w:rPr>
          <w:t>10</w:t>
        </w:r>
        <w:r>
          <w:rPr>
            <w:noProof/>
            <w:webHidden/>
          </w:rPr>
          <w:fldChar w:fldCharType="end"/>
        </w:r>
      </w:hyperlink>
    </w:p>
    <w:p w14:paraId="64CFF3F5" w14:textId="059149BB" w:rsidR="00B81A67" w:rsidRDefault="00B81A67">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235203121" w:history="1">
        <w:r w:rsidRPr="00FC351C">
          <w:rPr>
            <w:rStyle w:val="Hyperlink"/>
            <w:noProof/>
          </w:rPr>
          <w:t>1.</w:t>
        </w:r>
        <w:r>
          <w:rPr>
            <w:rStyle w:val="Hyperlink"/>
            <w:noProof/>
          </w:rPr>
          <w:t xml:space="preserve"> </w:t>
        </w:r>
        <w:r w:rsidRPr="00FC351C">
          <w:rPr>
            <w:rStyle w:val="Hyperlink"/>
            <w:noProof/>
          </w:rPr>
          <w:t>Accessibility – an enabler of rights, autonomy and equality</w:t>
        </w:r>
        <w:r>
          <w:rPr>
            <w:noProof/>
            <w:webHidden/>
          </w:rPr>
          <w:tab/>
        </w:r>
        <w:r>
          <w:rPr>
            <w:noProof/>
            <w:webHidden/>
          </w:rPr>
          <w:fldChar w:fldCharType="begin"/>
        </w:r>
        <w:r>
          <w:rPr>
            <w:noProof/>
            <w:webHidden/>
          </w:rPr>
          <w:instrText xml:space="preserve"> PAGEREF _Toc235203121 \h </w:instrText>
        </w:r>
        <w:r>
          <w:rPr>
            <w:noProof/>
            <w:webHidden/>
          </w:rPr>
        </w:r>
        <w:r>
          <w:rPr>
            <w:noProof/>
            <w:webHidden/>
          </w:rPr>
          <w:fldChar w:fldCharType="separate"/>
        </w:r>
        <w:r>
          <w:rPr>
            <w:noProof/>
            <w:webHidden/>
          </w:rPr>
          <w:t>10</w:t>
        </w:r>
        <w:r>
          <w:rPr>
            <w:noProof/>
            <w:webHidden/>
          </w:rPr>
          <w:fldChar w:fldCharType="end"/>
        </w:r>
      </w:hyperlink>
    </w:p>
    <w:p w14:paraId="18CEF48B" w14:textId="68A45D7F" w:rsidR="00B81A67" w:rsidRDefault="00B81A67">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235203122" w:history="1">
        <w:r w:rsidRPr="00FC351C">
          <w:rPr>
            <w:rStyle w:val="Hyperlink"/>
            <w:noProof/>
          </w:rPr>
          <w:t>2.</w:t>
        </w:r>
        <w:r>
          <w:rPr>
            <w:rStyle w:val="Hyperlink"/>
            <w:noProof/>
          </w:rPr>
          <w:t xml:space="preserve"> </w:t>
        </w:r>
        <w:r w:rsidRPr="00FC351C">
          <w:rPr>
            <w:rStyle w:val="Hyperlink"/>
            <w:noProof/>
          </w:rPr>
          <w:t>Enjoying EU rights</w:t>
        </w:r>
        <w:r>
          <w:rPr>
            <w:noProof/>
            <w:webHidden/>
          </w:rPr>
          <w:tab/>
        </w:r>
        <w:r>
          <w:rPr>
            <w:noProof/>
            <w:webHidden/>
          </w:rPr>
          <w:fldChar w:fldCharType="begin"/>
        </w:r>
        <w:r>
          <w:rPr>
            <w:noProof/>
            <w:webHidden/>
          </w:rPr>
          <w:instrText xml:space="preserve"> PAGEREF _Toc235203122 \h </w:instrText>
        </w:r>
        <w:r>
          <w:rPr>
            <w:noProof/>
            <w:webHidden/>
          </w:rPr>
        </w:r>
        <w:r>
          <w:rPr>
            <w:noProof/>
            <w:webHidden/>
          </w:rPr>
          <w:fldChar w:fldCharType="separate"/>
        </w:r>
        <w:r>
          <w:rPr>
            <w:noProof/>
            <w:webHidden/>
          </w:rPr>
          <w:t>16</w:t>
        </w:r>
        <w:r>
          <w:rPr>
            <w:noProof/>
            <w:webHidden/>
          </w:rPr>
          <w:fldChar w:fldCharType="end"/>
        </w:r>
      </w:hyperlink>
    </w:p>
    <w:p w14:paraId="5688399C" w14:textId="4BF1388A"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23" w:history="1">
        <w:r w:rsidRPr="00FC351C">
          <w:rPr>
            <w:rStyle w:val="Hyperlink"/>
            <w:noProof/>
          </w:rPr>
          <w:t>3. Decent quality of life and living independently</w:t>
        </w:r>
        <w:r>
          <w:rPr>
            <w:noProof/>
            <w:webHidden/>
          </w:rPr>
          <w:tab/>
        </w:r>
        <w:r>
          <w:rPr>
            <w:noProof/>
            <w:webHidden/>
          </w:rPr>
          <w:fldChar w:fldCharType="begin"/>
        </w:r>
        <w:r>
          <w:rPr>
            <w:noProof/>
            <w:webHidden/>
          </w:rPr>
          <w:instrText xml:space="preserve"> PAGEREF _Toc235203123 \h </w:instrText>
        </w:r>
        <w:r>
          <w:rPr>
            <w:noProof/>
            <w:webHidden/>
          </w:rPr>
        </w:r>
        <w:r>
          <w:rPr>
            <w:noProof/>
            <w:webHidden/>
          </w:rPr>
          <w:fldChar w:fldCharType="separate"/>
        </w:r>
        <w:r>
          <w:rPr>
            <w:noProof/>
            <w:webHidden/>
          </w:rPr>
          <w:t>18</w:t>
        </w:r>
        <w:r>
          <w:rPr>
            <w:noProof/>
            <w:webHidden/>
          </w:rPr>
          <w:fldChar w:fldCharType="end"/>
        </w:r>
      </w:hyperlink>
    </w:p>
    <w:p w14:paraId="4316E997" w14:textId="70189A43"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24" w:history="1">
        <w:r w:rsidRPr="00FC351C">
          <w:rPr>
            <w:rStyle w:val="Hyperlink"/>
            <w:noProof/>
          </w:rPr>
          <w:t>4. Equal access and non-discrimination</w:t>
        </w:r>
        <w:r>
          <w:rPr>
            <w:noProof/>
            <w:webHidden/>
          </w:rPr>
          <w:tab/>
        </w:r>
        <w:r>
          <w:rPr>
            <w:noProof/>
            <w:webHidden/>
          </w:rPr>
          <w:fldChar w:fldCharType="begin"/>
        </w:r>
        <w:r>
          <w:rPr>
            <w:noProof/>
            <w:webHidden/>
          </w:rPr>
          <w:instrText xml:space="preserve"> PAGEREF _Toc235203124 \h </w:instrText>
        </w:r>
        <w:r>
          <w:rPr>
            <w:noProof/>
            <w:webHidden/>
          </w:rPr>
        </w:r>
        <w:r>
          <w:rPr>
            <w:noProof/>
            <w:webHidden/>
          </w:rPr>
          <w:fldChar w:fldCharType="separate"/>
        </w:r>
        <w:r>
          <w:rPr>
            <w:noProof/>
            <w:webHidden/>
          </w:rPr>
          <w:t>26</w:t>
        </w:r>
        <w:r>
          <w:rPr>
            <w:noProof/>
            <w:webHidden/>
          </w:rPr>
          <w:fldChar w:fldCharType="end"/>
        </w:r>
      </w:hyperlink>
    </w:p>
    <w:p w14:paraId="610C307A" w14:textId="70CB8234"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25" w:history="1">
        <w:r w:rsidRPr="00FC351C">
          <w:rPr>
            <w:rStyle w:val="Hyperlink"/>
            <w:noProof/>
          </w:rPr>
          <w:t>5. Promoting the rights of persons with disabilities globally</w:t>
        </w:r>
        <w:r>
          <w:rPr>
            <w:noProof/>
            <w:webHidden/>
          </w:rPr>
          <w:tab/>
        </w:r>
        <w:r>
          <w:rPr>
            <w:noProof/>
            <w:webHidden/>
          </w:rPr>
          <w:fldChar w:fldCharType="begin"/>
        </w:r>
        <w:r>
          <w:rPr>
            <w:noProof/>
            <w:webHidden/>
          </w:rPr>
          <w:instrText xml:space="preserve"> PAGEREF _Toc235203125 \h </w:instrText>
        </w:r>
        <w:r>
          <w:rPr>
            <w:noProof/>
            <w:webHidden/>
          </w:rPr>
        </w:r>
        <w:r>
          <w:rPr>
            <w:noProof/>
            <w:webHidden/>
          </w:rPr>
          <w:fldChar w:fldCharType="separate"/>
        </w:r>
        <w:r>
          <w:rPr>
            <w:noProof/>
            <w:webHidden/>
          </w:rPr>
          <w:t>37</w:t>
        </w:r>
        <w:r>
          <w:rPr>
            <w:noProof/>
            <w:webHidden/>
          </w:rPr>
          <w:fldChar w:fldCharType="end"/>
        </w:r>
      </w:hyperlink>
    </w:p>
    <w:p w14:paraId="2BACA45E" w14:textId="5574B09A"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26" w:history="1">
        <w:r w:rsidRPr="00FC351C">
          <w:rPr>
            <w:rStyle w:val="Hyperlink"/>
            <w:noProof/>
          </w:rPr>
          <w:t>6. Efficiently delivering the strategy</w:t>
        </w:r>
        <w:r>
          <w:rPr>
            <w:noProof/>
            <w:webHidden/>
          </w:rPr>
          <w:tab/>
        </w:r>
        <w:r>
          <w:rPr>
            <w:noProof/>
            <w:webHidden/>
          </w:rPr>
          <w:fldChar w:fldCharType="begin"/>
        </w:r>
        <w:r>
          <w:rPr>
            <w:noProof/>
            <w:webHidden/>
          </w:rPr>
          <w:instrText xml:space="preserve"> PAGEREF _Toc235203126 \h </w:instrText>
        </w:r>
        <w:r>
          <w:rPr>
            <w:noProof/>
            <w:webHidden/>
          </w:rPr>
        </w:r>
        <w:r>
          <w:rPr>
            <w:noProof/>
            <w:webHidden/>
          </w:rPr>
          <w:fldChar w:fldCharType="separate"/>
        </w:r>
        <w:r>
          <w:rPr>
            <w:noProof/>
            <w:webHidden/>
          </w:rPr>
          <w:t>44</w:t>
        </w:r>
        <w:r>
          <w:rPr>
            <w:noProof/>
            <w:webHidden/>
          </w:rPr>
          <w:fldChar w:fldCharType="end"/>
        </w:r>
      </w:hyperlink>
    </w:p>
    <w:p w14:paraId="192A8125" w14:textId="5BCBCFFE"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27" w:history="1">
        <w:r w:rsidRPr="00FC351C">
          <w:rPr>
            <w:rStyle w:val="Hyperlink"/>
            <w:noProof/>
          </w:rPr>
          <w:t>7. Leading by example</w:t>
        </w:r>
        <w:r>
          <w:rPr>
            <w:noProof/>
            <w:webHidden/>
          </w:rPr>
          <w:tab/>
        </w:r>
        <w:r>
          <w:rPr>
            <w:noProof/>
            <w:webHidden/>
          </w:rPr>
          <w:fldChar w:fldCharType="begin"/>
        </w:r>
        <w:r>
          <w:rPr>
            <w:noProof/>
            <w:webHidden/>
          </w:rPr>
          <w:instrText xml:space="preserve"> PAGEREF _Toc235203127 \h </w:instrText>
        </w:r>
        <w:r>
          <w:rPr>
            <w:noProof/>
            <w:webHidden/>
          </w:rPr>
        </w:r>
        <w:r>
          <w:rPr>
            <w:noProof/>
            <w:webHidden/>
          </w:rPr>
          <w:fldChar w:fldCharType="separate"/>
        </w:r>
        <w:r>
          <w:rPr>
            <w:noProof/>
            <w:webHidden/>
          </w:rPr>
          <w:t>46</w:t>
        </w:r>
        <w:r>
          <w:rPr>
            <w:noProof/>
            <w:webHidden/>
          </w:rPr>
          <w:fldChar w:fldCharType="end"/>
        </w:r>
      </w:hyperlink>
    </w:p>
    <w:p w14:paraId="0EA91780" w14:textId="06C2F79C" w:rsidR="00B81A67" w:rsidRDefault="00B81A6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35203128" w:history="1">
        <w:r w:rsidRPr="00FC351C">
          <w:rPr>
            <w:rStyle w:val="Hyperlink"/>
            <w:noProof/>
          </w:rPr>
          <w:t>8. Awareness-raising, monitoring and measuring progress</w:t>
        </w:r>
        <w:r>
          <w:rPr>
            <w:noProof/>
            <w:webHidden/>
          </w:rPr>
          <w:tab/>
        </w:r>
        <w:r>
          <w:rPr>
            <w:noProof/>
            <w:webHidden/>
          </w:rPr>
          <w:fldChar w:fldCharType="begin"/>
        </w:r>
        <w:r>
          <w:rPr>
            <w:noProof/>
            <w:webHidden/>
          </w:rPr>
          <w:instrText xml:space="preserve"> PAGEREF _Toc235203128 \h </w:instrText>
        </w:r>
        <w:r>
          <w:rPr>
            <w:noProof/>
            <w:webHidden/>
          </w:rPr>
        </w:r>
        <w:r>
          <w:rPr>
            <w:noProof/>
            <w:webHidden/>
          </w:rPr>
          <w:fldChar w:fldCharType="separate"/>
        </w:r>
        <w:r>
          <w:rPr>
            <w:noProof/>
            <w:webHidden/>
          </w:rPr>
          <w:t>48</w:t>
        </w:r>
        <w:r>
          <w:rPr>
            <w:noProof/>
            <w:webHidden/>
          </w:rPr>
          <w:fldChar w:fldCharType="end"/>
        </w:r>
      </w:hyperlink>
    </w:p>
    <w:p w14:paraId="07F73FAD" w14:textId="5883CE45" w:rsidR="00B81A67" w:rsidRDefault="00B81A6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35203129" w:history="1">
        <w:r w:rsidRPr="00FC351C">
          <w:rPr>
            <w:rStyle w:val="Hyperlink"/>
            <w:noProof/>
          </w:rPr>
          <w:t>Document credits</w:t>
        </w:r>
        <w:r>
          <w:rPr>
            <w:noProof/>
            <w:webHidden/>
          </w:rPr>
          <w:tab/>
        </w:r>
        <w:r>
          <w:rPr>
            <w:noProof/>
            <w:webHidden/>
          </w:rPr>
          <w:fldChar w:fldCharType="begin"/>
        </w:r>
        <w:r>
          <w:rPr>
            <w:noProof/>
            <w:webHidden/>
          </w:rPr>
          <w:instrText xml:space="preserve"> PAGEREF _Toc235203129 \h </w:instrText>
        </w:r>
        <w:r>
          <w:rPr>
            <w:noProof/>
            <w:webHidden/>
          </w:rPr>
        </w:r>
        <w:r>
          <w:rPr>
            <w:noProof/>
            <w:webHidden/>
          </w:rPr>
          <w:fldChar w:fldCharType="separate"/>
        </w:r>
        <w:r>
          <w:rPr>
            <w:noProof/>
            <w:webHidden/>
          </w:rPr>
          <w:t>51</w:t>
        </w:r>
        <w:r>
          <w:rPr>
            <w:noProof/>
            <w:webHidden/>
          </w:rPr>
          <w:fldChar w:fldCharType="end"/>
        </w:r>
      </w:hyperlink>
    </w:p>
    <w:p w14:paraId="24B4E87A" w14:textId="33528FD6" w:rsidR="001E0F08" w:rsidRPr="00CE713D" w:rsidRDefault="00A9576D" w:rsidP="00282B80">
      <w:pPr>
        <w:pStyle w:val="Heading1"/>
      </w:pPr>
      <w:r w:rsidRPr="00CE713D">
        <w:fldChar w:fldCharType="end"/>
      </w:r>
      <w:bookmarkStart w:id="1" w:name="_Toc235203113"/>
      <w:r w:rsidR="001E0F08" w:rsidRPr="00CE713D">
        <w:t>Introduction</w:t>
      </w:r>
      <w:bookmarkEnd w:id="1"/>
    </w:p>
    <w:p w14:paraId="4B475541" w14:textId="77777777" w:rsidR="00282B80" w:rsidRPr="00CE713D" w:rsidRDefault="00282B80" w:rsidP="00B81A67">
      <w:pPr>
        <w:pStyle w:val="Heading2"/>
      </w:pPr>
      <w:r w:rsidRPr="00CE713D">
        <w:t>The European Disability Forum</w:t>
      </w:r>
    </w:p>
    <w:p w14:paraId="0A9E7CA7" w14:textId="77777777" w:rsidR="001E0F08" w:rsidRPr="00CE713D" w:rsidRDefault="00282B80" w:rsidP="00282B80">
      <w:r w:rsidRPr="00CE713D">
        <w:t>The European Disability Forum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4EE728A1" w14:textId="1B7CC4DA" w:rsidR="00187E62" w:rsidRPr="00CE713D" w:rsidRDefault="00282B80" w:rsidP="00353669">
      <w:pPr>
        <w:pStyle w:val="Heading2"/>
      </w:pPr>
      <w:bookmarkStart w:id="2" w:name="_Toc235203114"/>
      <w:r w:rsidRPr="00CE713D">
        <w:t>Executive Summary</w:t>
      </w:r>
      <w:bookmarkEnd w:id="2"/>
    </w:p>
    <w:p w14:paraId="0E43B2EB" w14:textId="64CE0C5A" w:rsidR="00E975F9" w:rsidRDefault="0080255F" w:rsidP="00353669">
      <w:r>
        <w:t>T</w:t>
      </w:r>
      <w:r w:rsidR="003F1FBF">
        <w:t xml:space="preserve">he European Commission launched its </w:t>
      </w:r>
      <w:hyperlink r:id="rId13" w:history="1">
        <w:r w:rsidR="003F1FBF" w:rsidRPr="00530D80">
          <w:rPr>
            <w:rStyle w:val="Hyperlink"/>
          </w:rPr>
          <w:t>Enhanced Strategy on the Rights of Persons with Disabilities</w:t>
        </w:r>
      </w:hyperlink>
      <w:r>
        <w:t xml:space="preserve"> on 6 May 2026</w:t>
      </w:r>
      <w:r w:rsidR="003F1FBF">
        <w:t xml:space="preserve">. In practical terms, this </w:t>
      </w:r>
      <w:r w:rsidR="00507B78">
        <w:t xml:space="preserve">outlines actions for the second half of the </w:t>
      </w:r>
      <w:hyperlink r:id="rId14" w:history="1">
        <w:r w:rsidR="00507B78" w:rsidRPr="007772F6">
          <w:rPr>
            <w:rStyle w:val="Hyperlink"/>
          </w:rPr>
          <w:t>EU Strategy on the Rights of Persons with Disabilities 2021-2030.</w:t>
        </w:r>
      </w:hyperlink>
      <w:r w:rsidR="00507B78">
        <w:t xml:space="preserve"> </w:t>
      </w:r>
    </w:p>
    <w:p w14:paraId="6940B0F6" w14:textId="6C102D29" w:rsidR="006A0ED1" w:rsidRDefault="00203A45" w:rsidP="00353669">
      <w:r>
        <w:lastRenderedPageBreak/>
        <w:t>In March 2021, when the Strategy was launched, it contained proposals for actions and flagship initiatives running until 2025.</w:t>
      </w:r>
      <w:r w:rsidR="007772F6">
        <w:t xml:space="preserve"> After calls from EDF and the wider disability movement, the European Commission committed to </w:t>
      </w:r>
      <w:r w:rsidR="00745B0B">
        <w:t>new actions to fill the period 2026</w:t>
      </w:r>
      <w:r w:rsidR="00887EB5">
        <w:t xml:space="preserve">-2030. These are the actions that we are analysing </w:t>
      </w:r>
      <w:r w:rsidR="00BC75E1">
        <w:t>here</w:t>
      </w:r>
      <w:r w:rsidR="00887EB5">
        <w:t>.</w:t>
      </w:r>
    </w:p>
    <w:p w14:paraId="4AE12450" w14:textId="4141417A" w:rsidR="00887EB5" w:rsidRDefault="00887EB5" w:rsidP="00353669">
      <w:pPr>
        <w:rPr>
          <w:b/>
          <w:bCs/>
        </w:rPr>
      </w:pPr>
      <w:r>
        <w:t xml:space="preserve">The aim of </w:t>
      </w:r>
      <w:r w:rsidR="00BC75E1">
        <w:t xml:space="preserve">this paper is </w:t>
      </w:r>
      <w:r w:rsidR="009D2699">
        <w:t xml:space="preserve">therefore </w:t>
      </w:r>
      <w:r w:rsidR="00BC75E1">
        <w:t xml:space="preserve">to </w:t>
      </w:r>
      <w:r w:rsidR="00D14EDB">
        <w:t xml:space="preserve">outline all the actions proposed under the enhanced strategy, to briefly </w:t>
      </w:r>
      <w:r w:rsidR="00EF42CC">
        <w:t xml:space="preserve">assess the </w:t>
      </w:r>
      <w:r w:rsidR="0020317A">
        <w:t>aspects</w:t>
      </w:r>
      <w:r w:rsidR="00EF42CC">
        <w:t xml:space="preserve"> that are positive</w:t>
      </w:r>
      <w:r w:rsidR="006B7990">
        <w:t xml:space="preserve"> and negative</w:t>
      </w:r>
      <w:r w:rsidR="0020317A">
        <w:t xml:space="preserve"> in each action</w:t>
      </w:r>
      <w:r w:rsidR="006B7990">
        <w:t xml:space="preserve">, and to </w:t>
      </w:r>
      <w:r w:rsidR="00F45C9F">
        <w:t xml:space="preserve">outline what </w:t>
      </w:r>
      <w:r w:rsidR="00B019DE">
        <w:t xml:space="preserve">we </w:t>
      </w:r>
      <w:r w:rsidR="007D72D6">
        <w:t>s</w:t>
      </w:r>
      <w:r w:rsidR="00B019DE">
        <w:t xml:space="preserve">ee as necessary to ensure the </w:t>
      </w:r>
      <w:r w:rsidR="00240E99">
        <w:t>best</w:t>
      </w:r>
      <w:r w:rsidR="009C12A6">
        <w:t xml:space="preserve"> possible</w:t>
      </w:r>
      <w:r w:rsidR="00240E99">
        <w:t xml:space="preserve"> implementation. </w:t>
      </w:r>
      <w:r w:rsidR="006A2541">
        <w:t xml:space="preserve">In some </w:t>
      </w:r>
      <w:proofErr w:type="gramStart"/>
      <w:r w:rsidR="006A2541">
        <w:t>cases</w:t>
      </w:r>
      <w:proofErr w:type="gramEnd"/>
      <w:r w:rsidR="006A2541">
        <w:t xml:space="preserve"> we </w:t>
      </w:r>
      <w:r w:rsidR="00A25FE6">
        <w:t xml:space="preserve">give </w:t>
      </w:r>
      <w:r w:rsidR="002934B0">
        <w:t xml:space="preserve">actions a general score of </w:t>
      </w:r>
      <w:r w:rsidR="00F60899" w:rsidRPr="00184C8D">
        <w:rPr>
          <w:b/>
          <w:bCs/>
        </w:rPr>
        <w:t>positive</w:t>
      </w:r>
      <w:r w:rsidR="00F60899">
        <w:t xml:space="preserve">, </w:t>
      </w:r>
      <w:r w:rsidR="00F60899" w:rsidRPr="00184C8D">
        <w:rPr>
          <w:b/>
          <w:bCs/>
        </w:rPr>
        <w:t>negative</w:t>
      </w:r>
      <w:r w:rsidR="00F60899">
        <w:t xml:space="preserve"> or </w:t>
      </w:r>
      <w:r w:rsidR="00F60899" w:rsidRPr="00184C8D">
        <w:rPr>
          <w:b/>
          <w:bCs/>
        </w:rPr>
        <w:t>neutral</w:t>
      </w:r>
      <w:r w:rsidR="00F60899">
        <w:t xml:space="preserve">, followed by a short explanation. </w:t>
      </w:r>
      <w:r w:rsidR="5E1EDCD5">
        <w:t xml:space="preserve">In a few select cases, we have gone as far as to score an action as </w:t>
      </w:r>
      <w:r w:rsidR="5E1EDCD5" w:rsidRPr="21777ECE">
        <w:rPr>
          <w:b/>
          <w:bCs/>
        </w:rPr>
        <w:t>very positive</w:t>
      </w:r>
      <w:r w:rsidR="5E1EDCD5">
        <w:t>, given that it matches exactly what EDF has been calling for in</w:t>
      </w:r>
      <w:r w:rsidR="491131DC">
        <w:t xml:space="preserve"> form and in scope.</w:t>
      </w:r>
      <w:r w:rsidR="00F60899">
        <w:t xml:space="preserve"> In other cases, where the actions are more complex, with list </w:t>
      </w:r>
      <w:r w:rsidR="00184C8D">
        <w:t xml:space="preserve">a mixture of </w:t>
      </w:r>
      <w:r w:rsidR="00184C8D" w:rsidRPr="00184C8D">
        <w:rPr>
          <w:b/>
          <w:bCs/>
        </w:rPr>
        <w:t>positive points</w:t>
      </w:r>
      <w:r w:rsidR="00FB0813">
        <w:t>,</w:t>
      </w:r>
      <w:r w:rsidR="00184C8D">
        <w:t xml:space="preserve"> </w:t>
      </w:r>
      <w:r w:rsidR="00184C8D" w:rsidRPr="00184C8D">
        <w:rPr>
          <w:b/>
          <w:bCs/>
        </w:rPr>
        <w:t>negative points</w:t>
      </w:r>
      <w:r w:rsidR="00FB0813">
        <w:rPr>
          <w:b/>
          <w:bCs/>
        </w:rPr>
        <w:t xml:space="preserve"> </w:t>
      </w:r>
      <w:r w:rsidR="00FB0813" w:rsidRPr="00FB0813">
        <w:t>and</w:t>
      </w:r>
      <w:r w:rsidR="00FB0813">
        <w:rPr>
          <w:b/>
          <w:bCs/>
        </w:rPr>
        <w:t xml:space="preserve"> neutral points</w:t>
      </w:r>
      <w:r w:rsidR="00FB0813" w:rsidRPr="00FB0813">
        <w:t>.</w:t>
      </w:r>
    </w:p>
    <w:p w14:paraId="139D1D9C" w14:textId="56D32B4D" w:rsidR="00CE4A43" w:rsidRDefault="0075039A" w:rsidP="00353669">
      <w:r w:rsidRPr="0075039A">
        <w:t xml:space="preserve">This paper does not seek to </w:t>
      </w:r>
      <w:r>
        <w:t xml:space="preserve">deliver an in-depth analysis of </w:t>
      </w:r>
      <w:r w:rsidR="003D4C72">
        <w:t>each action. Instead</w:t>
      </w:r>
      <w:r w:rsidR="00FA2A76">
        <w:t>, it provides a digestible and concise evaluation of all actions, allowing us to gauge</w:t>
      </w:r>
      <w:r w:rsidR="005F0DD3">
        <w:t xml:space="preserve"> </w:t>
      </w:r>
      <w:r w:rsidR="00A7655B">
        <w:t xml:space="preserve">where there is real potential to advance the rights of persons with disabilities in the EU and beyond. </w:t>
      </w:r>
    </w:p>
    <w:p w14:paraId="0620EBB8" w14:textId="17AD96DB" w:rsidR="00CE4A43" w:rsidRDefault="00CE4A43" w:rsidP="00CE4A43">
      <w:pPr>
        <w:pStyle w:val="Heading2"/>
      </w:pPr>
      <w:bookmarkStart w:id="3" w:name="_Toc235203115"/>
      <w:r>
        <w:t xml:space="preserve">Types of actions in the </w:t>
      </w:r>
      <w:r w:rsidR="003C3203">
        <w:t>enhance</w:t>
      </w:r>
      <w:r w:rsidR="00CC6F96">
        <w:t>d</w:t>
      </w:r>
      <w:r w:rsidR="003C3203">
        <w:t xml:space="preserve"> strategy</w:t>
      </w:r>
      <w:bookmarkEnd w:id="3"/>
    </w:p>
    <w:p w14:paraId="34E4A52B" w14:textId="3F46970D" w:rsidR="003C3203" w:rsidRDefault="00D76CA2" w:rsidP="003C3203">
      <w:r>
        <w:t xml:space="preserve">The </w:t>
      </w:r>
      <w:r w:rsidR="003F1FBF">
        <w:t>Enhanced</w:t>
      </w:r>
      <w:r>
        <w:t xml:space="preserve"> </w:t>
      </w:r>
      <w:r w:rsidR="003F1FBF">
        <w:t>S</w:t>
      </w:r>
      <w:r>
        <w:t>trategy</w:t>
      </w:r>
      <w:r w:rsidR="003F1FBF">
        <w:t xml:space="preserve"> for the Rights of Persons with Disabilities</w:t>
      </w:r>
      <w:r>
        <w:t xml:space="preserve"> proposes different types of actions. </w:t>
      </w:r>
      <w:r w:rsidR="00AD3148">
        <w:t xml:space="preserve">In terms of legislation, we count 2 possible actions that could lead to new legislation, but without a guarantee that these will </w:t>
      </w:r>
      <w:r w:rsidR="00366F37">
        <w:t>be delivered. There are also 8 proposals to review and refine existing EU legislation, or legislative proposals that are still under development.</w:t>
      </w:r>
    </w:p>
    <w:p w14:paraId="02808A6A" w14:textId="0F5A0723" w:rsidR="00366F37" w:rsidRDefault="00366F37" w:rsidP="003C3203">
      <w:r>
        <w:t xml:space="preserve">The most common </w:t>
      </w:r>
      <w:r w:rsidR="003278D4">
        <w:t>types of</w:t>
      </w:r>
      <w:r>
        <w:t xml:space="preserve"> action </w:t>
      </w:r>
      <w:r w:rsidR="003278D4">
        <w:t>come in the forms of reports, research and guidance.</w:t>
      </w:r>
    </w:p>
    <w:p w14:paraId="5BC96B28" w14:textId="5502CC9A" w:rsidR="003278D4" w:rsidRPr="003C3203" w:rsidRDefault="003278D4" w:rsidP="003C3203">
      <w:r>
        <w:t xml:space="preserve">Below we present a quantitative overview of how we would classify the different activities </w:t>
      </w:r>
      <w:r w:rsidR="003A2CDB">
        <w:t>in the enhanced strategy. Please not</w:t>
      </w:r>
      <w:r w:rsidR="5949B8E7">
        <w:t>e</w:t>
      </w:r>
      <w:r w:rsidR="003A2CDB">
        <w:t xml:space="preserve"> that certain actions belong to more than one category, whereas a few fitted into none of the categories below.</w:t>
      </w:r>
    </w:p>
    <w:p w14:paraId="40B0F2DB" w14:textId="4A9CF59D" w:rsidR="003C3203" w:rsidRDefault="003C3203" w:rsidP="00EA5C76">
      <w:pPr>
        <w:pStyle w:val="ListParagraph"/>
        <w:numPr>
          <w:ilvl w:val="0"/>
          <w:numId w:val="19"/>
        </w:numPr>
      </w:pPr>
      <w:r>
        <w:t xml:space="preserve">New legislation or policy initiative: </w:t>
      </w:r>
      <w:r w:rsidR="00F76E95">
        <w:rPr>
          <w:b/>
          <w:bCs/>
        </w:rPr>
        <w:t>2</w:t>
      </w:r>
    </w:p>
    <w:p w14:paraId="47C4F5F1" w14:textId="36AD9AA5" w:rsidR="003C3203" w:rsidRDefault="003C3203" w:rsidP="00EA5C76">
      <w:pPr>
        <w:pStyle w:val="ListParagraph"/>
        <w:numPr>
          <w:ilvl w:val="0"/>
          <w:numId w:val="19"/>
        </w:numPr>
      </w:pPr>
      <w:r>
        <w:t xml:space="preserve">Review of existing or ongoing legislation: </w:t>
      </w:r>
      <w:r w:rsidRPr="00EA51E2">
        <w:rPr>
          <w:b/>
          <w:bCs/>
        </w:rPr>
        <w:t>8</w:t>
      </w:r>
    </w:p>
    <w:p w14:paraId="6A1BF7CA" w14:textId="213FE03C" w:rsidR="003C3203" w:rsidRDefault="003C3203" w:rsidP="00EA5C76">
      <w:pPr>
        <w:pStyle w:val="ListParagraph"/>
        <w:numPr>
          <w:ilvl w:val="0"/>
          <w:numId w:val="19"/>
        </w:numPr>
      </w:pPr>
      <w:r>
        <w:t xml:space="preserve">Recommendations or Guidance: </w:t>
      </w:r>
      <w:r w:rsidRPr="00EA51E2">
        <w:rPr>
          <w:b/>
          <w:bCs/>
        </w:rPr>
        <w:t>10</w:t>
      </w:r>
    </w:p>
    <w:p w14:paraId="4DFDE709" w14:textId="1F54661B" w:rsidR="003C3203" w:rsidRDefault="003C3203" w:rsidP="00EA5C76">
      <w:pPr>
        <w:pStyle w:val="ListParagraph"/>
        <w:numPr>
          <w:ilvl w:val="0"/>
          <w:numId w:val="19"/>
        </w:numPr>
      </w:pPr>
      <w:r>
        <w:t xml:space="preserve">Research, studies and reports: </w:t>
      </w:r>
      <w:r w:rsidRPr="00EA51E2">
        <w:rPr>
          <w:b/>
          <w:bCs/>
        </w:rPr>
        <w:t>9</w:t>
      </w:r>
    </w:p>
    <w:p w14:paraId="20951844" w14:textId="2BAEE93E" w:rsidR="003C3203" w:rsidRDefault="003C3203" w:rsidP="00EA5C76">
      <w:pPr>
        <w:pStyle w:val="ListParagraph"/>
        <w:numPr>
          <w:ilvl w:val="0"/>
          <w:numId w:val="19"/>
        </w:numPr>
      </w:pPr>
      <w:r>
        <w:t xml:space="preserve">Data collection: </w:t>
      </w:r>
      <w:r w:rsidRPr="00EA51E2">
        <w:rPr>
          <w:b/>
          <w:bCs/>
        </w:rPr>
        <w:t>4</w:t>
      </w:r>
    </w:p>
    <w:p w14:paraId="12D0B3EF" w14:textId="485DA768" w:rsidR="003C3203" w:rsidRDefault="003C3203" w:rsidP="00EA5C76">
      <w:pPr>
        <w:pStyle w:val="ListParagraph"/>
        <w:numPr>
          <w:ilvl w:val="0"/>
          <w:numId w:val="19"/>
        </w:numPr>
      </w:pPr>
      <w:r>
        <w:t xml:space="preserve">Dialogues and networks of stakeholders: </w:t>
      </w:r>
      <w:r w:rsidRPr="00EA51E2">
        <w:rPr>
          <w:b/>
          <w:bCs/>
        </w:rPr>
        <w:t>5</w:t>
      </w:r>
    </w:p>
    <w:p w14:paraId="6B939962" w14:textId="5E6729DA" w:rsidR="003C3203" w:rsidRDefault="003C3203" w:rsidP="00EA5C76">
      <w:pPr>
        <w:pStyle w:val="ListParagraph"/>
        <w:numPr>
          <w:ilvl w:val="0"/>
          <w:numId w:val="19"/>
        </w:numPr>
      </w:pPr>
      <w:r>
        <w:t>EU roadmaps, action plans, packages or strategies:</w:t>
      </w:r>
      <w:r w:rsidRPr="00EA51E2">
        <w:rPr>
          <w:b/>
          <w:bCs/>
        </w:rPr>
        <w:t xml:space="preserve"> 4</w:t>
      </w:r>
    </w:p>
    <w:p w14:paraId="18704256" w14:textId="48B1923E" w:rsidR="003C3203" w:rsidRDefault="003C3203" w:rsidP="00EA5C76">
      <w:pPr>
        <w:pStyle w:val="ListParagraph"/>
        <w:numPr>
          <w:ilvl w:val="0"/>
          <w:numId w:val="19"/>
        </w:numPr>
      </w:pPr>
      <w:r>
        <w:t xml:space="preserve">Using EU funding: </w:t>
      </w:r>
      <w:r w:rsidRPr="00EA51E2">
        <w:rPr>
          <w:b/>
          <w:bCs/>
        </w:rPr>
        <w:t>5</w:t>
      </w:r>
    </w:p>
    <w:p w14:paraId="25AD88ED" w14:textId="158F1110" w:rsidR="003C3203" w:rsidRDefault="003C3203" w:rsidP="00EA5C76">
      <w:pPr>
        <w:pStyle w:val="ListParagraph"/>
        <w:numPr>
          <w:ilvl w:val="0"/>
          <w:numId w:val="19"/>
        </w:numPr>
      </w:pPr>
      <w:r>
        <w:lastRenderedPageBreak/>
        <w:t xml:space="preserve">Events and Training: </w:t>
      </w:r>
      <w:r w:rsidRPr="00EA51E2">
        <w:rPr>
          <w:b/>
          <w:bCs/>
        </w:rPr>
        <w:t>2</w:t>
      </w:r>
    </w:p>
    <w:p w14:paraId="0D6AC1F8" w14:textId="4B842F53" w:rsidR="003C3203" w:rsidRDefault="003C3203" w:rsidP="00EA5C76">
      <w:pPr>
        <w:pStyle w:val="ListParagraph"/>
        <w:numPr>
          <w:ilvl w:val="0"/>
          <w:numId w:val="19"/>
        </w:numPr>
      </w:pPr>
      <w:r>
        <w:t>Monitoring and follow up of existing measures:</w:t>
      </w:r>
      <w:r w:rsidRPr="00EA51E2">
        <w:rPr>
          <w:b/>
          <w:bCs/>
        </w:rPr>
        <w:t xml:space="preserve"> 7</w:t>
      </w:r>
    </w:p>
    <w:p w14:paraId="53A000B6" w14:textId="0681EDA0" w:rsidR="003C3203" w:rsidRDefault="003C3203" w:rsidP="00EA5C76">
      <w:pPr>
        <w:pStyle w:val="ListParagraph"/>
        <w:numPr>
          <w:ilvl w:val="0"/>
          <w:numId w:val="19"/>
        </w:numPr>
      </w:pPr>
      <w:r>
        <w:t xml:space="preserve">Support for member states and partner countries: </w:t>
      </w:r>
      <w:r w:rsidRPr="00EA51E2">
        <w:rPr>
          <w:b/>
          <w:bCs/>
        </w:rPr>
        <w:t>6</w:t>
      </w:r>
    </w:p>
    <w:p w14:paraId="3C483A1B" w14:textId="5A7532A6" w:rsidR="003C3203" w:rsidRDefault="003C3203" w:rsidP="00EA5C76">
      <w:pPr>
        <w:pStyle w:val="ListParagraph"/>
        <w:numPr>
          <w:ilvl w:val="0"/>
          <w:numId w:val="19"/>
        </w:numPr>
      </w:pPr>
      <w:r>
        <w:t xml:space="preserve">Awareness raising and sharing good practice: </w:t>
      </w:r>
      <w:r w:rsidRPr="00EA51E2">
        <w:rPr>
          <w:b/>
          <w:bCs/>
        </w:rPr>
        <w:t>6</w:t>
      </w:r>
    </w:p>
    <w:p w14:paraId="39E9FE8B" w14:textId="0418215B" w:rsidR="003C3203" w:rsidRDefault="003C3203" w:rsidP="00EA5C76">
      <w:pPr>
        <w:pStyle w:val="ListParagraph"/>
        <w:numPr>
          <w:ilvl w:val="0"/>
          <w:numId w:val="19"/>
        </w:numPr>
      </w:pPr>
      <w:r>
        <w:t xml:space="preserve">Inclusion of persons with disabilities in EU institutions: </w:t>
      </w:r>
      <w:r w:rsidRPr="00EA51E2">
        <w:rPr>
          <w:b/>
          <w:bCs/>
        </w:rPr>
        <w:t>4</w:t>
      </w:r>
    </w:p>
    <w:p w14:paraId="34D7022D" w14:textId="4DC637C9" w:rsidR="00DE4F7A" w:rsidRPr="00EA51E2" w:rsidRDefault="003C3203" w:rsidP="00EA5C76">
      <w:pPr>
        <w:pStyle w:val="ListParagraph"/>
        <w:numPr>
          <w:ilvl w:val="0"/>
          <w:numId w:val="19"/>
        </w:numPr>
      </w:pPr>
      <w:r>
        <w:t xml:space="preserve">Accessibility of EU institutions and communications: </w:t>
      </w:r>
      <w:r w:rsidRPr="3E0D7FF0">
        <w:rPr>
          <w:b/>
          <w:bCs/>
        </w:rPr>
        <w:t>2</w:t>
      </w:r>
    </w:p>
    <w:p w14:paraId="0F85DEB3" w14:textId="5DD7B688" w:rsidR="00DE4F7A" w:rsidRDefault="6F90CC86" w:rsidP="009127FA">
      <w:pPr>
        <w:pStyle w:val="Heading2"/>
      </w:pPr>
      <w:bookmarkStart w:id="4" w:name="_Toc235203116"/>
      <w:r>
        <w:t>Legislation in the enhanced strategy</w:t>
      </w:r>
      <w:bookmarkEnd w:id="4"/>
    </w:p>
    <w:p w14:paraId="73A907F4" w14:textId="77777777" w:rsidR="005E114E" w:rsidRDefault="00632E05" w:rsidP="009127FA">
      <w:r>
        <w:t>The two potential new pieces of legislation we refer to in the Enhanced Strategy are the following:</w:t>
      </w:r>
    </w:p>
    <w:p w14:paraId="0337E489" w14:textId="77777777" w:rsidR="00FC44E9" w:rsidRDefault="005E114E" w:rsidP="00EA5C76">
      <w:pPr>
        <w:pStyle w:val="ListParagraph"/>
        <w:numPr>
          <w:ilvl w:val="0"/>
          <w:numId w:val="33"/>
        </w:numPr>
      </w:pPr>
      <w:r>
        <w:t xml:space="preserve">Consider legislation based on the existing areas of crime covered by Article 83(1) of TFEU to harmonise the definition of hate offences committed </w:t>
      </w:r>
      <w:proofErr w:type="gramStart"/>
      <w:r>
        <w:t>online, and</w:t>
      </w:r>
      <w:proofErr w:type="gramEnd"/>
      <w:r>
        <w:t xml:space="preserve"> possibly include public incitement to violence or hatred online on grounds not currently covered by EU law, such as disability</w:t>
      </w:r>
      <w:r w:rsidR="00A10024">
        <w:t>.</w:t>
      </w:r>
    </w:p>
    <w:p w14:paraId="2905CF83" w14:textId="508B1881" w:rsidR="005E114E" w:rsidRDefault="005E114E" w:rsidP="00EA5C76">
      <w:pPr>
        <w:pStyle w:val="ListParagraph"/>
        <w:numPr>
          <w:ilvl w:val="0"/>
          <w:numId w:val="33"/>
        </w:numPr>
      </w:pPr>
      <w:r>
        <w:t>C</w:t>
      </w:r>
      <w:r w:rsidRPr="00F76E95">
        <w:t>onsult European social partners on the possible direction of EU action to support the activation of persons excluded from the labour market</w:t>
      </w:r>
      <w:r w:rsidR="00A10024">
        <w:t>.</w:t>
      </w:r>
    </w:p>
    <w:p w14:paraId="04F67FB2" w14:textId="2F3DEAFD" w:rsidR="6F90CC86" w:rsidRDefault="006E502A" w:rsidP="009127FA">
      <w:r>
        <w:t xml:space="preserve">It is worth </w:t>
      </w:r>
      <w:r w:rsidR="004674E8">
        <w:t>noting</w:t>
      </w:r>
      <w:r>
        <w:t xml:space="preserve"> the </w:t>
      </w:r>
      <w:r w:rsidR="10F880E7">
        <w:t xml:space="preserve">little certainty </w:t>
      </w:r>
      <w:r w:rsidR="004632FC">
        <w:t xml:space="preserve">that </w:t>
      </w:r>
      <w:r w:rsidR="10F880E7">
        <w:t xml:space="preserve">is given as to whether these </w:t>
      </w:r>
      <w:r w:rsidR="004632FC">
        <w:t>actions</w:t>
      </w:r>
      <w:r w:rsidR="10F880E7">
        <w:t xml:space="preserve"> </w:t>
      </w:r>
      <w:r w:rsidR="004632FC">
        <w:t xml:space="preserve">will </w:t>
      </w:r>
      <w:r w:rsidR="10F880E7">
        <w:t>become legislation at all. The stra</w:t>
      </w:r>
      <w:r w:rsidR="65B074F2">
        <w:t>tegy uses wording such as ‘consider legislation’ and talks of a ‘possible direction of EU action’.</w:t>
      </w:r>
      <w:r w:rsidR="00AB6087">
        <w:t xml:space="preserve"> Therefore, they will require </w:t>
      </w:r>
      <w:r w:rsidR="0011798A">
        <w:t>the active engagemen</w:t>
      </w:r>
      <w:r w:rsidR="00773B37">
        <w:t xml:space="preserve">t </w:t>
      </w:r>
      <w:r w:rsidR="00183ACA">
        <w:t>and advocacy by the disability movement.</w:t>
      </w:r>
    </w:p>
    <w:p w14:paraId="72A930D7" w14:textId="712289AB" w:rsidR="65B074F2" w:rsidRDefault="65B074F2" w:rsidP="5B8946C2">
      <w:r>
        <w:t xml:space="preserve">In the first </w:t>
      </w:r>
      <w:r w:rsidR="00F3398C">
        <w:t xml:space="preserve">action </w:t>
      </w:r>
      <w:r>
        <w:t xml:space="preserve">on harmonising the definition of hate </w:t>
      </w:r>
      <w:r w:rsidR="004674E8">
        <w:t>offences</w:t>
      </w:r>
      <w:r>
        <w:t>, the idea is also not entirely new no</w:t>
      </w:r>
      <w:r w:rsidR="00F51EB0">
        <w:t>r</w:t>
      </w:r>
      <w:r>
        <w:t xml:space="preserve"> exclusive to the </w:t>
      </w:r>
      <w:r w:rsidR="34F86D1F">
        <w:t xml:space="preserve">Disability Strategy. Instead, it was already included in the </w:t>
      </w:r>
      <w:hyperlink r:id="rId15" w:history="1">
        <w:r w:rsidR="34F86D1F" w:rsidRPr="005B097A">
          <w:rPr>
            <w:rStyle w:val="Hyperlink"/>
          </w:rPr>
          <w:t>LGBTIQ+ Equality Strategy 2026-2030</w:t>
        </w:r>
      </w:hyperlink>
      <w:r w:rsidR="34F86D1F">
        <w:t xml:space="preserve">. </w:t>
      </w:r>
    </w:p>
    <w:p w14:paraId="79B2B112" w14:textId="35926521" w:rsidR="34F86D1F" w:rsidRDefault="34F86D1F" w:rsidP="5B8946C2">
      <w:r>
        <w:t>As for the action on activation of persons with disabilities in the labour market,</w:t>
      </w:r>
      <w:r w:rsidR="00F3398C">
        <w:t xml:space="preserve"> which was also announced in the </w:t>
      </w:r>
      <w:hyperlink r:id="rId16" w:history="1">
        <w:r w:rsidR="00050CE9" w:rsidRPr="00050CE9">
          <w:rPr>
            <w:rStyle w:val="Hyperlink"/>
          </w:rPr>
          <w:t>A</w:t>
        </w:r>
        <w:r w:rsidR="00F3398C" w:rsidRPr="00050CE9">
          <w:rPr>
            <w:rStyle w:val="Hyperlink"/>
          </w:rPr>
          <w:t>nti</w:t>
        </w:r>
        <w:r w:rsidR="00050CE9" w:rsidRPr="00050CE9">
          <w:rPr>
            <w:rStyle w:val="Hyperlink"/>
          </w:rPr>
          <w:t>-</w:t>
        </w:r>
        <w:r w:rsidR="00F3398C" w:rsidRPr="00050CE9">
          <w:rPr>
            <w:rStyle w:val="Hyperlink"/>
          </w:rPr>
          <w:t xml:space="preserve">poverty </w:t>
        </w:r>
        <w:r w:rsidR="00050CE9" w:rsidRPr="00050CE9">
          <w:rPr>
            <w:rStyle w:val="Hyperlink"/>
          </w:rPr>
          <w:t>S</w:t>
        </w:r>
        <w:r w:rsidR="00F3398C" w:rsidRPr="00050CE9">
          <w:rPr>
            <w:rStyle w:val="Hyperlink"/>
          </w:rPr>
          <w:t>trategy</w:t>
        </w:r>
      </w:hyperlink>
      <w:r w:rsidR="00F3398C">
        <w:t>,</w:t>
      </w:r>
      <w:r>
        <w:t xml:space="preserve"> there is also no clear indication w</w:t>
      </w:r>
      <w:r w:rsidR="006D6B61">
        <w:t>hether the</w:t>
      </w:r>
      <w:r>
        <w:t xml:space="preserve"> action will be something binding or based </w:t>
      </w:r>
      <w:r w:rsidR="00A76ED4">
        <w:t>o</w:t>
      </w:r>
      <w:r>
        <w:t xml:space="preserve">n legislation.  </w:t>
      </w:r>
    </w:p>
    <w:p w14:paraId="01A5DF00" w14:textId="60F5959B" w:rsidR="5A06154B" w:rsidRDefault="5A06154B" w:rsidP="5B8946C2">
      <w:r>
        <w:t>The impact of the revision of existing legislation or legislation already under development seems more likely to have tangible outcomes</w:t>
      </w:r>
      <w:r w:rsidR="5459816A">
        <w:t>. However,</w:t>
      </w:r>
      <w:r>
        <w:t xml:space="preserve"> the extent to which disability rights will be integrated into </w:t>
      </w:r>
      <w:r w:rsidR="003D380B">
        <w:t xml:space="preserve">the final legal texts </w:t>
      </w:r>
      <w:r w:rsidR="422008C2">
        <w:t>also remains uncertain</w:t>
      </w:r>
      <w:r w:rsidR="004531B7">
        <w:t xml:space="preserve"> as it depends on the </w:t>
      </w:r>
      <w:r w:rsidR="00C267CA">
        <w:t>Commission proposals, and the position</w:t>
      </w:r>
      <w:r w:rsidR="003D380B">
        <w:t>s</w:t>
      </w:r>
      <w:r w:rsidR="00C267CA">
        <w:t xml:space="preserve"> of th</w:t>
      </w:r>
      <w:r w:rsidR="003D380B">
        <w:t>e European Parliament and Council of the EU</w:t>
      </w:r>
      <w:r w:rsidR="422008C2">
        <w:t>.</w:t>
      </w:r>
    </w:p>
    <w:p w14:paraId="573EBD76" w14:textId="799BC310" w:rsidR="00D175F1" w:rsidRDefault="7739DD6A" w:rsidP="3E0D7FF0">
      <w:pPr>
        <w:pStyle w:val="Heading2"/>
      </w:pPr>
      <w:bookmarkStart w:id="5" w:name="_Toc235203117"/>
      <w:r>
        <w:lastRenderedPageBreak/>
        <w:t>Calls to the Member States</w:t>
      </w:r>
      <w:bookmarkEnd w:id="5"/>
    </w:p>
    <w:p w14:paraId="383F1DC7" w14:textId="5FAB884D" w:rsidR="023FDD07" w:rsidRDefault="023FDD07" w:rsidP="3E0D7FF0">
      <w:r>
        <w:t xml:space="preserve">The Enhanced Strategy also contains 7 calls to the EU Member States. These are areas where the Commission urges the Member States to take </w:t>
      </w:r>
      <w:r w:rsidR="12CA9988">
        <w:t xml:space="preserve">the lead in delivering </w:t>
      </w:r>
      <w:r>
        <w:t>action th</w:t>
      </w:r>
      <w:r w:rsidR="774D8859">
        <w:t>emselves. The 7 calls are the following:</w:t>
      </w:r>
    </w:p>
    <w:p w14:paraId="2F2B469A" w14:textId="0041F7E5" w:rsidR="774D8859" w:rsidRDefault="774D8859" w:rsidP="3E0D7FF0">
      <w:r w:rsidRPr="3E0D7FF0">
        <w:rPr>
          <w:b/>
          <w:bCs/>
        </w:rPr>
        <w:t>Accessibility:</w:t>
      </w:r>
      <w:r>
        <w:t xml:space="preserve"> Improvement of </w:t>
      </w:r>
      <w:r w:rsidR="63266B7F">
        <w:t>accessibility in standards and technical specifications, including in public procurement, and training professionals.</w:t>
      </w:r>
    </w:p>
    <w:p w14:paraId="27454A6A" w14:textId="4ACAA593" w:rsidR="63266B7F" w:rsidRDefault="63266B7F" w:rsidP="3E0D7FF0">
      <w:r w:rsidRPr="3E0D7FF0">
        <w:rPr>
          <w:b/>
          <w:bCs/>
        </w:rPr>
        <w:t xml:space="preserve">Democratic process: </w:t>
      </w:r>
      <w:r>
        <w:t>promote participation and provide accessible information, communications and voting materials, procedures and facilities</w:t>
      </w:r>
      <w:r w:rsidR="0560A9B0">
        <w:t>.</w:t>
      </w:r>
    </w:p>
    <w:p w14:paraId="1865CA58" w14:textId="047E6B65" w:rsidR="0560A9B0" w:rsidRDefault="0560A9B0" w:rsidP="3E0D7FF0">
      <w:r w:rsidRPr="3E0D7FF0">
        <w:rPr>
          <w:b/>
          <w:bCs/>
        </w:rPr>
        <w:t>Independent living:</w:t>
      </w:r>
      <w:r>
        <w:t xml:space="preserve"> national targets, accessible housing, community-based services, personal assistance, centres for independent living, and supported decision-making.</w:t>
      </w:r>
    </w:p>
    <w:p w14:paraId="6A8EDA9F" w14:textId="6976B3B8" w:rsidR="0560A9B0" w:rsidRDefault="0560A9B0" w:rsidP="3E0D7FF0">
      <w:r w:rsidRPr="3E0D7FF0">
        <w:rPr>
          <w:b/>
          <w:bCs/>
        </w:rPr>
        <w:t>Social protection:</w:t>
      </w:r>
      <w:r>
        <w:t xml:space="preserve"> modernise social protection for coverage and adequacy gaps for persons with disabilities and work disincentives, compensating disability extra costs, and person-centred funding.</w:t>
      </w:r>
    </w:p>
    <w:p w14:paraId="6C8F1BE8" w14:textId="77BEC03A" w:rsidR="0560A9B0" w:rsidRDefault="0560A9B0" w:rsidP="3E0D7FF0">
      <w:r w:rsidRPr="3E0D7FF0">
        <w:rPr>
          <w:b/>
          <w:bCs/>
        </w:rPr>
        <w:t>Quality jobs:</w:t>
      </w:r>
      <w:r>
        <w:t xml:space="preserve"> national employment targets for persons with disabilities in the open labour </w:t>
      </w:r>
      <w:proofErr w:type="gramStart"/>
      <w:r>
        <w:t>market, and</w:t>
      </w:r>
      <w:proofErr w:type="gramEnd"/>
      <w:r>
        <w:t xml:space="preserve"> ensuring reasonable accommodation and rehabilitation.</w:t>
      </w:r>
    </w:p>
    <w:p w14:paraId="5E46557A" w14:textId="06D4F188" w:rsidR="0D27F24B" w:rsidRDefault="0D27F24B" w:rsidP="3E0D7FF0">
      <w:r w:rsidRPr="3E0D7FF0">
        <w:rPr>
          <w:b/>
          <w:bCs/>
        </w:rPr>
        <w:t>Inclusive education:</w:t>
      </w:r>
      <w:r>
        <w:t xml:space="preserve"> children, adolescents and young persons with disabilities in mainstream education, accessible and adapted learning materials, individualised teaching approaches.</w:t>
      </w:r>
    </w:p>
    <w:p w14:paraId="5467FC1B" w14:textId="30FE74EA" w:rsidR="5A6EBD0D" w:rsidRDefault="5A6EBD0D" w:rsidP="3E0D7FF0">
      <w:r w:rsidRPr="3E0D7FF0">
        <w:rPr>
          <w:b/>
          <w:bCs/>
        </w:rPr>
        <w:t xml:space="preserve">Preparedness and humanitarian aid: </w:t>
      </w:r>
      <w:r>
        <w:t>inclusive and accessible humanitarian aid operations, meaningful access to full participation in humanitarian action.</w:t>
      </w:r>
    </w:p>
    <w:p w14:paraId="266D0583" w14:textId="1C9D6DEC" w:rsidR="5A6EBD0D" w:rsidRDefault="5A6EBD0D" w:rsidP="3E0D7FF0">
      <w:r w:rsidRPr="3E0D7FF0">
        <w:rPr>
          <w:b/>
          <w:bCs/>
        </w:rPr>
        <w:t>Efficiency delivering the strategy:</w:t>
      </w:r>
      <w:r>
        <w:t xml:space="preserve"> share good practices from their disability plans and strategies and exchange information on national developments via the D</w:t>
      </w:r>
      <w:r w:rsidR="06035AC8">
        <w:t>i</w:t>
      </w:r>
      <w:r>
        <w:t>sability Platform.</w:t>
      </w:r>
    </w:p>
    <w:p w14:paraId="527FBB52" w14:textId="6FC08488" w:rsidR="00D175F1" w:rsidRDefault="00223BD4" w:rsidP="00D175F1">
      <w:pPr>
        <w:pStyle w:val="Heading2"/>
      </w:pPr>
      <w:bookmarkStart w:id="6" w:name="_Toc235203118"/>
      <w:r>
        <w:t>Actions that are not new</w:t>
      </w:r>
      <w:bookmarkEnd w:id="6"/>
    </w:p>
    <w:p w14:paraId="555E93B8" w14:textId="11995D9C" w:rsidR="00431595" w:rsidRDefault="00673398" w:rsidP="00D175F1">
      <w:r>
        <w:t xml:space="preserve">In our analysis of the Enhanced Strategy, the European Disability Forum counted </w:t>
      </w:r>
      <w:r w:rsidR="191F26F4">
        <w:t>a significant number of</w:t>
      </w:r>
      <w:r>
        <w:t xml:space="preserve"> actions</w:t>
      </w:r>
      <w:r w:rsidR="00276688">
        <w:t xml:space="preserve"> that are not new.</w:t>
      </w:r>
      <w:r w:rsidR="008205F1">
        <w:t xml:space="preserve"> This means that</w:t>
      </w:r>
      <w:r w:rsidR="00ED45B9">
        <w:t xml:space="preserve"> their existence is not at all linked to or dependent on th</w:t>
      </w:r>
      <w:r w:rsidR="00431595">
        <w:t>e release of the Enhanced Strategy.</w:t>
      </w:r>
      <w:r w:rsidR="6C799BCD">
        <w:t xml:space="preserve"> </w:t>
      </w:r>
      <w:r w:rsidR="4E000902">
        <w:t>We have been conscious to indicate in our analysis of the actions where this is the case.</w:t>
      </w:r>
      <w:r w:rsidR="00276688">
        <w:t xml:space="preserve"> </w:t>
      </w:r>
    </w:p>
    <w:p w14:paraId="769C0A82" w14:textId="10F0AAF3" w:rsidR="008205F1" w:rsidRDefault="00291314" w:rsidP="00D175F1">
      <w:r>
        <w:t>While some of these</w:t>
      </w:r>
      <w:r w:rsidR="00431595">
        <w:t xml:space="preserve"> actions</w:t>
      </w:r>
      <w:r>
        <w:t xml:space="preserve"> have only recently been introduced through other </w:t>
      </w:r>
      <w:proofErr w:type="gramStart"/>
      <w:r>
        <w:t>newly-released</w:t>
      </w:r>
      <w:proofErr w:type="gramEnd"/>
      <w:r>
        <w:t xml:space="preserve"> strategies, a considerable number </w:t>
      </w:r>
      <w:r w:rsidR="0012161D">
        <w:t xml:space="preserve">already </w:t>
      </w:r>
      <w:proofErr w:type="gramStart"/>
      <w:r w:rsidR="00431595">
        <w:t>began</w:t>
      </w:r>
      <w:r>
        <w:t xml:space="preserve"> </w:t>
      </w:r>
      <w:r w:rsidR="009B4F89">
        <w:t xml:space="preserve"> or</w:t>
      </w:r>
      <w:proofErr w:type="gramEnd"/>
      <w:r w:rsidR="009B4F89">
        <w:t xml:space="preserve"> were (sometimes legally) scheduled, such as revision of existing legislation</w:t>
      </w:r>
      <w:r w:rsidR="0032607D">
        <w:t>.</w:t>
      </w:r>
      <w:r>
        <w:t xml:space="preserve"> </w:t>
      </w:r>
    </w:p>
    <w:p w14:paraId="2138741F" w14:textId="12FC5D82" w:rsidR="00D175F1" w:rsidRPr="00D175F1" w:rsidRDefault="00673398" w:rsidP="00D175F1">
      <w:r>
        <w:lastRenderedPageBreak/>
        <w:t xml:space="preserve"> </w:t>
      </w:r>
    </w:p>
    <w:p w14:paraId="7D7D436B" w14:textId="77777777" w:rsidR="00DE4F7A" w:rsidRDefault="00DE4F7A" w:rsidP="00DE4F7A">
      <w:pPr>
        <w:pStyle w:val="Heading2"/>
      </w:pPr>
      <w:bookmarkStart w:id="7" w:name="_Toc235203119"/>
      <w:r>
        <w:t>Inclusion of EDF’s demands in the enhanced strategy</w:t>
      </w:r>
      <w:bookmarkEnd w:id="7"/>
    </w:p>
    <w:p w14:paraId="43C3C431" w14:textId="6F66006D" w:rsidR="00F66962" w:rsidRDefault="00FA0292" w:rsidP="00DE4F7A">
      <w:r>
        <w:t xml:space="preserve">Ahead of </w:t>
      </w:r>
      <w:r w:rsidR="00AA3D3F">
        <w:t xml:space="preserve">Commission’s work on the second phase of the EU Strategy on the Rights of Persons with Disabilities, EDF </w:t>
      </w:r>
      <w:r w:rsidR="008554E7">
        <w:t xml:space="preserve">developed and presented a </w:t>
      </w:r>
      <w:hyperlink r:id="rId17" w:history="1">
        <w:r w:rsidR="008554E7" w:rsidRPr="00F66962">
          <w:rPr>
            <w:rStyle w:val="Hyperlink"/>
          </w:rPr>
          <w:t xml:space="preserve">detailed position paper outlining </w:t>
        </w:r>
        <w:r w:rsidR="00F66962" w:rsidRPr="00F66962">
          <w:rPr>
            <w:rStyle w:val="Hyperlink"/>
          </w:rPr>
          <w:t>its recommendations for new actions</w:t>
        </w:r>
      </w:hyperlink>
      <w:r w:rsidR="00F66962">
        <w:t xml:space="preserve">.  </w:t>
      </w:r>
    </w:p>
    <w:p w14:paraId="5DBB4898" w14:textId="48D2DBFE" w:rsidR="00F66962" w:rsidRDefault="00586EEF" w:rsidP="00DE4F7A">
      <w:r>
        <w:t xml:space="preserve">Below is a list of the proposals made by EDF that were not </w:t>
      </w:r>
      <w:proofErr w:type="gramStart"/>
      <w:r>
        <w:t>taken into account</w:t>
      </w:r>
      <w:proofErr w:type="gramEnd"/>
      <w:r>
        <w:t xml:space="preserve"> </w:t>
      </w:r>
      <w:r w:rsidR="00052CC5">
        <w:t xml:space="preserve">in the final actions, those that were included, and those that were partially included, albeit with </w:t>
      </w:r>
      <w:r w:rsidR="00433241">
        <w:t xml:space="preserve">a different means of implementation or altered scope of activity. </w:t>
      </w:r>
    </w:p>
    <w:p w14:paraId="727D107E" w14:textId="77777777" w:rsidR="00586EEF" w:rsidRPr="00155AE0" w:rsidRDefault="00586EEF" w:rsidP="00586EEF">
      <w:pPr>
        <w:pStyle w:val="Heading3"/>
      </w:pPr>
      <w:bookmarkStart w:id="8" w:name="_Toc184574130"/>
      <w:bookmarkStart w:id="9" w:name="_Hlk176344586"/>
      <w:r w:rsidRPr="00155AE0">
        <w:t>Not included</w:t>
      </w:r>
    </w:p>
    <w:p w14:paraId="42EE9C52" w14:textId="77777777" w:rsidR="00586EEF" w:rsidRPr="00155AE0" w:rsidRDefault="00586EEF" w:rsidP="00EA5C76">
      <w:pPr>
        <w:pStyle w:val="ListParagraph"/>
        <w:numPr>
          <w:ilvl w:val="0"/>
          <w:numId w:val="16"/>
        </w:numPr>
        <w:spacing w:line="278" w:lineRule="auto"/>
      </w:pPr>
      <w:r w:rsidRPr="00155AE0">
        <w:t>Flagship 1: European Agency for Accessibility</w:t>
      </w:r>
      <w:bookmarkEnd w:id="8"/>
    </w:p>
    <w:p w14:paraId="56EFDB04" w14:textId="77777777" w:rsidR="00586EEF" w:rsidRPr="00155AE0" w:rsidRDefault="00586EEF" w:rsidP="00EA5C76">
      <w:pPr>
        <w:pStyle w:val="ListParagraph"/>
        <w:numPr>
          <w:ilvl w:val="0"/>
          <w:numId w:val="16"/>
        </w:numPr>
        <w:spacing w:line="278" w:lineRule="auto"/>
      </w:pPr>
      <w:bookmarkStart w:id="10" w:name="_Toc184574131"/>
      <w:bookmarkEnd w:id="9"/>
      <w:r w:rsidRPr="00155AE0">
        <w:t>Flagship 2: Legislation on the affordability of assistive technology</w:t>
      </w:r>
      <w:bookmarkEnd w:id="10"/>
    </w:p>
    <w:p w14:paraId="4AB21181" w14:textId="77777777" w:rsidR="00586EEF" w:rsidRPr="00155AE0" w:rsidRDefault="00586EEF" w:rsidP="00EA5C76">
      <w:pPr>
        <w:pStyle w:val="ListParagraph"/>
        <w:numPr>
          <w:ilvl w:val="0"/>
          <w:numId w:val="16"/>
        </w:numPr>
        <w:spacing w:line="278" w:lineRule="auto"/>
        <w:rPr>
          <w:rFonts w:cs="Arial"/>
        </w:rPr>
      </w:pPr>
      <w:bookmarkStart w:id="11" w:name="_Toc184574146"/>
      <w:bookmarkStart w:id="12" w:name="_Hlk176344727"/>
      <w:r w:rsidRPr="00155AE0">
        <w:rPr>
          <w:rFonts w:cs="Arial"/>
        </w:rPr>
        <w:t xml:space="preserve">Flagship 3: </w:t>
      </w:r>
      <w:bookmarkStart w:id="13" w:name="_Hlk176342675"/>
      <w:r w:rsidRPr="00155AE0">
        <w:rPr>
          <w:rFonts w:cs="Arial"/>
        </w:rPr>
        <w:t>Directive for full freedom of movement of persons with disabilities</w:t>
      </w:r>
      <w:bookmarkEnd w:id="11"/>
      <w:r w:rsidRPr="00155AE0">
        <w:rPr>
          <w:rFonts w:cs="Arial"/>
        </w:rPr>
        <w:t xml:space="preserve"> </w:t>
      </w:r>
      <w:bookmarkEnd w:id="13"/>
    </w:p>
    <w:p w14:paraId="2C564EAB" w14:textId="77777777" w:rsidR="00586EEF" w:rsidRPr="00155AE0" w:rsidRDefault="00586EEF" w:rsidP="00EA5C76">
      <w:pPr>
        <w:pStyle w:val="ListParagraph"/>
        <w:numPr>
          <w:ilvl w:val="0"/>
          <w:numId w:val="16"/>
        </w:numPr>
        <w:spacing w:line="278" w:lineRule="auto"/>
        <w:rPr>
          <w:rFonts w:cs="Arial"/>
        </w:rPr>
      </w:pPr>
      <w:bookmarkStart w:id="14" w:name="_Toc184574153"/>
      <w:r w:rsidRPr="00155AE0">
        <w:rPr>
          <w:rFonts w:cs="Arial"/>
        </w:rPr>
        <w:t>Flagship 4: Disability Employment and Skills Guarantee</w:t>
      </w:r>
      <w:bookmarkEnd w:id="14"/>
    </w:p>
    <w:p w14:paraId="0614B092" w14:textId="77777777" w:rsidR="00586EEF" w:rsidRPr="00155AE0" w:rsidRDefault="00586EEF" w:rsidP="00EA5C76">
      <w:pPr>
        <w:pStyle w:val="ListParagraph"/>
        <w:numPr>
          <w:ilvl w:val="0"/>
          <w:numId w:val="16"/>
        </w:numPr>
        <w:spacing w:line="278" w:lineRule="auto"/>
        <w:rPr>
          <w:rFonts w:cs="Arial"/>
        </w:rPr>
      </w:pPr>
      <w:bookmarkStart w:id="15" w:name="_Toc184574162"/>
      <w:bookmarkStart w:id="16" w:name="_Hlk176344764"/>
      <w:r w:rsidRPr="00155AE0">
        <w:rPr>
          <w:rFonts w:cs="Arial"/>
        </w:rPr>
        <w:t xml:space="preserve">Flagship 6: </w:t>
      </w:r>
      <w:bookmarkEnd w:id="15"/>
      <w:r w:rsidRPr="00155AE0">
        <w:rPr>
          <w:rFonts w:cs="Arial"/>
        </w:rPr>
        <w:t>Set rules on accessibility for all EU funding going towards housing</w:t>
      </w:r>
    </w:p>
    <w:bookmarkEnd w:id="16"/>
    <w:p w14:paraId="62C6783A" w14:textId="77777777" w:rsidR="00586EEF" w:rsidRPr="00155AE0" w:rsidRDefault="00586EEF" w:rsidP="00EA5C76">
      <w:pPr>
        <w:pStyle w:val="ListParagraph"/>
        <w:numPr>
          <w:ilvl w:val="0"/>
          <w:numId w:val="16"/>
        </w:numPr>
        <w:spacing w:line="278" w:lineRule="auto"/>
        <w:rPr>
          <w:rFonts w:cs="Arial"/>
        </w:rPr>
      </w:pPr>
      <w:r w:rsidRPr="00155AE0">
        <w:rPr>
          <w:rFonts w:cs="Arial"/>
        </w:rPr>
        <w:t>Flagship 7: Strong actions to end forced sterilisation</w:t>
      </w:r>
    </w:p>
    <w:p w14:paraId="72FF22D5" w14:textId="77777777" w:rsidR="00586EEF" w:rsidRPr="00155AE0" w:rsidRDefault="00586EEF" w:rsidP="00EA5C76">
      <w:pPr>
        <w:pStyle w:val="ListParagraph"/>
        <w:numPr>
          <w:ilvl w:val="0"/>
          <w:numId w:val="16"/>
        </w:numPr>
        <w:spacing w:line="278" w:lineRule="auto"/>
        <w:rPr>
          <w:rFonts w:cs="Arial"/>
          <w:sz w:val="18"/>
          <w:szCs w:val="18"/>
          <w:lang w:eastAsia="en-GB"/>
        </w:rPr>
      </w:pPr>
      <w:bookmarkStart w:id="17" w:name="_Toc184574183"/>
      <w:bookmarkStart w:id="18" w:name="_Hlk176344834"/>
      <w:r w:rsidRPr="00155AE0">
        <w:rPr>
          <w:rFonts w:cs="Arial"/>
          <w:lang w:eastAsia="en-GB"/>
        </w:rPr>
        <w:t xml:space="preserve">Flagship 8: </w:t>
      </w:r>
      <w:bookmarkStart w:id="19" w:name="_Hlk176345365"/>
      <w:r w:rsidRPr="00155AE0">
        <w:rPr>
          <w:rFonts w:cs="Arial"/>
          <w:lang w:eastAsia="en-GB"/>
        </w:rPr>
        <w:t>Disability Action Plan in EU External Action</w:t>
      </w:r>
      <w:bookmarkEnd w:id="17"/>
      <w:r w:rsidRPr="00155AE0">
        <w:rPr>
          <w:rFonts w:cs="Arial"/>
          <w:lang w:eastAsia="en-GB"/>
        </w:rPr>
        <w:t> </w:t>
      </w:r>
      <w:bookmarkEnd w:id="18"/>
      <w:bookmarkEnd w:id="19"/>
    </w:p>
    <w:p w14:paraId="604721E1" w14:textId="77777777" w:rsidR="00795E25" w:rsidRDefault="00795E25" w:rsidP="00EA5C76">
      <w:pPr>
        <w:pStyle w:val="ListParagraph"/>
        <w:numPr>
          <w:ilvl w:val="0"/>
          <w:numId w:val="16"/>
        </w:numPr>
        <w:spacing w:line="278" w:lineRule="auto"/>
      </w:pPr>
      <w:bookmarkStart w:id="20" w:name="_Toc184574173"/>
      <w:r w:rsidRPr="007E4A49">
        <w:t xml:space="preserve">Revise Regulation 1107/2006 on the rights of persons with disabilities travelling by air </w:t>
      </w:r>
    </w:p>
    <w:p w14:paraId="40E83672" w14:textId="77777777" w:rsidR="00586EEF" w:rsidRPr="00155AE0" w:rsidRDefault="00586EEF" w:rsidP="0072602F">
      <w:pPr>
        <w:pStyle w:val="ListParagraph"/>
        <w:spacing w:line="278" w:lineRule="auto"/>
        <w:rPr>
          <w:color w:val="1F4E79" w:themeColor="accent5" w:themeShade="80"/>
        </w:rPr>
      </w:pPr>
      <w:r w:rsidRPr="00155AE0">
        <w:t>Recognition of national sign languages as part of the multilingual EU</w:t>
      </w:r>
      <w:bookmarkEnd w:id="20"/>
    </w:p>
    <w:p w14:paraId="277D9100" w14:textId="77777777" w:rsidR="00586EEF" w:rsidRPr="00155AE0" w:rsidRDefault="00586EEF" w:rsidP="00EA5C76">
      <w:pPr>
        <w:pStyle w:val="ListParagraph"/>
        <w:numPr>
          <w:ilvl w:val="0"/>
          <w:numId w:val="16"/>
        </w:numPr>
        <w:spacing w:line="278" w:lineRule="auto"/>
      </w:pPr>
      <w:r w:rsidRPr="00155AE0">
        <w:t xml:space="preserve">Adoption of a Horizontal Equal Treatment Directive </w:t>
      </w:r>
    </w:p>
    <w:p w14:paraId="173081D2" w14:textId="77777777" w:rsidR="00586EEF" w:rsidRPr="00155AE0" w:rsidRDefault="00586EEF" w:rsidP="00EA5C76">
      <w:pPr>
        <w:pStyle w:val="ListParagraph"/>
        <w:numPr>
          <w:ilvl w:val="0"/>
          <w:numId w:val="16"/>
        </w:numPr>
        <w:spacing w:line="278" w:lineRule="auto"/>
      </w:pPr>
      <w:r w:rsidRPr="00155AE0">
        <w:t>Set quota system for employees with disabilities in the EU institutions</w:t>
      </w:r>
    </w:p>
    <w:p w14:paraId="3AF12071" w14:textId="77777777" w:rsidR="00586EEF" w:rsidRPr="00155AE0" w:rsidRDefault="00586EEF" w:rsidP="00EA5C76">
      <w:pPr>
        <w:pStyle w:val="ListParagraph"/>
        <w:numPr>
          <w:ilvl w:val="0"/>
          <w:numId w:val="16"/>
        </w:numPr>
        <w:spacing w:line="278" w:lineRule="auto"/>
      </w:pPr>
      <w:r w:rsidRPr="00155AE0">
        <w:t>Initiative on the mutual recognition of assistance dogs</w:t>
      </w:r>
    </w:p>
    <w:p w14:paraId="4F767002" w14:textId="77777777" w:rsidR="00586EEF" w:rsidRPr="00155AE0" w:rsidRDefault="00586EEF" w:rsidP="00EA5C76">
      <w:pPr>
        <w:pStyle w:val="ListParagraph"/>
        <w:numPr>
          <w:ilvl w:val="0"/>
          <w:numId w:val="16"/>
        </w:numPr>
        <w:spacing w:line="278" w:lineRule="auto"/>
        <w:rPr>
          <w:rFonts w:cs="Arial"/>
        </w:rPr>
      </w:pPr>
      <w:r w:rsidRPr="00155AE0">
        <w:t>Legislation on equal access to essential services</w:t>
      </w:r>
    </w:p>
    <w:p w14:paraId="0DB3D838" w14:textId="77777777" w:rsidR="00586EEF" w:rsidRPr="00155AE0" w:rsidRDefault="00586EEF" w:rsidP="00EA5C76">
      <w:pPr>
        <w:pStyle w:val="ListParagraph"/>
        <w:numPr>
          <w:ilvl w:val="0"/>
          <w:numId w:val="16"/>
        </w:numPr>
        <w:spacing w:line="278" w:lineRule="auto"/>
        <w:rPr>
          <w:rFonts w:cs="Arial"/>
        </w:rPr>
      </w:pPr>
      <w:bookmarkStart w:id="21" w:name="_Toc184574138"/>
      <w:r w:rsidRPr="00155AE0">
        <w:rPr>
          <w:rFonts w:cs="Arial"/>
        </w:rPr>
        <w:t>Copyright exemptions on cultural works for accessibility</w:t>
      </w:r>
      <w:bookmarkEnd w:id="21"/>
    </w:p>
    <w:p w14:paraId="477A8781" w14:textId="77777777" w:rsidR="00586EEF" w:rsidRPr="00155AE0" w:rsidRDefault="00586EEF" w:rsidP="00EA5C76">
      <w:pPr>
        <w:pStyle w:val="ListParagraph"/>
        <w:numPr>
          <w:ilvl w:val="0"/>
          <w:numId w:val="16"/>
        </w:numPr>
        <w:spacing w:line="278" w:lineRule="auto"/>
        <w:rPr>
          <w:rFonts w:cs="Arial"/>
        </w:rPr>
      </w:pPr>
      <w:bookmarkStart w:id="22" w:name="_Toc184574140"/>
      <w:r w:rsidRPr="00155AE0">
        <w:rPr>
          <w:rFonts w:cs="Arial"/>
        </w:rPr>
        <w:t>Single Digital Booking and Ticketing Regulation for transport</w:t>
      </w:r>
      <w:bookmarkEnd w:id="22"/>
    </w:p>
    <w:p w14:paraId="42AD2B51" w14:textId="77777777" w:rsidR="00586EEF" w:rsidRPr="00155AE0" w:rsidRDefault="00586EEF" w:rsidP="00EA5C76">
      <w:pPr>
        <w:pStyle w:val="ListParagraph"/>
        <w:numPr>
          <w:ilvl w:val="0"/>
          <w:numId w:val="16"/>
        </w:numPr>
        <w:spacing w:line="278" w:lineRule="auto"/>
        <w:rPr>
          <w:rFonts w:cs="Arial"/>
        </w:rPr>
      </w:pPr>
      <w:bookmarkStart w:id="23" w:name="_Toc184574155"/>
      <w:r w:rsidRPr="00155AE0">
        <w:rPr>
          <w:rFonts w:cs="Arial"/>
        </w:rPr>
        <w:t>A Directive to regulate the use of algorithms for managing, monitoring and recruiting workers</w:t>
      </w:r>
      <w:bookmarkEnd w:id="23"/>
    </w:p>
    <w:p w14:paraId="086398E6" w14:textId="77777777" w:rsidR="00586EEF" w:rsidRPr="00155AE0" w:rsidRDefault="00586EEF" w:rsidP="00EA5C76">
      <w:pPr>
        <w:pStyle w:val="ListParagraph"/>
        <w:numPr>
          <w:ilvl w:val="0"/>
          <w:numId w:val="16"/>
        </w:numPr>
        <w:spacing w:line="278" w:lineRule="auto"/>
        <w:rPr>
          <w:rFonts w:cs="Arial"/>
        </w:rPr>
      </w:pPr>
      <w:bookmarkStart w:id="24" w:name="_Toc184574156"/>
      <w:r w:rsidRPr="00155AE0">
        <w:rPr>
          <w:rFonts w:cs="Arial"/>
        </w:rPr>
        <w:t>Recommendations to the Member States on compatibility between disability allowance and other forms of income</w:t>
      </w:r>
      <w:bookmarkEnd w:id="24"/>
    </w:p>
    <w:p w14:paraId="6FED5431" w14:textId="77777777" w:rsidR="00586EEF" w:rsidRPr="00155AE0" w:rsidRDefault="00586EEF" w:rsidP="00EA5C76">
      <w:pPr>
        <w:pStyle w:val="ListParagraph"/>
        <w:numPr>
          <w:ilvl w:val="0"/>
          <w:numId w:val="16"/>
        </w:numPr>
        <w:spacing w:line="278" w:lineRule="auto"/>
        <w:rPr>
          <w:rFonts w:cs="Arial"/>
        </w:rPr>
      </w:pPr>
      <w:bookmarkStart w:id="25" w:name="_Toc184574158"/>
      <w:r w:rsidRPr="00155AE0">
        <w:rPr>
          <w:rFonts w:cs="Arial"/>
        </w:rPr>
        <w:t>Study on income and pension gaps for informal carers</w:t>
      </w:r>
      <w:bookmarkEnd w:id="25"/>
    </w:p>
    <w:p w14:paraId="7EC3D52E" w14:textId="77777777" w:rsidR="00586EEF" w:rsidRDefault="00586EEF" w:rsidP="00EA5C76">
      <w:pPr>
        <w:pStyle w:val="ListParagraph"/>
        <w:numPr>
          <w:ilvl w:val="0"/>
          <w:numId w:val="16"/>
        </w:numPr>
        <w:spacing w:line="278" w:lineRule="auto"/>
        <w:rPr>
          <w:rFonts w:cs="Arial"/>
        </w:rPr>
      </w:pPr>
      <w:bookmarkStart w:id="26" w:name="_Toc184574166"/>
      <w:r w:rsidRPr="00155AE0">
        <w:rPr>
          <w:rFonts w:cs="Arial"/>
        </w:rPr>
        <w:t>Study on the impact of the transition to adulthood for young persons with disabilities</w:t>
      </w:r>
      <w:bookmarkEnd w:id="26"/>
      <w:r w:rsidRPr="00155AE0">
        <w:rPr>
          <w:rFonts w:cs="Arial"/>
        </w:rPr>
        <w:t xml:space="preserve"> </w:t>
      </w:r>
    </w:p>
    <w:p w14:paraId="39D64FCE" w14:textId="77777777" w:rsidR="00586EEF" w:rsidRPr="007E4A49" w:rsidRDefault="00586EEF" w:rsidP="00EA5C76">
      <w:pPr>
        <w:pStyle w:val="ListParagraph"/>
        <w:numPr>
          <w:ilvl w:val="0"/>
          <w:numId w:val="16"/>
        </w:numPr>
        <w:spacing w:line="278" w:lineRule="auto"/>
        <w:rPr>
          <w:rFonts w:cs="Arial"/>
        </w:rPr>
      </w:pPr>
      <w:r w:rsidRPr="007E4A49">
        <w:rPr>
          <w:rFonts w:cs="Arial"/>
        </w:rPr>
        <w:t xml:space="preserve">EU coordinator on ending all forms of violence against women </w:t>
      </w:r>
    </w:p>
    <w:p w14:paraId="6DC062AE" w14:textId="77777777" w:rsidR="00586EEF" w:rsidRPr="00155AE0" w:rsidRDefault="00586EEF" w:rsidP="00EA5C76">
      <w:pPr>
        <w:pStyle w:val="ListParagraph"/>
        <w:numPr>
          <w:ilvl w:val="0"/>
          <w:numId w:val="16"/>
        </w:numPr>
        <w:spacing w:line="278" w:lineRule="auto"/>
        <w:rPr>
          <w:rFonts w:cs="Arial"/>
        </w:rPr>
      </w:pPr>
      <w:bookmarkStart w:id="27" w:name="_Toc184574177"/>
      <w:r w:rsidRPr="00155AE0">
        <w:rPr>
          <w:rFonts w:cs="Arial"/>
        </w:rPr>
        <w:lastRenderedPageBreak/>
        <w:t>Support representation of persons with disabilities in the media</w:t>
      </w:r>
      <w:bookmarkEnd w:id="27"/>
      <w:r w:rsidRPr="00155AE0">
        <w:rPr>
          <w:rFonts w:cs="Arial"/>
        </w:rPr>
        <w:t xml:space="preserve"> </w:t>
      </w:r>
    </w:p>
    <w:p w14:paraId="0896AD0B" w14:textId="77777777" w:rsidR="00586EEF" w:rsidRPr="00155AE0" w:rsidRDefault="00586EEF" w:rsidP="00EA5C76">
      <w:pPr>
        <w:pStyle w:val="ListParagraph"/>
        <w:numPr>
          <w:ilvl w:val="0"/>
          <w:numId w:val="16"/>
        </w:numPr>
        <w:spacing w:line="278" w:lineRule="auto"/>
        <w:rPr>
          <w:color w:val="1F4E79" w:themeColor="accent5" w:themeShade="80"/>
        </w:rPr>
      </w:pPr>
      <w:bookmarkStart w:id="28" w:name="_Toc184574187"/>
      <w:r w:rsidRPr="00155AE0">
        <w:rPr>
          <w:rFonts w:cs="Arial"/>
          <w:lang w:eastAsia="en-GB"/>
        </w:rPr>
        <w:t>Budget for Community-based Support Beyond EU Member States</w:t>
      </w:r>
      <w:bookmarkEnd w:id="28"/>
      <w:r w:rsidRPr="00155AE0">
        <w:rPr>
          <w:rFonts w:cs="Arial"/>
          <w:lang w:eastAsia="en-GB"/>
        </w:rPr>
        <w:t> </w:t>
      </w:r>
    </w:p>
    <w:p w14:paraId="17792DFB" w14:textId="77777777" w:rsidR="00586EEF" w:rsidRPr="00155AE0" w:rsidRDefault="00586EEF" w:rsidP="00EA5C76">
      <w:pPr>
        <w:pStyle w:val="ListParagraph"/>
        <w:numPr>
          <w:ilvl w:val="0"/>
          <w:numId w:val="16"/>
        </w:numPr>
        <w:spacing w:line="278" w:lineRule="auto"/>
        <w:rPr>
          <w:rFonts w:cs="Arial"/>
        </w:rPr>
      </w:pPr>
      <w:r w:rsidRPr="00155AE0">
        <w:rPr>
          <w:rFonts w:cs="Arial"/>
        </w:rPr>
        <w:t>Strengthen inclusive education in the European schools</w:t>
      </w:r>
    </w:p>
    <w:p w14:paraId="1EE5A564" w14:textId="77777777" w:rsidR="00586EEF" w:rsidRPr="00155AE0" w:rsidRDefault="00586EEF" w:rsidP="00EA5C76">
      <w:pPr>
        <w:pStyle w:val="ListParagraph"/>
        <w:numPr>
          <w:ilvl w:val="0"/>
          <w:numId w:val="16"/>
        </w:numPr>
        <w:spacing w:line="278" w:lineRule="auto"/>
      </w:pPr>
      <w:r w:rsidRPr="00155AE0">
        <w:t xml:space="preserve">Establish an annual Disability Rights Forum </w:t>
      </w:r>
    </w:p>
    <w:p w14:paraId="7AD1F3CB" w14:textId="622C5F3C" w:rsidR="00586EEF" w:rsidRPr="00DB5E29" w:rsidRDefault="00586EEF" w:rsidP="00EA5C76">
      <w:pPr>
        <w:pStyle w:val="ListParagraph"/>
        <w:numPr>
          <w:ilvl w:val="0"/>
          <w:numId w:val="16"/>
        </w:numPr>
        <w:spacing w:line="278" w:lineRule="auto"/>
        <w:rPr>
          <w:rFonts w:cs="Arial"/>
        </w:rPr>
      </w:pPr>
      <w:bookmarkStart w:id="29" w:name="_Toc184574200"/>
      <w:r w:rsidRPr="00155AE0">
        <w:rPr>
          <w:rFonts w:cs="Arial"/>
        </w:rPr>
        <w:t>Introduce changes to the Access City Awards</w:t>
      </w:r>
      <w:bookmarkEnd w:id="29"/>
      <w:r w:rsidRPr="00155AE0">
        <w:rPr>
          <w:rFonts w:cs="Arial"/>
        </w:rPr>
        <w:t xml:space="preserve"> </w:t>
      </w:r>
      <w:bookmarkEnd w:id="12"/>
    </w:p>
    <w:p w14:paraId="6382B857" w14:textId="77777777" w:rsidR="00586EEF" w:rsidRPr="00155AE0" w:rsidRDefault="00586EEF" w:rsidP="00586EEF">
      <w:pPr>
        <w:pStyle w:val="Heading3"/>
      </w:pPr>
      <w:r w:rsidRPr="00155AE0">
        <w:t>Included</w:t>
      </w:r>
    </w:p>
    <w:p w14:paraId="28E6DCB7" w14:textId="77777777" w:rsidR="00586EEF" w:rsidRPr="00155AE0" w:rsidRDefault="00586EEF" w:rsidP="00EA5C76">
      <w:pPr>
        <w:pStyle w:val="ListParagraph"/>
        <w:numPr>
          <w:ilvl w:val="0"/>
          <w:numId w:val="17"/>
        </w:numPr>
        <w:spacing w:line="278" w:lineRule="auto"/>
        <w:rPr>
          <w:rFonts w:cs="Arial"/>
          <w:lang w:eastAsia="fr-BE"/>
        </w:rPr>
      </w:pPr>
      <w:bookmarkStart w:id="30" w:name="_Toc184574141"/>
      <w:r w:rsidRPr="00155AE0">
        <w:rPr>
          <w:rFonts w:cs="Arial"/>
          <w:lang w:eastAsia="fr-BE"/>
        </w:rPr>
        <w:t>Revision of the Public Procurement Directive</w:t>
      </w:r>
      <w:bookmarkEnd w:id="30"/>
    </w:p>
    <w:p w14:paraId="218E8AD7" w14:textId="77777777" w:rsidR="00586EEF" w:rsidRPr="00155AE0" w:rsidRDefault="00586EEF" w:rsidP="00EA5C76">
      <w:pPr>
        <w:pStyle w:val="ListParagraph"/>
        <w:numPr>
          <w:ilvl w:val="0"/>
          <w:numId w:val="17"/>
        </w:numPr>
        <w:spacing w:line="278" w:lineRule="auto"/>
        <w:rPr>
          <w:rFonts w:cs="Arial"/>
        </w:rPr>
      </w:pPr>
      <w:r w:rsidRPr="00155AE0">
        <w:rPr>
          <w:rFonts w:cs="Arial"/>
        </w:rPr>
        <w:t>Embedding disability in the European Semester to shape the use of EU funds</w:t>
      </w:r>
    </w:p>
    <w:p w14:paraId="74710EDA" w14:textId="77777777" w:rsidR="00586EEF" w:rsidRPr="00155AE0" w:rsidRDefault="00586EEF" w:rsidP="00EA5C76">
      <w:pPr>
        <w:pStyle w:val="ListParagraph"/>
        <w:numPr>
          <w:ilvl w:val="0"/>
          <w:numId w:val="17"/>
        </w:numPr>
        <w:spacing w:line="278" w:lineRule="auto"/>
        <w:rPr>
          <w:rFonts w:cs="Arial"/>
        </w:rPr>
      </w:pPr>
      <w:bookmarkStart w:id="31" w:name="_Toc184574157"/>
      <w:r w:rsidRPr="00155AE0">
        <w:rPr>
          <w:rFonts w:cs="Arial"/>
        </w:rPr>
        <w:t>Study on the extra cost of living of persons with disabilities</w:t>
      </w:r>
      <w:bookmarkEnd w:id="31"/>
    </w:p>
    <w:p w14:paraId="3053BC9A" w14:textId="77777777" w:rsidR="00586EEF" w:rsidRPr="00155AE0" w:rsidRDefault="00586EEF" w:rsidP="00EA5C76">
      <w:pPr>
        <w:pStyle w:val="ListParagraph"/>
        <w:numPr>
          <w:ilvl w:val="0"/>
          <w:numId w:val="17"/>
        </w:numPr>
        <w:spacing w:line="278" w:lineRule="auto"/>
      </w:pPr>
      <w:r w:rsidRPr="00155AE0">
        <w:t>Further guidance for the Member States on inclusive forms of employment</w:t>
      </w:r>
    </w:p>
    <w:p w14:paraId="17774015" w14:textId="77777777" w:rsidR="00586EEF" w:rsidRPr="00155AE0" w:rsidRDefault="00586EEF" w:rsidP="00EA5C76">
      <w:pPr>
        <w:pStyle w:val="ListParagraph"/>
        <w:numPr>
          <w:ilvl w:val="0"/>
          <w:numId w:val="17"/>
        </w:numPr>
        <w:spacing w:line="278" w:lineRule="auto"/>
      </w:pPr>
      <w:r w:rsidRPr="00155AE0">
        <w:t xml:space="preserve">Guidance to the Member States on good practice for disability assessment </w:t>
      </w:r>
    </w:p>
    <w:p w14:paraId="54E21AD4" w14:textId="77777777" w:rsidR="00586EEF" w:rsidRPr="00155AE0" w:rsidRDefault="00586EEF" w:rsidP="00EA5C76">
      <w:pPr>
        <w:pStyle w:val="ListParagraph"/>
        <w:numPr>
          <w:ilvl w:val="0"/>
          <w:numId w:val="17"/>
        </w:numPr>
        <w:spacing w:line="278" w:lineRule="auto"/>
        <w:rPr>
          <w:lang w:eastAsia="en-GB"/>
        </w:rPr>
      </w:pPr>
      <w:bookmarkStart w:id="32" w:name="_Toc184574190"/>
      <w:r w:rsidRPr="00155AE0">
        <w:rPr>
          <w:lang w:eastAsia="en-GB"/>
        </w:rPr>
        <w:t>Continue Supporting Reconstruction in Ukraine</w:t>
      </w:r>
      <w:bookmarkEnd w:id="32"/>
    </w:p>
    <w:p w14:paraId="012C0F83" w14:textId="77777777" w:rsidR="00586EEF" w:rsidRPr="00155AE0" w:rsidRDefault="00586EEF" w:rsidP="00EA5C76">
      <w:pPr>
        <w:pStyle w:val="ListParagraph"/>
        <w:numPr>
          <w:ilvl w:val="0"/>
          <w:numId w:val="17"/>
        </w:numPr>
        <w:spacing w:line="278" w:lineRule="auto"/>
        <w:rPr>
          <w:color w:val="000000" w:themeColor="text1"/>
        </w:rPr>
      </w:pPr>
      <w:bookmarkStart w:id="33" w:name="_Toc184574193"/>
      <w:r w:rsidRPr="00155AE0">
        <w:rPr>
          <w:rFonts w:cs="Arial"/>
        </w:rPr>
        <w:t>Expand representation within the Disability Platform</w:t>
      </w:r>
      <w:bookmarkEnd w:id="33"/>
      <w:r w:rsidRPr="00155AE0">
        <w:rPr>
          <w:lang w:eastAsia="en-GB"/>
        </w:rPr>
        <w:t> </w:t>
      </w:r>
    </w:p>
    <w:p w14:paraId="125BB590" w14:textId="77777777" w:rsidR="00586EEF" w:rsidRPr="00155AE0" w:rsidRDefault="00586EEF" w:rsidP="00EA5C76">
      <w:pPr>
        <w:pStyle w:val="ListParagraph"/>
        <w:numPr>
          <w:ilvl w:val="0"/>
          <w:numId w:val="17"/>
        </w:numPr>
        <w:spacing w:line="278" w:lineRule="auto"/>
      </w:pPr>
      <w:r w:rsidRPr="00155AE0">
        <w:t>Improve provision of reasonable accommodation by the European Personnel Recruitment Office (EPSO)</w:t>
      </w:r>
    </w:p>
    <w:p w14:paraId="635105CA" w14:textId="77777777" w:rsidR="00586EEF" w:rsidRPr="00155AE0" w:rsidRDefault="00586EEF" w:rsidP="00EA5C76">
      <w:pPr>
        <w:pStyle w:val="ListParagraph"/>
        <w:numPr>
          <w:ilvl w:val="0"/>
          <w:numId w:val="17"/>
        </w:numPr>
        <w:spacing w:line="278" w:lineRule="auto"/>
        <w:rPr>
          <w:rFonts w:cs="Arial"/>
        </w:rPr>
      </w:pPr>
      <w:bookmarkStart w:id="34" w:name="_Toc184574196"/>
      <w:r w:rsidRPr="00155AE0">
        <w:rPr>
          <w:rFonts w:cs="Arial"/>
        </w:rPr>
        <w:t>Inclusive traineeship programmes in the EU institutions</w:t>
      </w:r>
      <w:bookmarkEnd w:id="34"/>
      <w:r w:rsidRPr="00155AE0">
        <w:rPr>
          <w:rFonts w:cs="Arial"/>
        </w:rPr>
        <w:t xml:space="preserve"> </w:t>
      </w:r>
    </w:p>
    <w:p w14:paraId="6B6045F5" w14:textId="77777777" w:rsidR="00586EEF" w:rsidRPr="00155AE0" w:rsidRDefault="00586EEF" w:rsidP="00EA5C76">
      <w:pPr>
        <w:pStyle w:val="ListParagraph"/>
        <w:numPr>
          <w:ilvl w:val="0"/>
          <w:numId w:val="17"/>
        </w:numPr>
        <w:spacing w:line="278" w:lineRule="auto"/>
      </w:pPr>
      <w:r w:rsidRPr="00155AE0">
        <w:t>Guidance for Member States on implementing accessibility provisions for buildings in the Energy Performance of Buildings Directive</w:t>
      </w:r>
    </w:p>
    <w:p w14:paraId="6768BDB7" w14:textId="77777777" w:rsidR="00586EEF" w:rsidRPr="00155AE0" w:rsidRDefault="00586EEF" w:rsidP="00EA5C76">
      <w:pPr>
        <w:pStyle w:val="ListParagraph"/>
        <w:numPr>
          <w:ilvl w:val="0"/>
          <w:numId w:val="17"/>
        </w:numPr>
        <w:spacing w:line="278" w:lineRule="auto"/>
      </w:pPr>
      <w:r w:rsidRPr="00155AE0">
        <w:t>Promotion and implementation of EC Guidelines on access to healthcare for persons with disabilities</w:t>
      </w:r>
    </w:p>
    <w:p w14:paraId="3842FD1B" w14:textId="77777777" w:rsidR="00586EEF" w:rsidRPr="00155AE0" w:rsidRDefault="00586EEF" w:rsidP="00EA5C76">
      <w:pPr>
        <w:pStyle w:val="ListParagraph"/>
        <w:numPr>
          <w:ilvl w:val="0"/>
          <w:numId w:val="17"/>
        </w:numPr>
        <w:spacing w:line="278" w:lineRule="auto"/>
      </w:pPr>
      <w:r w:rsidRPr="00155AE0">
        <w:rPr>
          <w:rFonts w:cs="Arial"/>
        </w:rPr>
        <w:t>Improve data collection disaggregated by disability</w:t>
      </w:r>
    </w:p>
    <w:p w14:paraId="7CF4D6A9" w14:textId="77777777" w:rsidR="00586EEF" w:rsidRPr="00155AE0" w:rsidRDefault="00586EEF" w:rsidP="00EA5C76">
      <w:pPr>
        <w:pStyle w:val="ListParagraph"/>
        <w:numPr>
          <w:ilvl w:val="0"/>
          <w:numId w:val="17"/>
        </w:numPr>
        <w:spacing w:line="278" w:lineRule="auto"/>
        <w:rPr>
          <w:rFonts w:cs="Arial"/>
          <w:lang w:eastAsia="en-GB"/>
        </w:rPr>
      </w:pPr>
      <w:bookmarkStart w:id="35" w:name="_Toc184574186"/>
      <w:r w:rsidRPr="00155AE0">
        <w:rPr>
          <w:rFonts w:cs="Arial"/>
          <w:lang w:eastAsia="en-GB"/>
        </w:rPr>
        <w:t>Support Disability Rights in EU Accession Countries</w:t>
      </w:r>
      <w:bookmarkEnd w:id="35"/>
      <w:r w:rsidRPr="00155AE0">
        <w:rPr>
          <w:rFonts w:cs="Arial"/>
          <w:lang w:eastAsia="en-GB"/>
        </w:rPr>
        <w:t>  </w:t>
      </w:r>
    </w:p>
    <w:p w14:paraId="57DC1A23" w14:textId="77777777" w:rsidR="00586EEF" w:rsidRPr="00155AE0" w:rsidRDefault="00586EEF" w:rsidP="00EA5C76">
      <w:pPr>
        <w:pStyle w:val="ListParagraph"/>
        <w:numPr>
          <w:ilvl w:val="0"/>
          <w:numId w:val="17"/>
        </w:numPr>
        <w:spacing w:line="278" w:lineRule="auto"/>
        <w:rPr>
          <w:color w:val="000000" w:themeColor="text1"/>
        </w:rPr>
      </w:pPr>
      <w:r w:rsidRPr="00155AE0">
        <w:rPr>
          <w:lang w:eastAsia="en-GB"/>
        </w:rPr>
        <w:t xml:space="preserve">Protect Persons with Disabilities in Situations of Conflict and Fragile States  </w:t>
      </w:r>
    </w:p>
    <w:p w14:paraId="31E39D96" w14:textId="77777777" w:rsidR="00586EEF" w:rsidRPr="00155AE0" w:rsidRDefault="00586EEF" w:rsidP="00EA5C76">
      <w:pPr>
        <w:pStyle w:val="ListParagraph"/>
        <w:numPr>
          <w:ilvl w:val="0"/>
          <w:numId w:val="17"/>
        </w:numPr>
        <w:spacing w:line="278" w:lineRule="auto"/>
      </w:pPr>
      <w:bookmarkStart w:id="36" w:name="_Toc184574199"/>
      <w:r w:rsidRPr="00155AE0">
        <w:rPr>
          <w:rFonts w:cs="Arial"/>
        </w:rPr>
        <w:t>Continue with the monitoring framework for the Strategy</w:t>
      </w:r>
      <w:bookmarkEnd w:id="36"/>
    </w:p>
    <w:p w14:paraId="0E963C99" w14:textId="49A64224" w:rsidR="00586EEF" w:rsidRPr="00155AE0" w:rsidRDefault="00586EEF" w:rsidP="00EA5C76">
      <w:pPr>
        <w:pStyle w:val="ListParagraph"/>
        <w:numPr>
          <w:ilvl w:val="0"/>
          <w:numId w:val="17"/>
        </w:numPr>
        <w:spacing w:line="278" w:lineRule="auto"/>
        <w:rPr>
          <w:lang w:eastAsia="en-GB"/>
        </w:rPr>
      </w:pPr>
      <w:r w:rsidRPr="00155AE0">
        <w:t>Enhance the functioning of the EU CRPD Monitoring Framework</w:t>
      </w:r>
    </w:p>
    <w:p w14:paraId="349F73E1" w14:textId="77777777" w:rsidR="00586EEF" w:rsidRPr="00155AE0" w:rsidRDefault="00586EEF" w:rsidP="00586EEF">
      <w:pPr>
        <w:pStyle w:val="Heading3"/>
      </w:pPr>
      <w:r>
        <w:t>Included to a certain extent, by different means or a different scope</w:t>
      </w:r>
    </w:p>
    <w:p w14:paraId="642D3E5A" w14:textId="77777777" w:rsidR="00586EEF" w:rsidRPr="007E4A49" w:rsidRDefault="00586EEF" w:rsidP="00EA5C76">
      <w:pPr>
        <w:pStyle w:val="ListParagraph"/>
        <w:numPr>
          <w:ilvl w:val="0"/>
          <w:numId w:val="18"/>
        </w:numPr>
        <w:spacing w:line="278" w:lineRule="auto"/>
        <w:rPr>
          <w:rFonts w:cs="Arial"/>
          <w:lang w:val="fr-BE"/>
        </w:rPr>
      </w:pPr>
      <w:bookmarkStart w:id="37" w:name="_Toc184574161"/>
      <w:r w:rsidRPr="00270F8D">
        <w:rPr>
          <w:rFonts w:cs="Arial"/>
          <w:b/>
          <w:bCs/>
          <w:lang w:val="fr-BE"/>
        </w:rPr>
        <w:t xml:space="preserve">Flagship </w:t>
      </w:r>
      <w:proofErr w:type="gramStart"/>
      <w:r w:rsidRPr="00270F8D">
        <w:rPr>
          <w:rFonts w:cs="Arial"/>
          <w:b/>
          <w:bCs/>
          <w:lang w:val="fr-BE"/>
        </w:rPr>
        <w:t>5:</w:t>
      </w:r>
      <w:proofErr w:type="gramEnd"/>
      <w:r w:rsidRPr="007E4A49">
        <w:rPr>
          <w:rFonts w:cs="Arial"/>
          <w:lang w:val="fr-BE"/>
        </w:rPr>
        <w:t xml:space="preserve"> </w:t>
      </w:r>
      <w:bookmarkEnd w:id="37"/>
      <w:r w:rsidRPr="007E4A49">
        <w:rPr>
          <w:rFonts w:cs="Arial"/>
          <w:lang w:val="fr-BE"/>
        </w:rPr>
        <w:t>EU Package on de-</w:t>
      </w:r>
      <w:proofErr w:type="spellStart"/>
      <w:r w:rsidRPr="007E4A49">
        <w:rPr>
          <w:rFonts w:cs="Arial"/>
          <w:lang w:val="fr-BE"/>
        </w:rPr>
        <w:t>institutionalisation</w:t>
      </w:r>
      <w:proofErr w:type="spellEnd"/>
      <w:r w:rsidRPr="007E4A49">
        <w:rPr>
          <w:rFonts w:cs="Arial"/>
          <w:lang w:val="fr-BE"/>
        </w:rPr>
        <w:t xml:space="preserve"> </w:t>
      </w:r>
    </w:p>
    <w:p w14:paraId="2DFB9759" w14:textId="1051C46B" w:rsidR="00586EEF" w:rsidRPr="00795E25" w:rsidRDefault="00586EEF" w:rsidP="00EA5C76">
      <w:pPr>
        <w:pStyle w:val="ListParagraph"/>
        <w:numPr>
          <w:ilvl w:val="0"/>
          <w:numId w:val="18"/>
        </w:numPr>
        <w:spacing w:line="278" w:lineRule="auto"/>
        <w:rPr>
          <w:rStyle w:val="Heading3Char"/>
          <w:rFonts w:ascii="Verdana" w:eastAsiaTheme="minorHAnsi" w:hAnsi="Verdana" w:cstheme="minorBidi"/>
          <w:b w:val="0"/>
          <w:color w:val="auto"/>
          <w:sz w:val="24"/>
          <w:szCs w:val="22"/>
          <w:lang w:val="fr-BE"/>
        </w:rPr>
      </w:pPr>
      <w:r w:rsidRPr="00795E25">
        <w:rPr>
          <w:rStyle w:val="Heading3Char"/>
          <w:rFonts w:ascii="Verdana" w:eastAsia="Calibri" w:hAnsi="Verdana"/>
          <w:b w:val="0"/>
          <w:color w:val="000000" w:themeColor="text1"/>
          <w:sz w:val="24"/>
          <w:lang w:val="fr-BE"/>
        </w:rPr>
        <w:t xml:space="preserve">Accessible transport </w:t>
      </w:r>
      <w:proofErr w:type="spellStart"/>
      <w:r w:rsidRPr="00795E25">
        <w:rPr>
          <w:rStyle w:val="Heading3Char"/>
          <w:rFonts w:ascii="Verdana" w:eastAsia="Calibri" w:hAnsi="Verdana"/>
          <w:b w:val="0"/>
          <w:color w:val="000000" w:themeColor="text1"/>
          <w:sz w:val="24"/>
          <w:lang w:val="fr-BE"/>
        </w:rPr>
        <w:t>vehicles</w:t>
      </w:r>
      <w:proofErr w:type="spellEnd"/>
      <w:r w:rsidRPr="00795E25">
        <w:rPr>
          <w:rStyle w:val="Heading3Char"/>
          <w:rFonts w:ascii="Verdana" w:eastAsia="Calibri" w:hAnsi="Verdana"/>
          <w:b w:val="0"/>
          <w:color w:val="000000" w:themeColor="text1"/>
          <w:sz w:val="24"/>
          <w:lang w:val="fr-BE"/>
        </w:rPr>
        <w:t xml:space="preserve"> and infrastructure</w:t>
      </w:r>
      <w:r w:rsidRPr="00795E25">
        <w:rPr>
          <w:rStyle w:val="Heading3Char"/>
          <w:rFonts w:ascii="Verdana" w:eastAsia="Calibri" w:hAnsi="Verdana"/>
          <w:b w:val="0"/>
          <w:sz w:val="24"/>
          <w:lang w:val="fr-BE"/>
        </w:rPr>
        <w:t xml:space="preserve"> </w:t>
      </w:r>
    </w:p>
    <w:p w14:paraId="27E9EF86" w14:textId="77777777" w:rsidR="00586EEF" w:rsidRPr="007E4A49" w:rsidRDefault="00586EEF" w:rsidP="00EA5C76">
      <w:pPr>
        <w:pStyle w:val="ListParagraph"/>
        <w:numPr>
          <w:ilvl w:val="0"/>
          <w:numId w:val="18"/>
        </w:numPr>
        <w:spacing w:line="278" w:lineRule="auto"/>
      </w:pPr>
      <w:r w:rsidRPr="007E4A49">
        <w:t xml:space="preserve">EU accessibility guidelines on urban public transport infrastructure and vehicles </w:t>
      </w:r>
    </w:p>
    <w:p w14:paraId="5496B860" w14:textId="77777777" w:rsidR="00586EEF" w:rsidRPr="007E4A49" w:rsidRDefault="00586EEF" w:rsidP="00EA5C76">
      <w:pPr>
        <w:pStyle w:val="ListParagraph"/>
        <w:numPr>
          <w:ilvl w:val="0"/>
          <w:numId w:val="18"/>
        </w:numPr>
        <w:spacing w:line="278" w:lineRule="auto"/>
      </w:pPr>
      <w:bookmarkStart w:id="38" w:name="_Toc184574135"/>
      <w:r w:rsidRPr="007E4A49">
        <w:t>Revision of the European Standardisation System</w:t>
      </w:r>
      <w:bookmarkEnd w:id="38"/>
      <w:r w:rsidRPr="007E4A49">
        <w:t xml:space="preserve"> </w:t>
      </w:r>
    </w:p>
    <w:p w14:paraId="352C2CC4" w14:textId="77777777" w:rsidR="00586EEF" w:rsidRPr="007E4A49" w:rsidRDefault="00586EEF" w:rsidP="00EA5C76">
      <w:pPr>
        <w:pStyle w:val="ListParagraph"/>
        <w:numPr>
          <w:ilvl w:val="0"/>
          <w:numId w:val="18"/>
        </w:numPr>
        <w:spacing w:line="278" w:lineRule="auto"/>
      </w:pPr>
      <w:r w:rsidRPr="007E4A49">
        <w:t>Legislation on Accessible Labelling</w:t>
      </w:r>
    </w:p>
    <w:p w14:paraId="56AFFDD7" w14:textId="298F183C" w:rsidR="00282FA4" w:rsidRPr="007E4A49" w:rsidRDefault="00282FA4" w:rsidP="00EA5C76">
      <w:pPr>
        <w:pStyle w:val="ListParagraph"/>
        <w:numPr>
          <w:ilvl w:val="0"/>
          <w:numId w:val="18"/>
        </w:numPr>
        <w:spacing w:line="278" w:lineRule="auto"/>
      </w:pPr>
      <w:r w:rsidRPr="00155AE0">
        <w:lastRenderedPageBreak/>
        <w:t>Revision of the Audiovisual Media Services Directive (AVMSD)</w:t>
      </w:r>
    </w:p>
    <w:p w14:paraId="7ABE38A3" w14:textId="77777777" w:rsidR="00586EEF" w:rsidRPr="007E4A49" w:rsidRDefault="00586EEF" w:rsidP="00EA5C76">
      <w:pPr>
        <w:pStyle w:val="ListParagraph"/>
        <w:numPr>
          <w:ilvl w:val="0"/>
          <w:numId w:val="18"/>
        </w:numPr>
        <w:spacing w:line="278" w:lineRule="auto"/>
        <w:rPr>
          <w:rFonts w:cs="Arial"/>
        </w:rPr>
      </w:pPr>
      <w:r w:rsidRPr="007E4A49">
        <w:rPr>
          <w:rFonts w:cs="Arial"/>
        </w:rPr>
        <w:t xml:space="preserve">Access to higher education and European mobility programmes </w:t>
      </w:r>
    </w:p>
    <w:p w14:paraId="6E8FB275" w14:textId="77777777" w:rsidR="00586EEF" w:rsidRPr="007E4A49" w:rsidRDefault="00586EEF" w:rsidP="00EA5C76">
      <w:pPr>
        <w:pStyle w:val="ListParagraph"/>
        <w:numPr>
          <w:ilvl w:val="0"/>
          <w:numId w:val="18"/>
        </w:numPr>
        <w:spacing w:line="278" w:lineRule="auto"/>
      </w:pPr>
      <w:r w:rsidRPr="007E4A49">
        <w:t xml:space="preserve">Action plan on equality and intersectionality and annual Equality conference </w:t>
      </w:r>
    </w:p>
    <w:p w14:paraId="19BE2C6A" w14:textId="77777777" w:rsidR="00586EEF" w:rsidRPr="007E4A49" w:rsidRDefault="00586EEF" w:rsidP="00EA5C76">
      <w:pPr>
        <w:pStyle w:val="ListParagraph"/>
        <w:numPr>
          <w:ilvl w:val="0"/>
          <w:numId w:val="18"/>
        </w:numPr>
        <w:spacing w:line="278" w:lineRule="auto"/>
      </w:pPr>
      <w:bookmarkStart w:id="39" w:name="_Toc184574175"/>
      <w:r w:rsidRPr="007E4A49">
        <w:t>Awareness-raising campaign on women with disabilities</w:t>
      </w:r>
      <w:bookmarkEnd w:id="39"/>
      <w:r w:rsidRPr="007E4A49">
        <w:t xml:space="preserve"> </w:t>
      </w:r>
    </w:p>
    <w:p w14:paraId="2FBAA65E" w14:textId="77777777" w:rsidR="00586EEF" w:rsidRPr="007E4A49" w:rsidRDefault="00586EEF" w:rsidP="00EA5C76">
      <w:pPr>
        <w:pStyle w:val="ListParagraph"/>
        <w:numPr>
          <w:ilvl w:val="0"/>
          <w:numId w:val="18"/>
        </w:numPr>
        <w:spacing w:line="278" w:lineRule="auto"/>
        <w:rPr>
          <w:color w:val="1F4E79" w:themeColor="accent5" w:themeShade="80"/>
        </w:rPr>
      </w:pPr>
      <w:r w:rsidRPr="007E4A49">
        <w:t xml:space="preserve">Recommendations on autonomy and supported decision making of persons with disabilities and older persons </w:t>
      </w:r>
    </w:p>
    <w:p w14:paraId="268D1F0B" w14:textId="77777777" w:rsidR="00586EEF" w:rsidRPr="007E4A49" w:rsidRDefault="00586EEF" w:rsidP="00EA5C76">
      <w:pPr>
        <w:pStyle w:val="ListParagraph"/>
        <w:numPr>
          <w:ilvl w:val="0"/>
          <w:numId w:val="18"/>
        </w:numPr>
        <w:spacing w:line="278" w:lineRule="auto"/>
        <w:rPr>
          <w:color w:val="1F4E79" w:themeColor="accent5" w:themeShade="80"/>
        </w:rPr>
      </w:pPr>
      <w:bookmarkStart w:id="40" w:name="_Toc184574176"/>
      <w:r w:rsidRPr="007E4A49">
        <w:t>EU study on disability hate speech and hate crime</w:t>
      </w:r>
      <w:bookmarkEnd w:id="40"/>
      <w:r w:rsidRPr="007E4A49">
        <w:t xml:space="preserve"> </w:t>
      </w:r>
    </w:p>
    <w:p w14:paraId="0EECB9FF" w14:textId="77777777" w:rsidR="00586EEF" w:rsidRPr="007E4A49" w:rsidRDefault="00586EEF" w:rsidP="00EA5C76">
      <w:pPr>
        <w:pStyle w:val="ListParagraph"/>
        <w:numPr>
          <w:ilvl w:val="0"/>
          <w:numId w:val="18"/>
        </w:numPr>
        <w:spacing w:line="278" w:lineRule="auto"/>
        <w:rPr>
          <w:color w:val="1F4E79" w:themeColor="accent5" w:themeShade="80"/>
        </w:rPr>
      </w:pPr>
      <w:r w:rsidRPr="007E4A49">
        <w:rPr>
          <w:rFonts w:cs="Arial"/>
        </w:rPr>
        <w:t xml:space="preserve">Inclusion of persons with disabilities in migration and asylum policy: Guidelines on applicants with disabilities in asylum procedures </w:t>
      </w:r>
    </w:p>
    <w:p w14:paraId="164DAEB7" w14:textId="77777777" w:rsidR="00433241" w:rsidRDefault="00586EEF" w:rsidP="00EA5C76">
      <w:pPr>
        <w:pStyle w:val="ListParagraph"/>
        <w:numPr>
          <w:ilvl w:val="0"/>
          <w:numId w:val="18"/>
        </w:numPr>
        <w:spacing w:line="278" w:lineRule="auto"/>
      </w:pPr>
      <w:r w:rsidRPr="007E4A49">
        <w:t xml:space="preserve">Trainings on access to justice </w:t>
      </w:r>
      <w:bookmarkStart w:id="41" w:name="_Toc184574188"/>
    </w:p>
    <w:p w14:paraId="6DC3AEE2" w14:textId="246D75D2" w:rsidR="00586EEF" w:rsidRPr="00DE4F7A" w:rsidRDefault="00586EEF" w:rsidP="00EA5C76">
      <w:pPr>
        <w:pStyle w:val="ListParagraph"/>
        <w:numPr>
          <w:ilvl w:val="0"/>
          <w:numId w:val="18"/>
        </w:numPr>
        <w:spacing w:line="278" w:lineRule="auto"/>
        <w:sectPr w:rsidR="00586EEF" w:rsidRPr="00DE4F7A" w:rsidSect="006D0B23">
          <w:footerReference w:type="default" r:id="rId18"/>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r w:rsidRPr="00433241">
        <w:rPr>
          <w:rFonts w:cs="Arial"/>
          <w:lang w:eastAsia="en-GB"/>
        </w:rPr>
        <w:t>Ensure Disability-inclusive Climate Action </w:t>
      </w:r>
      <w:bookmarkEnd w:id="41"/>
    </w:p>
    <w:p w14:paraId="639ADAA4" w14:textId="50A35726" w:rsidR="00E975F9" w:rsidRPr="00CE713D" w:rsidRDefault="00002939" w:rsidP="00002939">
      <w:pPr>
        <w:pStyle w:val="Heading1"/>
      </w:pPr>
      <w:bookmarkStart w:id="42" w:name="_Toc235203120"/>
      <w:r>
        <w:lastRenderedPageBreak/>
        <w:t>Analysis of actions under the Enhanced Strategy</w:t>
      </w:r>
      <w:bookmarkEnd w:id="42"/>
    </w:p>
    <w:p w14:paraId="28A0AFB9" w14:textId="55B89D05" w:rsidR="00353669" w:rsidRPr="00CE713D" w:rsidRDefault="00353669" w:rsidP="00EA5C76">
      <w:pPr>
        <w:pStyle w:val="Heading2"/>
        <w:numPr>
          <w:ilvl w:val="0"/>
          <w:numId w:val="34"/>
        </w:numPr>
      </w:pPr>
      <w:bookmarkStart w:id="43" w:name="_Toc235203121"/>
      <w:r w:rsidRPr="00CE713D">
        <w:t>Accessibility – an enabler of rights, autonomy and equality</w:t>
      </w:r>
      <w:bookmarkEnd w:id="43"/>
    </w:p>
    <w:p w14:paraId="47A2459B" w14:textId="57FC7401" w:rsidR="00BE7539" w:rsidRPr="00CE713D" w:rsidRDefault="00BE7539" w:rsidP="00002939">
      <w:pPr>
        <w:pStyle w:val="Heading3"/>
      </w:pPr>
      <w:r w:rsidRPr="00CE713D">
        <w:t>Digital accessibility and assistive technologies</w:t>
      </w:r>
    </w:p>
    <w:tbl>
      <w:tblPr>
        <w:tblStyle w:val="TableGrid"/>
        <w:tblW w:w="20518" w:type="dxa"/>
        <w:tblLook w:val="04A0" w:firstRow="1" w:lastRow="0" w:firstColumn="1" w:lastColumn="0" w:noHBand="0" w:noVBand="1"/>
      </w:tblPr>
      <w:tblGrid>
        <w:gridCol w:w="5129"/>
        <w:gridCol w:w="5129"/>
        <w:gridCol w:w="5130"/>
        <w:gridCol w:w="5130"/>
      </w:tblGrid>
      <w:tr w:rsidR="00050EF8" w:rsidRPr="00CE713D" w14:paraId="541C4CF1" w14:textId="77777777" w:rsidTr="3E0D7FF0">
        <w:trPr>
          <w:gridAfter w:val="1"/>
          <w:wAfter w:w="5130" w:type="dxa"/>
          <w:tblHeader/>
        </w:trPr>
        <w:tc>
          <w:tcPr>
            <w:tcW w:w="5129" w:type="dxa"/>
          </w:tcPr>
          <w:p w14:paraId="5E49369E" w14:textId="77777777" w:rsidR="00050EF8" w:rsidRPr="00CE713D" w:rsidRDefault="00050EF8">
            <w:pPr>
              <w:rPr>
                <w:b/>
                <w:bCs/>
              </w:rPr>
            </w:pPr>
            <w:r w:rsidRPr="00CE713D">
              <w:rPr>
                <w:b/>
                <w:bCs/>
              </w:rPr>
              <w:t>Action in the Disability Strategy</w:t>
            </w:r>
          </w:p>
        </w:tc>
        <w:tc>
          <w:tcPr>
            <w:tcW w:w="5129" w:type="dxa"/>
          </w:tcPr>
          <w:p w14:paraId="39C127DC" w14:textId="77777777" w:rsidR="00050EF8" w:rsidRPr="00CE713D" w:rsidRDefault="00050EF8">
            <w:pPr>
              <w:rPr>
                <w:b/>
                <w:bCs/>
              </w:rPr>
            </w:pPr>
            <w:r w:rsidRPr="00CE713D">
              <w:rPr>
                <w:b/>
                <w:bCs/>
              </w:rPr>
              <w:t>Evaluation by EDF</w:t>
            </w:r>
          </w:p>
        </w:tc>
        <w:tc>
          <w:tcPr>
            <w:tcW w:w="5130" w:type="dxa"/>
          </w:tcPr>
          <w:p w14:paraId="4223024E" w14:textId="77777777" w:rsidR="00050EF8" w:rsidRPr="00CE713D" w:rsidRDefault="00050EF8">
            <w:pPr>
              <w:rPr>
                <w:b/>
                <w:bCs/>
              </w:rPr>
            </w:pPr>
            <w:r w:rsidRPr="00CE713D">
              <w:rPr>
                <w:b/>
                <w:bCs/>
              </w:rPr>
              <w:t>Priorities for implementation</w:t>
            </w:r>
          </w:p>
        </w:tc>
      </w:tr>
      <w:tr w:rsidR="003A0B39" w:rsidRPr="00CE713D" w14:paraId="0678809D" w14:textId="187A1882" w:rsidTr="00270F8D">
        <w:tc>
          <w:tcPr>
            <w:tcW w:w="5129" w:type="dxa"/>
          </w:tcPr>
          <w:p w14:paraId="62E88AF2" w14:textId="77777777" w:rsidR="00CD4219" w:rsidRDefault="00270F8D" w:rsidP="003A0B39">
            <w:r w:rsidRPr="00270F8D">
              <w:rPr>
                <w:b/>
                <w:bCs/>
              </w:rPr>
              <w:t>Flagship Initiative</w:t>
            </w:r>
            <w:r w:rsidR="003A0B39" w:rsidRPr="00270F8D">
              <w:t xml:space="preserve"> – Assistive technologies and AI: from lab to market</w:t>
            </w:r>
            <w:r w:rsidR="00CD4219">
              <w:t>.</w:t>
            </w:r>
          </w:p>
          <w:p w14:paraId="4B3601D1" w14:textId="0E275363" w:rsidR="003A0B39" w:rsidRPr="00CE713D" w:rsidRDefault="003A0B39" w:rsidP="003A0B39">
            <w:r w:rsidRPr="00270F8D">
              <w:t>The Commission will seek to promote better knowledge and strengthen the single market for assistive technologies and AI applications. The aim is to identify and remove bottlenecks that prevent persons with disabilities from benefiting from accessible and affordable technologies. The initiative includes: (</w:t>
            </w:r>
            <w:proofErr w:type="spellStart"/>
            <w:r w:rsidRPr="00270F8D">
              <w:t>i</w:t>
            </w:r>
            <w:proofErr w:type="spellEnd"/>
            <w:r w:rsidRPr="00270F8D">
              <w:t>) an EU-level dialogue with assistive technology operators, involving users and public administrations, showcasing relevant EU business support initiatives such as the Enterprise Europe Network and identifying funding opportunities to facilitate ‘from lab to market’ transitions; and (ii) a study to assess obstacles to accessing assistive technologies and AI for persons with disabilities and provide suggestions to address them.</w:t>
            </w:r>
          </w:p>
          <w:p w14:paraId="5CC094E3" w14:textId="77777777" w:rsidR="003A0B39" w:rsidRPr="00CE713D" w:rsidRDefault="003A0B39" w:rsidP="003A0B39"/>
        </w:tc>
        <w:tc>
          <w:tcPr>
            <w:tcW w:w="5129" w:type="dxa"/>
          </w:tcPr>
          <w:p w14:paraId="0520FF4C" w14:textId="015730E4" w:rsidR="003A0B39" w:rsidRPr="00EB20E6" w:rsidRDefault="00EB20E6" w:rsidP="003A0B39">
            <w:pPr>
              <w:rPr>
                <w:b/>
                <w:bCs/>
              </w:rPr>
            </w:pPr>
            <w:r w:rsidRPr="00EB20E6">
              <w:rPr>
                <w:b/>
                <w:bCs/>
              </w:rPr>
              <w:t>Positive points:</w:t>
            </w:r>
          </w:p>
          <w:p w14:paraId="2BCFDF5F" w14:textId="0ACE8637" w:rsidR="00EB20E6" w:rsidRDefault="00B8664B" w:rsidP="00EA5C76">
            <w:pPr>
              <w:pStyle w:val="ListParagraph"/>
              <w:numPr>
                <w:ilvl w:val="0"/>
                <w:numId w:val="18"/>
              </w:numPr>
            </w:pPr>
            <w:r>
              <w:t xml:space="preserve">Recognises </w:t>
            </w:r>
            <w:r w:rsidR="00D863BA">
              <w:t xml:space="preserve">barriers to </w:t>
            </w:r>
            <w:r>
              <w:t xml:space="preserve">Assistive Technology (AT) as </w:t>
            </w:r>
            <w:r w:rsidR="000E5C83">
              <w:t xml:space="preserve">a </w:t>
            </w:r>
            <w:r>
              <w:t>priority</w:t>
            </w:r>
            <w:r w:rsidR="00D863BA">
              <w:t xml:space="preserve"> as highlighted by EDF</w:t>
            </w:r>
            <w:r w:rsidR="00A92374">
              <w:t>.</w:t>
            </w:r>
          </w:p>
          <w:p w14:paraId="5F181CFE" w14:textId="50115332" w:rsidR="00D863BA" w:rsidRDefault="00173C76" w:rsidP="00EA5C76">
            <w:pPr>
              <w:pStyle w:val="ListParagraph"/>
              <w:numPr>
                <w:ilvl w:val="0"/>
                <w:numId w:val="18"/>
              </w:numPr>
            </w:pPr>
            <w:r>
              <w:t xml:space="preserve">A study to assess obstacles is necessary to build the case </w:t>
            </w:r>
            <w:r w:rsidR="00A92374">
              <w:t>for a future legislation.</w:t>
            </w:r>
          </w:p>
          <w:p w14:paraId="6C0DA913" w14:textId="60DAAA14" w:rsidR="0087021A" w:rsidRDefault="0087021A" w:rsidP="00EA5C76">
            <w:pPr>
              <w:pStyle w:val="ListParagraph"/>
              <w:numPr>
                <w:ilvl w:val="0"/>
                <w:numId w:val="18"/>
              </w:numPr>
            </w:pPr>
            <w:r>
              <w:t>Highlight existing EU mechanisms</w:t>
            </w:r>
            <w:r w:rsidR="00FD1EDC">
              <w:t xml:space="preserve"> to support small and medium enterprises (SMEs) working on AT.</w:t>
            </w:r>
          </w:p>
          <w:p w14:paraId="3F998C8A" w14:textId="77777777" w:rsidR="00B8664B" w:rsidRDefault="00B8664B" w:rsidP="003A0B39"/>
          <w:p w14:paraId="4BEDA273" w14:textId="791CB440" w:rsidR="00D75880" w:rsidRDefault="00D75880" w:rsidP="003A0B39">
            <w:pPr>
              <w:rPr>
                <w:b/>
                <w:bCs/>
              </w:rPr>
            </w:pPr>
            <w:r>
              <w:rPr>
                <w:b/>
                <w:bCs/>
              </w:rPr>
              <w:t>Neutral points:</w:t>
            </w:r>
          </w:p>
          <w:p w14:paraId="620A98CC" w14:textId="61F74EAE" w:rsidR="00D75880" w:rsidRPr="003343A9" w:rsidRDefault="003343A9" w:rsidP="00EA5C76">
            <w:pPr>
              <w:pStyle w:val="ListParagraph"/>
              <w:numPr>
                <w:ilvl w:val="0"/>
                <w:numId w:val="18"/>
              </w:numPr>
            </w:pPr>
            <w:r w:rsidRPr="003343A9">
              <w:t>Dialogue between AT industry, public administration and users.</w:t>
            </w:r>
          </w:p>
          <w:p w14:paraId="767B5DD5" w14:textId="77777777" w:rsidR="003343A9" w:rsidRPr="00D75880" w:rsidRDefault="003343A9" w:rsidP="003343A9">
            <w:pPr>
              <w:pStyle w:val="ListParagraph"/>
              <w:rPr>
                <w:b/>
                <w:bCs/>
              </w:rPr>
            </w:pPr>
          </w:p>
          <w:p w14:paraId="6EA4B847" w14:textId="77777777" w:rsidR="00EB20E6" w:rsidRDefault="00EB20E6" w:rsidP="003A0B39">
            <w:pPr>
              <w:rPr>
                <w:b/>
                <w:bCs/>
              </w:rPr>
            </w:pPr>
            <w:r w:rsidRPr="00EB20E6">
              <w:rPr>
                <w:b/>
                <w:bCs/>
              </w:rPr>
              <w:t>Negative points:</w:t>
            </w:r>
          </w:p>
          <w:p w14:paraId="1C903D18" w14:textId="2AA6130F" w:rsidR="00A92374" w:rsidRPr="00FD1EDC" w:rsidRDefault="00A92374" w:rsidP="00EA5C76">
            <w:pPr>
              <w:pStyle w:val="ListParagraph"/>
              <w:numPr>
                <w:ilvl w:val="0"/>
                <w:numId w:val="18"/>
              </w:numPr>
              <w:rPr>
                <w:b/>
                <w:bCs/>
              </w:rPr>
            </w:pPr>
            <w:r>
              <w:t>It is hard to understand why AT is mixed with Artificial Intelligence in this flagship initiatives.</w:t>
            </w:r>
            <w:r w:rsidR="008C49A6">
              <w:t xml:space="preserve"> Not all AT use </w:t>
            </w:r>
            <w:r w:rsidR="00AF4C9A">
              <w:t>AI</w:t>
            </w:r>
            <w:r w:rsidR="00E01A0D">
              <w:t>.</w:t>
            </w:r>
          </w:p>
          <w:p w14:paraId="1722FD3B" w14:textId="0072E6CE" w:rsidR="00FD1EDC" w:rsidRDefault="000016B0" w:rsidP="00EA5C76">
            <w:pPr>
              <w:pStyle w:val="ListParagraph"/>
              <w:numPr>
                <w:ilvl w:val="0"/>
                <w:numId w:val="18"/>
              </w:numPr>
            </w:pPr>
            <w:r w:rsidRPr="000016B0">
              <w:t xml:space="preserve">The focus should not be only on </w:t>
            </w:r>
            <w:r w:rsidR="006E77A4">
              <w:t>small and medium enterprises</w:t>
            </w:r>
            <w:r w:rsidRPr="000016B0">
              <w:t>, as there are big companies in the AT sector.</w:t>
            </w:r>
          </w:p>
          <w:p w14:paraId="631CB269" w14:textId="1CF2B118" w:rsidR="00FD1EDC" w:rsidRPr="000016B0" w:rsidRDefault="00FD1EDC" w:rsidP="00873453">
            <w:pPr>
              <w:pStyle w:val="ListParagraph"/>
            </w:pPr>
          </w:p>
        </w:tc>
        <w:tc>
          <w:tcPr>
            <w:tcW w:w="5130" w:type="dxa"/>
          </w:tcPr>
          <w:p w14:paraId="2FAEF784" w14:textId="69F5A231" w:rsidR="00DC471C" w:rsidRDefault="0049098D" w:rsidP="00EA5C76">
            <w:pPr>
              <w:pStyle w:val="ListParagraph"/>
              <w:numPr>
                <w:ilvl w:val="0"/>
                <w:numId w:val="35"/>
              </w:numPr>
            </w:pPr>
            <w:r>
              <w:t xml:space="preserve">Clarify whether the dialogue </w:t>
            </w:r>
            <w:r w:rsidR="00476B98">
              <w:t>will be one-off or regular</w:t>
            </w:r>
            <w:r w:rsidR="00DC471C">
              <w:t xml:space="preserve"> and participate actively.</w:t>
            </w:r>
          </w:p>
          <w:p w14:paraId="67A4E6CF" w14:textId="3F7BB5ED" w:rsidR="000B1896" w:rsidRDefault="00912F4F" w:rsidP="00EA5C76">
            <w:pPr>
              <w:pStyle w:val="ListParagraph"/>
              <w:numPr>
                <w:ilvl w:val="0"/>
                <w:numId w:val="35"/>
              </w:numPr>
            </w:pPr>
            <w:r>
              <w:t>Take into consideration AT using AI but without losing the focus on the availability and affordability of AT in the study.</w:t>
            </w:r>
          </w:p>
          <w:p w14:paraId="08571589" w14:textId="2A49C6B0" w:rsidR="008C77FB" w:rsidRDefault="000B1896" w:rsidP="00EA5C76">
            <w:pPr>
              <w:pStyle w:val="ListParagraph"/>
              <w:numPr>
                <w:ilvl w:val="0"/>
                <w:numId w:val="35"/>
              </w:numPr>
            </w:pPr>
            <w:r>
              <w:t>Highlight big market players in the AT sector</w:t>
            </w:r>
            <w:r w:rsidR="008C77FB">
              <w:t>.</w:t>
            </w:r>
          </w:p>
          <w:p w14:paraId="7DEA6F8C" w14:textId="374BB0A1" w:rsidR="00164476" w:rsidRDefault="37FA7ED3" w:rsidP="00EA5C76">
            <w:pPr>
              <w:pStyle w:val="ListParagraph"/>
              <w:numPr>
                <w:ilvl w:val="0"/>
                <w:numId w:val="35"/>
              </w:numPr>
            </w:pPr>
            <w:r>
              <w:t xml:space="preserve">Set the basis </w:t>
            </w:r>
            <w:r w:rsidR="7CFFB7FB">
              <w:t>for a future legislation on availability and affordability of AT.</w:t>
            </w:r>
          </w:p>
          <w:p w14:paraId="5EF56033" w14:textId="09019928" w:rsidR="008C77FB" w:rsidRPr="00CE713D" w:rsidRDefault="005E623A" w:rsidP="00EA5C76">
            <w:pPr>
              <w:pStyle w:val="ListParagraph"/>
              <w:numPr>
                <w:ilvl w:val="0"/>
                <w:numId w:val="35"/>
              </w:numPr>
            </w:pPr>
            <w:r>
              <w:t>Rec</w:t>
            </w:r>
            <w:r w:rsidR="00FB680D">
              <w:t xml:space="preserve">ommend </w:t>
            </w:r>
            <w:r w:rsidR="000B2ADF">
              <w:t>M</w:t>
            </w:r>
            <w:r w:rsidR="00FB680D">
              <w:t xml:space="preserve">ember </w:t>
            </w:r>
            <w:r w:rsidR="000B2ADF">
              <w:t>S</w:t>
            </w:r>
            <w:r w:rsidR="00FB680D">
              <w:t>tates</w:t>
            </w:r>
            <w:r w:rsidR="00167E08">
              <w:t xml:space="preserve"> </w:t>
            </w:r>
            <w:r w:rsidR="00DA5E05">
              <w:t xml:space="preserve">to create structures where </w:t>
            </w:r>
            <w:r w:rsidR="00BC19AC">
              <w:t xml:space="preserve">designers of AI systems can consult a broad range of persons with disabilities </w:t>
            </w:r>
            <w:r w:rsidR="00DB2CCA">
              <w:t xml:space="preserve">who have been educated in </w:t>
            </w:r>
            <w:r w:rsidR="002B1544">
              <w:t xml:space="preserve">how to meaningfully </w:t>
            </w:r>
            <w:r w:rsidR="000B2ADF">
              <w:t>participate</w:t>
            </w:r>
            <w:r w:rsidR="002D40FD">
              <w:t xml:space="preserve"> in a co-creation process when it comes to AI</w:t>
            </w:r>
            <w:r w:rsidR="006D08C9">
              <w:t>. The users should be compensated for their time.</w:t>
            </w:r>
          </w:p>
        </w:tc>
        <w:tc>
          <w:tcPr>
            <w:tcW w:w="5130" w:type="dxa"/>
          </w:tcPr>
          <w:p w14:paraId="1F0AE249" w14:textId="77777777" w:rsidR="003A0B39" w:rsidRPr="00CE713D" w:rsidRDefault="003A0B39" w:rsidP="003A0B39"/>
        </w:tc>
      </w:tr>
      <w:tr w:rsidR="003A0B39" w:rsidRPr="00CE713D" w14:paraId="3EDD6D7C" w14:textId="77777777" w:rsidTr="3E0D7FF0">
        <w:trPr>
          <w:gridAfter w:val="1"/>
          <w:wAfter w:w="5130" w:type="dxa"/>
        </w:trPr>
        <w:tc>
          <w:tcPr>
            <w:tcW w:w="5129" w:type="dxa"/>
          </w:tcPr>
          <w:p w14:paraId="4965E14D" w14:textId="74319884" w:rsidR="003A0B39" w:rsidRPr="00CE713D" w:rsidRDefault="6A84D0C2" w:rsidP="003A0B39">
            <w:r>
              <w:lastRenderedPageBreak/>
              <w:t>S</w:t>
            </w:r>
            <w:r w:rsidR="05C90684">
              <w:t xml:space="preserve">upport of </w:t>
            </w:r>
            <w:proofErr w:type="spellStart"/>
            <w:r w:rsidR="05C90684">
              <w:t>AccessibleEU</w:t>
            </w:r>
            <w:proofErr w:type="spellEnd"/>
            <w:r w:rsidR="62C5DD35">
              <w:t>.</w:t>
            </w:r>
          </w:p>
          <w:p w14:paraId="52D390A5" w14:textId="77777777" w:rsidR="003A0B39" w:rsidRPr="00CE713D" w:rsidRDefault="003A0B39" w:rsidP="003A0B39"/>
        </w:tc>
        <w:tc>
          <w:tcPr>
            <w:tcW w:w="5129" w:type="dxa"/>
          </w:tcPr>
          <w:p w14:paraId="1960E4C2" w14:textId="58AF5E6A" w:rsidR="003A0B39" w:rsidRPr="00CE713D" w:rsidRDefault="00812A91" w:rsidP="003A0B39">
            <w:r w:rsidRPr="00585D87">
              <w:rPr>
                <w:b/>
                <w:bCs/>
              </w:rPr>
              <w:t>Positive</w:t>
            </w:r>
            <w:r w:rsidR="00585D87">
              <w:t>,</w:t>
            </w:r>
            <w:r w:rsidR="00425712">
              <w:t xml:space="preserve"> although it remains as an EU</w:t>
            </w:r>
            <w:r w:rsidR="00FE57FD">
              <w:t>-</w:t>
            </w:r>
            <w:r w:rsidR="00425712">
              <w:t>funded project</w:t>
            </w:r>
            <w:r w:rsidR="000D2D9B">
              <w:t xml:space="preserve"> rather than </w:t>
            </w:r>
            <w:r w:rsidR="001737EE">
              <w:t>a</w:t>
            </w:r>
            <w:r w:rsidR="00555C6A">
              <w:t xml:space="preserve"> fully-fledged agency</w:t>
            </w:r>
            <w:r w:rsidR="00425712">
              <w:t>.</w:t>
            </w:r>
          </w:p>
        </w:tc>
        <w:tc>
          <w:tcPr>
            <w:tcW w:w="5130" w:type="dxa"/>
          </w:tcPr>
          <w:p w14:paraId="2E5F25A0" w14:textId="1DA4E1E2" w:rsidR="00942300" w:rsidRDefault="00425712" w:rsidP="00EA5C76">
            <w:pPr>
              <w:pStyle w:val="ListParagraph"/>
              <w:numPr>
                <w:ilvl w:val="0"/>
                <w:numId w:val="36"/>
              </w:numPr>
            </w:pPr>
            <w:r>
              <w:t>Continue advocating for an EU regulatory agency.</w:t>
            </w:r>
          </w:p>
          <w:p w14:paraId="758DC292" w14:textId="77777777" w:rsidR="00210B87" w:rsidRDefault="00210B87" w:rsidP="00EA5C76">
            <w:pPr>
              <w:pStyle w:val="ListParagraph"/>
              <w:numPr>
                <w:ilvl w:val="0"/>
                <w:numId w:val="36"/>
              </w:numPr>
            </w:pPr>
            <w:r>
              <w:t xml:space="preserve">The </w:t>
            </w:r>
            <w:proofErr w:type="spellStart"/>
            <w:r>
              <w:t>AccessibleEU</w:t>
            </w:r>
            <w:proofErr w:type="spellEnd"/>
            <w:r>
              <w:t xml:space="preserve"> centre should </w:t>
            </w:r>
            <w:r w:rsidR="00942300">
              <w:t xml:space="preserve">further </w:t>
            </w:r>
            <w:r w:rsidR="00FC6FFA">
              <w:t xml:space="preserve">support </w:t>
            </w:r>
            <w:r w:rsidR="00932F83">
              <w:t>authorities</w:t>
            </w:r>
            <w:r w:rsidR="00F57724">
              <w:t xml:space="preserve"> responsible for the </w:t>
            </w:r>
            <w:r w:rsidR="00942300">
              <w:t>implementation and enforcement of EU harmonised accessibility legislation.</w:t>
            </w:r>
          </w:p>
          <w:p w14:paraId="35349FA6" w14:textId="156FF4C1" w:rsidR="004B363A" w:rsidRPr="00CE713D" w:rsidRDefault="004B363A" w:rsidP="003A0B39"/>
        </w:tc>
      </w:tr>
      <w:tr w:rsidR="003A0B39" w:rsidRPr="00CE713D" w14:paraId="7671A311" w14:textId="77777777" w:rsidTr="3E0D7FF0">
        <w:trPr>
          <w:gridAfter w:val="1"/>
          <w:wAfter w:w="5130" w:type="dxa"/>
        </w:trPr>
        <w:tc>
          <w:tcPr>
            <w:tcW w:w="5129" w:type="dxa"/>
          </w:tcPr>
          <w:p w14:paraId="41106495" w14:textId="2A3FFF4B" w:rsidR="003A0B39" w:rsidRPr="00CE713D" w:rsidRDefault="007F33E9" w:rsidP="003A0B39">
            <w:r>
              <w:t>M</w:t>
            </w:r>
            <w:r w:rsidR="003A0B39" w:rsidRPr="00CE713D">
              <w:t>onitor implementation and application of the European Accessibility Act</w:t>
            </w:r>
            <w:r w:rsidR="001A6935">
              <w:t xml:space="preserve"> (EAA)</w:t>
            </w:r>
            <w:r w:rsidR="003A0B39" w:rsidRPr="00CE713D">
              <w:t>, including through expert groups and committees</w:t>
            </w:r>
            <w:r w:rsidR="005150AA">
              <w:t>.</w:t>
            </w:r>
          </w:p>
          <w:p w14:paraId="57EAB2B8" w14:textId="77777777" w:rsidR="003A0B39" w:rsidRPr="00CE713D" w:rsidRDefault="003A0B39" w:rsidP="003A0B39"/>
        </w:tc>
        <w:tc>
          <w:tcPr>
            <w:tcW w:w="5129" w:type="dxa"/>
          </w:tcPr>
          <w:p w14:paraId="61D712B6" w14:textId="7CF83658" w:rsidR="003A0B39" w:rsidRPr="00CE713D" w:rsidRDefault="00387FDA" w:rsidP="003A0B39">
            <w:r w:rsidRPr="00585D87">
              <w:rPr>
                <w:b/>
                <w:bCs/>
              </w:rPr>
              <w:t>Neutral</w:t>
            </w:r>
            <w:r>
              <w:t xml:space="preserve">. </w:t>
            </w:r>
            <w:r w:rsidR="00A3779E">
              <w:t>No</w:t>
            </w:r>
            <w:r w:rsidR="00022057">
              <w:t>t new, foreseen in article 28</w:t>
            </w:r>
            <w:r w:rsidR="005B718A">
              <w:t xml:space="preserve"> of the Accessibility Act.</w:t>
            </w:r>
          </w:p>
        </w:tc>
        <w:tc>
          <w:tcPr>
            <w:tcW w:w="5130" w:type="dxa"/>
          </w:tcPr>
          <w:p w14:paraId="12F5B01A" w14:textId="39BA9F09" w:rsidR="003A0B39" w:rsidRPr="00CE713D" w:rsidRDefault="005B718A" w:rsidP="003A0B39">
            <w:r>
              <w:t xml:space="preserve">EDF is member of the </w:t>
            </w:r>
            <w:r w:rsidR="001A6935">
              <w:t>EAA working group</w:t>
            </w:r>
            <w:r w:rsidR="0033219A">
              <w:t>.</w:t>
            </w:r>
          </w:p>
        </w:tc>
      </w:tr>
      <w:tr w:rsidR="003A0B39" w:rsidRPr="00CE713D" w14:paraId="2C281C81" w14:textId="77777777" w:rsidTr="3E0D7FF0">
        <w:trPr>
          <w:gridAfter w:val="1"/>
          <w:wAfter w:w="5130" w:type="dxa"/>
        </w:trPr>
        <w:tc>
          <w:tcPr>
            <w:tcW w:w="5129" w:type="dxa"/>
          </w:tcPr>
          <w:p w14:paraId="396EAB30" w14:textId="29B1EF8F" w:rsidR="003A0B39" w:rsidRPr="00CE713D" w:rsidRDefault="007F33E9" w:rsidP="003A0B39">
            <w:r>
              <w:t>F</w:t>
            </w:r>
            <w:r w:rsidR="003A0B39" w:rsidRPr="00CE713D">
              <w:t>ollow up on the standardisation request M587 and technical specifications regarding accessibility requirements for products and services</w:t>
            </w:r>
            <w:r w:rsidR="005150AA">
              <w:t>.</w:t>
            </w:r>
          </w:p>
          <w:p w14:paraId="0089CA47" w14:textId="77777777" w:rsidR="003A0B39" w:rsidRPr="00CE713D" w:rsidRDefault="003A0B39" w:rsidP="003A0B39"/>
        </w:tc>
        <w:tc>
          <w:tcPr>
            <w:tcW w:w="5129" w:type="dxa"/>
          </w:tcPr>
          <w:p w14:paraId="4121A616" w14:textId="2BF7B31D" w:rsidR="003A0B39" w:rsidRPr="00CE713D" w:rsidRDefault="00387FDA" w:rsidP="003A0B39">
            <w:r w:rsidRPr="0033219A">
              <w:rPr>
                <w:b/>
                <w:bCs/>
              </w:rPr>
              <w:t>Neutral</w:t>
            </w:r>
            <w:r>
              <w:t xml:space="preserve">. </w:t>
            </w:r>
            <w:r w:rsidR="001A6935">
              <w:t>Not new, foreseen in the EAA.</w:t>
            </w:r>
          </w:p>
        </w:tc>
        <w:tc>
          <w:tcPr>
            <w:tcW w:w="5130" w:type="dxa"/>
          </w:tcPr>
          <w:p w14:paraId="4CC0C560" w14:textId="2B087E1B" w:rsidR="004200E6" w:rsidRDefault="001A6935" w:rsidP="00EA5C76">
            <w:pPr>
              <w:pStyle w:val="ListParagraph"/>
              <w:numPr>
                <w:ilvl w:val="0"/>
                <w:numId w:val="37"/>
              </w:numPr>
            </w:pPr>
            <w:r>
              <w:t>EDF is active in the standardisation development</w:t>
            </w:r>
            <w:r w:rsidR="00EF5E54">
              <w:t>s. All s</w:t>
            </w:r>
            <w:r w:rsidR="004117BE">
              <w:t>tandards are in the making, but late.</w:t>
            </w:r>
          </w:p>
          <w:p w14:paraId="53BE7889" w14:textId="1899B9DA" w:rsidR="004117BE" w:rsidRDefault="00B1259B" w:rsidP="00EA5C76">
            <w:pPr>
              <w:pStyle w:val="ListParagraph"/>
              <w:numPr>
                <w:ilvl w:val="0"/>
                <w:numId w:val="37"/>
              </w:numPr>
            </w:pPr>
            <w:r>
              <w:t xml:space="preserve">Advocate for </w:t>
            </w:r>
            <w:r w:rsidR="00955B3B">
              <w:t xml:space="preserve">pending </w:t>
            </w:r>
            <w:r>
              <w:t>t</w:t>
            </w:r>
            <w:r w:rsidR="004117BE">
              <w:t>echnical specifications for e-books</w:t>
            </w:r>
            <w:r w:rsidR="008E4205">
              <w:t xml:space="preserve"> not covered under M/587</w:t>
            </w:r>
            <w:r w:rsidR="004117BE">
              <w:t>.</w:t>
            </w:r>
          </w:p>
          <w:p w14:paraId="42ED7ED9" w14:textId="461EEB78" w:rsidR="00631581" w:rsidRPr="00CE713D" w:rsidRDefault="00631581" w:rsidP="003A0B39"/>
        </w:tc>
      </w:tr>
      <w:tr w:rsidR="003A0B39" w:rsidRPr="00CE713D" w14:paraId="0CDFBFE7" w14:textId="77777777" w:rsidTr="3E0D7FF0">
        <w:trPr>
          <w:gridAfter w:val="1"/>
          <w:wAfter w:w="5130" w:type="dxa"/>
        </w:trPr>
        <w:tc>
          <w:tcPr>
            <w:tcW w:w="5129" w:type="dxa"/>
          </w:tcPr>
          <w:p w14:paraId="54A992F4" w14:textId="5630D03F" w:rsidR="003A0B39" w:rsidRPr="00CE713D" w:rsidRDefault="007F33E9" w:rsidP="003A0B39">
            <w:r>
              <w:t>E</w:t>
            </w:r>
            <w:r w:rsidR="003A0B39" w:rsidRPr="00CE713D">
              <w:t>valuation of the Audiovisual Media Services Directive</w:t>
            </w:r>
            <w:r w:rsidR="005150AA">
              <w:t>.</w:t>
            </w:r>
          </w:p>
          <w:p w14:paraId="19DA5A41" w14:textId="77777777" w:rsidR="003A0B39" w:rsidRPr="00CE713D" w:rsidRDefault="003A0B39" w:rsidP="003A0B39"/>
        </w:tc>
        <w:tc>
          <w:tcPr>
            <w:tcW w:w="5129" w:type="dxa"/>
          </w:tcPr>
          <w:p w14:paraId="59EAC288" w14:textId="77777777" w:rsidR="003A0B39" w:rsidRDefault="00387FDA" w:rsidP="003A0B39">
            <w:r w:rsidRPr="004200E6">
              <w:rPr>
                <w:b/>
                <w:bCs/>
              </w:rPr>
              <w:t>Neutral.</w:t>
            </w:r>
            <w:r>
              <w:t xml:space="preserve"> </w:t>
            </w:r>
            <w:r w:rsidR="004117BE">
              <w:t>Not new</w:t>
            </w:r>
            <w:r w:rsidR="00133AE9">
              <w:t>, revised AVMSD planned for after the summer.</w:t>
            </w:r>
          </w:p>
          <w:p w14:paraId="68C53DD6" w14:textId="0BE42286" w:rsidR="00B1120B" w:rsidRPr="00CE713D" w:rsidRDefault="00B1120B" w:rsidP="003A0B39"/>
        </w:tc>
        <w:tc>
          <w:tcPr>
            <w:tcW w:w="5130" w:type="dxa"/>
          </w:tcPr>
          <w:p w14:paraId="71E22CDB" w14:textId="6740A70D" w:rsidR="003A0B39" w:rsidRPr="00CE713D" w:rsidRDefault="004B363A" w:rsidP="003A0B39">
            <w:r>
              <w:t>Strengthen accessibility provisions</w:t>
            </w:r>
            <w:r w:rsidR="00B1259B">
              <w:t>.</w:t>
            </w:r>
          </w:p>
        </w:tc>
      </w:tr>
      <w:tr w:rsidR="003A0B39" w:rsidRPr="00CE713D" w14:paraId="4D177CC7" w14:textId="77777777" w:rsidTr="3E0D7FF0">
        <w:trPr>
          <w:gridAfter w:val="1"/>
          <w:wAfter w:w="5130" w:type="dxa"/>
        </w:trPr>
        <w:tc>
          <w:tcPr>
            <w:tcW w:w="5129" w:type="dxa"/>
          </w:tcPr>
          <w:p w14:paraId="2C16E6C0" w14:textId="73C7E1DD" w:rsidR="003A0B39" w:rsidRPr="00CE713D" w:rsidRDefault="003A0B39" w:rsidP="003A0B39">
            <w:r w:rsidRPr="00CE713D">
              <w:t>Monitoring the application of the Web Accessibility Directive</w:t>
            </w:r>
            <w:r w:rsidR="005150AA">
              <w:t>.</w:t>
            </w:r>
            <w:r w:rsidRPr="00CE713D">
              <w:t xml:space="preserve"> </w:t>
            </w:r>
          </w:p>
          <w:p w14:paraId="7ED1BB95" w14:textId="77777777" w:rsidR="003A0B39" w:rsidRPr="00CE713D" w:rsidRDefault="003A0B39" w:rsidP="003A0B39"/>
        </w:tc>
        <w:tc>
          <w:tcPr>
            <w:tcW w:w="5129" w:type="dxa"/>
          </w:tcPr>
          <w:p w14:paraId="4F164BF3" w14:textId="19F5D792" w:rsidR="003A0B39" w:rsidRPr="00CE713D" w:rsidRDefault="00B1120B" w:rsidP="003A0B39">
            <w:r w:rsidRPr="00A7655B">
              <w:rPr>
                <w:b/>
                <w:bCs/>
              </w:rPr>
              <w:t>Neutral.</w:t>
            </w:r>
            <w:r>
              <w:t xml:space="preserve"> Not </w:t>
            </w:r>
            <w:r w:rsidR="00CF0E88">
              <w:t>new</w:t>
            </w:r>
            <w:r>
              <w:t xml:space="preserve">, foreseen in the Web </w:t>
            </w:r>
            <w:r w:rsidR="00955B3B">
              <w:t xml:space="preserve">Accessibility </w:t>
            </w:r>
            <w:r>
              <w:t>Directive.</w:t>
            </w:r>
          </w:p>
        </w:tc>
        <w:tc>
          <w:tcPr>
            <w:tcW w:w="5130" w:type="dxa"/>
          </w:tcPr>
          <w:p w14:paraId="3EF6519B" w14:textId="4A09EE25" w:rsidR="00A7655B" w:rsidRDefault="00B1259B" w:rsidP="00EA5C76">
            <w:pPr>
              <w:pStyle w:val="ListParagraph"/>
              <w:numPr>
                <w:ilvl w:val="0"/>
                <w:numId w:val="38"/>
              </w:numPr>
            </w:pPr>
            <w:r>
              <w:t>S</w:t>
            </w:r>
            <w:r w:rsidR="00194802">
              <w:t>upport monitoring.</w:t>
            </w:r>
          </w:p>
          <w:p w14:paraId="5C593A64" w14:textId="7F639BBC" w:rsidR="00065BE1" w:rsidRDefault="00F07FB7" w:rsidP="00EA5C76">
            <w:pPr>
              <w:pStyle w:val="ListParagraph"/>
              <w:numPr>
                <w:ilvl w:val="0"/>
                <w:numId w:val="38"/>
              </w:numPr>
            </w:pPr>
            <w:r>
              <w:t xml:space="preserve">The </w:t>
            </w:r>
            <w:r w:rsidR="00065BE1">
              <w:t xml:space="preserve">Commission </w:t>
            </w:r>
            <w:r>
              <w:t xml:space="preserve">should </w:t>
            </w:r>
            <w:r w:rsidR="00DD07F0">
              <w:t>publish a summary of the monitoring reports submitted by Member States</w:t>
            </w:r>
            <w:r w:rsidR="00D27585">
              <w:t xml:space="preserve"> </w:t>
            </w:r>
            <w:r w:rsidR="001045C0">
              <w:t>stressing shortcomings in implementation</w:t>
            </w:r>
            <w:r w:rsidR="00DD07F0">
              <w:t>.</w:t>
            </w:r>
          </w:p>
          <w:p w14:paraId="256C76D4" w14:textId="18758AE3" w:rsidR="00F07FB7" w:rsidRPr="00CE713D" w:rsidRDefault="00F07FB7" w:rsidP="003A0B39"/>
        </w:tc>
      </w:tr>
      <w:tr w:rsidR="003A0B39" w:rsidRPr="00CE713D" w14:paraId="6617B6AE" w14:textId="77777777" w:rsidTr="3E0D7FF0">
        <w:trPr>
          <w:gridAfter w:val="1"/>
          <w:wAfter w:w="5130" w:type="dxa"/>
        </w:trPr>
        <w:tc>
          <w:tcPr>
            <w:tcW w:w="5129" w:type="dxa"/>
          </w:tcPr>
          <w:p w14:paraId="3B1EDF5D" w14:textId="125C236E" w:rsidR="003A0B39" w:rsidRPr="00CE713D" w:rsidRDefault="003A0B39" w:rsidP="003A0B39">
            <w:r w:rsidRPr="00CE713D">
              <w:lastRenderedPageBreak/>
              <w:t>Monitoring the European Electronic Communications Code, pending its proposed revision</w:t>
            </w:r>
            <w:r w:rsidR="005150AA">
              <w:t>.</w:t>
            </w:r>
          </w:p>
        </w:tc>
        <w:tc>
          <w:tcPr>
            <w:tcW w:w="5129" w:type="dxa"/>
          </w:tcPr>
          <w:p w14:paraId="2A6BD97A" w14:textId="1C187EB3" w:rsidR="003A0B39" w:rsidRPr="00CE713D" w:rsidRDefault="00B1120B" w:rsidP="003A0B39">
            <w:r w:rsidRPr="00B86E48">
              <w:rPr>
                <w:b/>
                <w:bCs/>
              </w:rPr>
              <w:t>Neutral.</w:t>
            </w:r>
            <w:r>
              <w:t xml:space="preserve"> </w:t>
            </w:r>
            <w:r w:rsidR="00194802">
              <w:t>Not new</w:t>
            </w:r>
            <w:r w:rsidR="003E5E20">
              <w:t xml:space="preserve">, </w:t>
            </w:r>
            <w:r>
              <w:t xml:space="preserve">the </w:t>
            </w:r>
            <w:r w:rsidR="003E5E20">
              <w:t xml:space="preserve">Digital Networks Act revising the Code </w:t>
            </w:r>
            <w:r w:rsidR="001A4B55">
              <w:t>is already out</w:t>
            </w:r>
            <w:r>
              <w:t xml:space="preserve"> and did not improve substantially </w:t>
            </w:r>
            <w:r w:rsidR="000A4952">
              <w:t>disability-related provisions</w:t>
            </w:r>
            <w:r w:rsidR="001A4B55">
              <w:t>.</w:t>
            </w:r>
          </w:p>
        </w:tc>
        <w:tc>
          <w:tcPr>
            <w:tcW w:w="5130" w:type="dxa"/>
          </w:tcPr>
          <w:p w14:paraId="0682E1A9" w14:textId="74C0160E" w:rsidR="003A0B39" w:rsidRPr="00CE713D" w:rsidRDefault="00EC1841" w:rsidP="003A0B39">
            <w:r>
              <w:t xml:space="preserve">Strengthen provisions to ensure equivalent access and choice to </w:t>
            </w:r>
            <w:r w:rsidR="005150AA">
              <w:t>electronic communications</w:t>
            </w:r>
            <w:r w:rsidR="00655D62">
              <w:t>.</w:t>
            </w:r>
          </w:p>
        </w:tc>
      </w:tr>
      <w:tr w:rsidR="003A0B39" w:rsidRPr="00CE713D" w14:paraId="4E55DFD0" w14:textId="77777777" w:rsidTr="3E0D7FF0">
        <w:trPr>
          <w:gridAfter w:val="1"/>
          <w:wAfter w:w="5130" w:type="dxa"/>
        </w:trPr>
        <w:tc>
          <w:tcPr>
            <w:tcW w:w="5129" w:type="dxa"/>
          </w:tcPr>
          <w:p w14:paraId="36C82A72" w14:textId="081B175E" w:rsidR="003A0B39" w:rsidRPr="00CE713D" w:rsidRDefault="007F33E9" w:rsidP="003A0B39">
            <w:r>
              <w:t>S</w:t>
            </w:r>
            <w:r w:rsidR="003A0B39" w:rsidRPr="00CE713D">
              <w:t>upport efforts to make internet platforms and digital services more accessible, including through the codes of conduct under the Digital Services Act</w:t>
            </w:r>
            <w:r w:rsidR="005150AA">
              <w:t>.</w:t>
            </w:r>
          </w:p>
        </w:tc>
        <w:tc>
          <w:tcPr>
            <w:tcW w:w="5129" w:type="dxa"/>
          </w:tcPr>
          <w:p w14:paraId="38112D35" w14:textId="0E06432F" w:rsidR="003A0B39" w:rsidRPr="00CE713D" w:rsidRDefault="000A4952" w:rsidP="003A0B39">
            <w:r w:rsidRPr="00B86E48">
              <w:rPr>
                <w:b/>
                <w:bCs/>
              </w:rPr>
              <w:t>Neutral.</w:t>
            </w:r>
            <w:r>
              <w:t xml:space="preserve"> </w:t>
            </w:r>
            <w:r w:rsidR="00655D62">
              <w:t xml:space="preserve">Not new, the codes of conduct should have been </w:t>
            </w:r>
            <w:r w:rsidR="003B6288">
              <w:t>adopted</w:t>
            </w:r>
            <w:r w:rsidR="00655D62">
              <w:t xml:space="preserve"> by February 2025</w:t>
            </w:r>
            <w:r>
              <w:t>.</w:t>
            </w:r>
          </w:p>
        </w:tc>
        <w:tc>
          <w:tcPr>
            <w:tcW w:w="5130" w:type="dxa"/>
          </w:tcPr>
          <w:p w14:paraId="06002346" w14:textId="56F44590" w:rsidR="003A0B39" w:rsidRPr="00CE713D" w:rsidRDefault="00A615E5" w:rsidP="003A0B39">
            <w:r>
              <w:t>Advocate for the adoption of such codes of conduct</w:t>
            </w:r>
            <w:r w:rsidR="00837D12">
              <w:t xml:space="preserve"> while requesting making them a legal obligation as in other digital policy files</w:t>
            </w:r>
            <w:r w:rsidR="003B6288">
              <w:t>.</w:t>
            </w:r>
          </w:p>
        </w:tc>
      </w:tr>
      <w:tr w:rsidR="003A0B39" w:rsidRPr="00CE713D" w14:paraId="09EA1F42" w14:textId="77777777" w:rsidTr="3E0D7FF0">
        <w:trPr>
          <w:gridAfter w:val="1"/>
          <w:wAfter w:w="5130" w:type="dxa"/>
        </w:trPr>
        <w:tc>
          <w:tcPr>
            <w:tcW w:w="5129" w:type="dxa"/>
          </w:tcPr>
          <w:p w14:paraId="2CCE43FC" w14:textId="300BF84B" w:rsidR="003A0B39" w:rsidRPr="00CE713D" w:rsidRDefault="007F33E9" w:rsidP="003A0B39">
            <w:r>
              <w:t>I</w:t>
            </w:r>
            <w:r w:rsidR="003A0B39" w:rsidRPr="00CE713D">
              <w:t>ssue and follow up on guidelines for the implementation of the Artificial Intelligence (AI) Act e.g. on the prohibited AI practice that exploit the vulnerability of a person in a significantly harmful manner due, amongst other reasons, to disability as well as on the classification of high-risk AI systems</w:t>
            </w:r>
          </w:p>
          <w:p w14:paraId="4F780EEB" w14:textId="77777777" w:rsidR="003A0B39" w:rsidRPr="00CE713D" w:rsidRDefault="003A0B39" w:rsidP="003A0B39"/>
        </w:tc>
        <w:tc>
          <w:tcPr>
            <w:tcW w:w="5129" w:type="dxa"/>
          </w:tcPr>
          <w:p w14:paraId="4BE13DD7" w14:textId="13CA74DE" w:rsidR="003A0B39" w:rsidRPr="00CE713D" w:rsidRDefault="00123F52" w:rsidP="003A0B39">
            <w:r>
              <w:rPr>
                <w:b/>
                <w:bCs/>
              </w:rPr>
              <w:t xml:space="preserve">Neutral. </w:t>
            </w:r>
            <w:r>
              <w:t xml:space="preserve">Not new as the development of these guidelines is already foreseen in the AI Act. </w:t>
            </w:r>
          </w:p>
        </w:tc>
        <w:tc>
          <w:tcPr>
            <w:tcW w:w="5130" w:type="dxa"/>
          </w:tcPr>
          <w:p w14:paraId="514B7821" w14:textId="43AC4B63" w:rsidR="00123F52" w:rsidRDefault="00123F52" w:rsidP="00EA5C76">
            <w:pPr>
              <w:pStyle w:val="ListParagraph"/>
              <w:numPr>
                <w:ilvl w:val="0"/>
                <w:numId w:val="39"/>
              </w:numPr>
            </w:pPr>
            <w:r>
              <w:t xml:space="preserve">Advocate for the </w:t>
            </w:r>
            <w:r w:rsidR="006E77A4">
              <w:t>AI</w:t>
            </w:r>
            <w:r>
              <w:t xml:space="preserve"> Act guidelines to include clear disability specific guidance on prohibited AI practices.</w:t>
            </w:r>
          </w:p>
          <w:p w14:paraId="1B0E2D3C" w14:textId="2B6B608E" w:rsidR="003A0B39" w:rsidRPr="00CE713D" w:rsidRDefault="00123F52" w:rsidP="00EA5C76">
            <w:pPr>
              <w:pStyle w:val="ListParagraph"/>
              <w:numPr>
                <w:ilvl w:val="0"/>
                <w:numId w:val="39"/>
              </w:numPr>
            </w:pPr>
            <w:r>
              <w:t xml:space="preserve">Ensure that organisations of persons with disabilities are meaningfully involved in the development and follow-up of the guidelines and </w:t>
            </w:r>
            <w:r w:rsidR="00B335EA">
              <w:t>monitor</w:t>
            </w:r>
            <w:r>
              <w:t xml:space="preserve"> whether they lead to concrete enforcement against discriminatory or harmful systems.  </w:t>
            </w:r>
          </w:p>
        </w:tc>
      </w:tr>
    </w:tbl>
    <w:p w14:paraId="1D954F13" w14:textId="76C2A1A6" w:rsidR="00BE7539" w:rsidRPr="00CE713D" w:rsidRDefault="00BE7539" w:rsidP="00002939">
      <w:pPr>
        <w:pStyle w:val="Heading3"/>
      </w:pPr>
      <w:r w:rsidRPr="00CE713D">
        <w:t>Safe and accessible products and services</w:t>
      </w:r>
    </w:p>
    <w:tbl>
      <w:tblPr>
        <w:tblStyle w:val="TableGrid"/>
        <w:tblW w:w="0" w:type="auto"/>
        <w:tblLook w:val="04A0" w:firstRow="1" w:lastRow="0" w:firstColumn="1" w:lastColumn="0" w:noHBand="0" w:noVBand="1"/>
      </w:tblPr>
      <w:tblGrid>
        <w:gridCol w:w="5129"/>
        <w:gridCol w:w="5129"/>
        <w:gridCol w:w="5130"/>
      </w:tblGrid>
      <w:tr w:rsidR="00050EF8" w:rsidRPr="00CE713D" w14:paraId="1B85210A" w14:textId="77777777" w:rsidTr="39C68258">
        <w:trPr>
          <w:tblHeader/>
        </w:trPr>
        <w:tc>
          <w:tcPr>
            <w:tcW w:w="5129" w:type="dxa"/>
          </w:tcPr>
          <w:p w14:paraId="4187997A" w14:textId="77777777" w:rsidR="00050EF8" w:rsidRPr="00CE713D" w:rsidRDefault="00050EF8">
            <w:pPr>
              <w:rPr>
                <w:b/>
                <w:bCs/>
              </w:rPr>
            </w:pPr>
            <w:r w:rsidRPr="00CE713D">
              <w:rPr>
                <w:b/>
                <w:bCs/>
              </w:rPr>
              <w:t>Action in the Disability Strategy</w:t>
            </w:r>
          </w:p>
        </w:tc>
        <w:tc>
          <w:tcPr>
            <w:tcW w:w="5129" w:type="dxa"/>
          </w:tcPr>
          <w:p w14:paraId="0A17BF68" w14:textId="77777777" w:rsidR="00050EF8" w:rsidRPr="00CE713D" w:rsidRDefault="00050EF8">
            <w:pPr>
              <w:rPr>
                <w:b/>
                <w:bCs/>
              </w:rPr>
            </w:pPr>
            <w:r w:rsidRPr="00CE713D">
              <w:rPr>
                <w:b/>
                <w:bCs/>
              </w:rPr>
              <w:t>Evaluation by EDF</w:t>
            </w:r>
          </w:p>
        </w:tc>
        <w:tc>
          <w:tcPr>
            <w:tcW w:w="5130" w:type="dxa"/>
          </w:tcPr>
          <w:p w14:paraId="4C16A357" w14:textId="77777777" w:rsidR="00050EF8" w:rsidRPr="00CE713D" w:rsidRDefault="00050EF8">
            <w:pPr>
              <w:rPr>
                <w:b/>
                <w:bCs/>
              </w:rPr>
            </w:pPr>
            <w:r w:rsidRPr="00CE713D">
              <w:rPr>
                <w:b/>
                <w:bCs/>
              </w:rPr>
              <w:t>Priorities for implementation</w:t>
            </w:r>
          </w:p>
        </w:tc>
      </w:tr>
      <w:tr w:rsidR="003A0B39" w:rsidRPr="00CE713D" w14:paraId="492330F6" w14:textId="77777777" w:rsidTr="00D2312B">
        <w:tc>
          <w:tcPr>
            <w:tcW w:w="5129" w:type="dxa"/>
          </w:tcPr>
          <w:p w14:paraId="7657D591" w14:textId="77777777" w:rsidR="00CD4219" w:rsidRDefault="00CD4219" w:rsidP="00050EF8">
            <w:r w:rsidRPr="00CD4219">
              <w:rPr>
                <w:b/>
                <w:bCs/>
              </w:rPr>
              <w:t>Flagship Initiative</w:t>
            </w:r>
            <w:r w:rsidR="003A0B39" w:rsidRPr="003A0B39">
              <w:t xml:space="preserve"> – Better access to transport for persons with disabilities</w:t>
            </w:r>
            <w:r>
              <w:t>.</w:t>
            </w:r>
          </w:p>
          <w:p w14:paraId="6A8C9543" w14:textId="5CC7C184" w:rsidR="003A0B39" w:rsidRPr="00CE713D" w:rsidRDefault="003A0B39" w:rsidP="00050EF8">
            <w:r w:rsidRPr="003A0B39">
              <w:t>The Commission will promote accessibility across various means of transport. The initiative includes the following deliverables: (</w:t>
            </w:r>
            <w:proofErr w:type="spellStart"/>
            <w:r w:rsidRPr="003A0B39">
              <w:t>i</w:t>
            </w:r>
            <w:proofErr w:type="spellEnd"/>
            <w:r w:rsidRPr="003A0B39">
              <w:t xml:space="preserve">) in rail transport: establishing common EU </w:t>
            </w:r>
            <w:r w:rsidRPr="003A0B39">
              <w:lastRenderedPageBreak/>
              <w:t xml:space="preserve">priorities and criteria for railway accessibility requirements by revising the technical specifications for interoperability relating to persons with reduced mobility. In this context, the EU Agency for Railways will issue recommendations for the revision of the technical specifications e.g. to improve the train to platform step, to facilitate unassisted boarding and improve accessibility of night trains; (ii) in road transport: upgrading the sustainable urban mobility planning reference material on vulnerable groups and publishing guidance on road infrastructure safety features for vulnerable users. In addition, the Alternative Fuels Infrastructure Regulation and its forthcoming review will seek to integrate the European technical standards on accessibility of electric road vehicles charging stations; (iii) in waterborne transport: reviewing accessibility provisions as part of the evaluation of the Directive on safety rules and standards for passenger ships; and (iv) in air transport: engaging with aviation stakeholders and disseminating good practices among operators to enhance the air travel experience for persons with disabilities e.g. through dialogues concerning the </w:t>
            </w:r>
            <w:r w:rsidRPr="003A0B39">
              <w:lastRenderedPageBreak/>
              <w:t>handling and carriage of assistance dogs and mobility aids.</w:t>
            </w:r>
          </w:p>
        </w:tc>
        <w:tc>
          <w:tcPr>
            <w:tcW w:w="5129" w:type="dxa"/>
          </w:tcPr>
          <w:p w14:paraId="3802E1E7" w14:textId="77777777" w:rsidR="003A0B39" w:rsidRDefault="00D24F7B">
            <w:pPr>
              <w:rPr>
                <w:b/>
                <w:bCs/>
              </w:rPr>
            </w:pPr>
            <w:r w:rsidRPr="00D24F7B">
              <w:rPr>
                <w:b/>
                <w:bCs/>
              </w:rPr>
              <w:lastRenderedPageBreak/>
              <w:t>Positive points:</w:t>
            </w:r>
          </w:p>
          <w:p w14:paraId="0D012997" w14:textId="2B5862F7" w:rsidR="00BB71AE" w:rsidRPr="00320AE9" w:rsidRDefault="07BF4AAB" w:rsidP="00EA5C76">
            <w:pPr>
              <w:pStyle w:val="ListParagraph"/>
              <w:numPr>
                <w:ilvl w:val="0"/>
                <w:numId w:val="18"/>
              </w:numPr>
            </w:pPr>
            <w:r>
              <w:t xml:space="preserve">Deliverable (iv) </w:t>
            </w:r>
            <w:r w:rsidR="63F1C79A">
              <w:t>recognises the handling and carriage of assistance dogs and mobility aids as priorities.</w:t>
            </w:r>
          </w:p>
          <w:p w14:paraId="07425070" w14:textId="1E55801D" w:rsidR="05982B58" w:rsidRDefault="4FA2C806" w:rsidP="00EA5C76">
            <w:pPr>
              <w:pStyle w:val="ListParagraph"/>
              <w:numPr>
                <w:ilvl w:val="0"/>
                <w:numId w:val="18"/>
              </w:numPr>
              <w:rPr>
                <w:szCs w:val="24"/>
              </w:rPr>
            </w:pPr>
            <w:r>
              <w:t>Although deliverable (</w:t>
            </w:r>
            <w:proofErr w:type="spellStart"/>
            <w:r>
              <w:t>i</w:t>
            </w:r>
            <w:proofErr w:type="spellEnd"/>
            <w:r>
              <w:t xml:space="preserve">) is not new and the European </w:t>
            </w:r>
            <w:r w:rsidR="00F07A2C">
              <w:t xml:space="preserve">Commission </w:t>
            </w:r>
            <w:r>
              <w:lastRenderedPageBreak/>
              <w:t xml:space="preserve">and </w:t>
            </w:r>
            <w:r w:rsidR="00F07A2C">
              <w:t>the European Rail</w:t>
            </w:r>
            <w:r w:rsidR="00C35DAC">
              <w:t>way</w:t>
            </w:r>
            <w:r w:rsidR="00F07A2C">
              <w:t xml:space="preserve"> A</w:t>
            </w:r>
            <w:r w:rsidR="00C35DAC">
              <w:t xml:space="preserve">gency </w:t>
            </w:r>
            <w:r>
              <w:t>are already working on it</w:t>
            </w:r>
            <w:r w:rsidR="009E5555">
              <w:t>, t</w:t>
            </w:r>
            <w:r w:rsidR="53C8A5BC">
              <w:t>his revision process can lead to significant improvements to rail travel for p</w:t>
            </w:r>
            <w:r w:rsidR="0D9EB1B9">
              <w:t>assengers with disabilities</w:t>
            </w:r>
            <w:r w:rsidR="53C8A5BC">
              <w:t xml:space="preserve">. </w:t>
            </w:r>
          </w:p>
          <w:p w14:paraId="7FC54FE8" w14:textId="6B2A33C0" w:rsidR="00DF721D" w:rsidRPr="007673AB" w:rsidRDefault="4EE74FF0" w:rsidP="00EA5C76">
            <w:pPr>
              <w:pStyle w:val="ListParagraph"/>
              <w:numPr>
                <w:ilvl w:val="0"/>
                <w:numId w:val="18"/>
              </w:numPr>
            </w:pPr>
            <w:r>
              <w:t>Second part of deliverable (ii) could lead to specific accessibility requirements for the deployment of electric recharging infrastructure, something</w:t>
            </w:r>
            <w:r w:rsidR="00F47630">
              <w:t xml:space="preserve"> that</w:t>
            </w:r>
            <w:r>
              <w:t xml:space="preserve"> is currently missing on the Alternative Fuels </w:t>
            </w:r>
            <w:r w:rsidR="257EE40A">
              <w:t xml:space="preserve">Infrastructure Regulation. </w:t>
            </w:r>
          </w:p>
          <w:p w14:paraId="452A2627" w14:textId="1C9874EA" w:rsidR="003D0AB0" w:rsidRPr="00DC7FA1" w:rsidRDefault="00933DEE" w:rsidP="00DC7FA1">
            <w:pPr>
              <w:rPr>
                <w:b/>
                <w:bCs/>
              </w:rPr>
            </w:pPr>
            <w:r>
              <w:rPr>
                <w:b/>
                <w:bCs/>
              </w:rPr>
              <w:t>Neutral points:</w:t>
            </w:r>
          </w:p>
          <w:p w14:paraId="189A2270" w14:textId="49205B0F" w:rsidR="00933DEE" w:rsidRPr="007673AB" w:rsidRDefault="207AADCF" w:rsidP="00EA5C76">
            <w:pPr>
              <w:pStyle w:val="ListParagraph"/>
              <w:numPr>
                <w:ilvl w:val="0"/>
                <w:numId w:val="18"/>
              </w:numPr>
            </w:pPr>
            <w:r>
              <w:t>Deliverable</w:t>
            </w:r>
            <w:r w:rsidR="00873266">
              <w:t xml:space="preserve"> (</w:t>
            </w:r>
            <w:proofErr w:type="spellStart"/>
            <w:r w:rsidR="00873266">
              <w:t>i</w:t>
            </w:r>
            <w:proofErr w:type="spellEnd"/>
            <w:r w:rsidR="00873266">
              <w:t>) on rail accessibility, and</w:t>
            </w:r>
            <w:r>
              <w:t xml:space="preserve"> (iii) on waterborne transport</w:t>
            </w:r>
            <w:r w:rsidR="003765AF">
              <w:t xml:space="preserve"> </w:t>
            </w:r>
            <w:r w:rsidR="00873266">
              <w:t>are</w:t>
            </w:r>
            <w:r w:rsidR="7E37EEB1">
              <w:t xml:space="preserve"> not new. </w:t>
            </w:r>
          </w:p>
          <w:p w14:paraId="449EEAF0" w14:textId="77777777" w:rsidR="00DF721D" w:rsidRDefault="00DF721D">
            <w:pPr>
              <w:rPr>
                <w:b/>
                <w:bCs/>
              </w:rPr>
            </w:pPr>
            <w:r>
              <w:rPr>
                <w:b/>
                <w:bCs/>
              </w:rPr>
              <w:t>Negative points:</w:t>
            </w:r>
          </w:p>
          <w:p w14:paraId="112A55DF" w14:textId="77777777" w:rsidR="00CF3631" w:rsidRPr="002E22A1" w:rsidRDefault="00CF3631" w:rsidP="00EA5C76">
            <w:pPr>
              <w:pStyle w:val="ListParagraph"/>
              <w:numPr>
                <w:ilvl w:val="0"/>
                <w:numId w:val="18"/>
              </w:numPr>
              <w:rPr>
                <w:b/>
                <w:bCs/>
              </w:rPr>
            </w:pPr>
            <w:r>
              <w:t xml:space="preserve">The flagship misses </w:t>
            </w:r>
            <w:r w:rsidR="00422AB3">
              <w:t>coach and bus transport.</w:t>
            </w:r>
          </w:p>
          <w:p w14:paraId="2E472985" w14:textId="47E5A826" w:rsidR="002E22A1" w:rsidRPr="00F82760" w:rsidRDefault="365B0B80" w:rsidP="00EA5C76">
            <w:pPr>
              <w:pStyle w:val="ListParagraph"/>
              <w:numPr>
                <w:ilvl w:val="0"/>
                <w:numId w:val="18"/>
              </w:numPr>
              <w:rPr>
                <w:b/>
                <w:bCs/>
              </w:rPr>
            </w:pPr>
            <w:r>
              <w:t xml:space="preserve"> Deliverable (</w:t>
            </w:r>
            <w:r w:rsidR="000545B1">
              <w:t>iv</w:t>
            </w:r>
            <w:r>
              <w:t xml:space="preserve">) is too general and does not propose any concrete initiative. </w:t>
            </w:r>
          </w:p>
        </w:tc>
        <w:tc>
          <w:tcPr>
            <w:tcW w:w="5130" w:type="dxa"/>
          </w:tcPr>
          <w:p w14:paraId="6C3DC53F" w14:textId="10F99245" w:rsidR="003A0B39" w:rsidRDefault="0064448E">
            <w:r>
              <w:lastRenderedPageBreak/>
              <w:t>Deliverable (</w:t>
            </w:r>
            <w:proofErr w:type="spellStart"/>
            <w:r>
              <w:t>i</w:t>
            </w:r>
            <w:proofErr w:type="spellEnd"/>
            <w:r>
              <w:t xml:space="preserve">). </w:t>
            </w:r>
            <w:r w:rsidR="00656251">
              <w:t xml:space="preserve">Advocate </w:t>
            </w:r>
            <w:r w:rsidR="002D1707">
              <w:t xml:space="preserve">for an ambitious revision of </w:t>
            </w:r>
            <w:r w:rsidR="00AD78A0">
              <w:t xml:space="preserve">the </w:t>
            </w:r>
            <w:r w:rsidR="42EF510D">
              <w:t>rail accessibility</w:t>
            </w:r>
            <w:r w:rsidR="5F41B355">
              <w:t xml:space="preserve"> </w:t>
            </w:r>
            <w:r w:rsidR="00AD78A0">
              <w:t xml:space="preserve">regulation </w:t>
            </w:r>
            <w:r w:rsidR="5F41B355">
              <w:t>(also known as TSI PRM</w:t>
            </w:r>
            <w:r w:rsidR="595DDE09">
              <w:t xml:space="preserve"> Regulation</w:t>
            </w:r>
            <w:r w:rsidR="5F41B355">
              <w:t>)</w:t>
            </w:r>
            <w:r>
              <w:t xml:space="preserve"> towards</w:t>
            </w:r>
            <w:r w:rsidR="009A2FD5">
              <w:t xml:space="preserve"> </w:t>
            </w:r>
            <w:r w:rsidR="42EF510D">
              <w:t>ERA, the Commission and particularly Member States</w:t>
            </w:r>
            <w:r w:rsidR="5F41B355">
              <w:t>.</w:t>
            </w:r>
          </w:p>
          <w:p w14:paraId="52B28C81" w14:textId="66A05CE9" w:rsidR="4B8B95E8" w:rsidRDefault="4B8B95E8"/>
          <w:p w14:paraId="5D12C9AF" w14:textId="7DECCA4C" w:rsidR="4B8B95E8" w:rsidRDefault="005AC55D" w:rsidP="00EA5C76">
            <w:pPr>
              <w:pStyle w:val="ListParagraph"/>
              <w:numPr>
                <w:ilvl w:val="0"/>
                <w:numId w:val="40"/>
              </w:numPr>
            </w:pPr>
            <w:r>
              <w:lastRenderedPageBreak/>
              <w:t xml:space="preserve">Deliverable (iv) on air transport. Ensure that </w:t>
            </w:r>
            <w:r w:rsidR="514C1F9D">
              <w:t xml:space="preserve">the </w:t>
            </w:r>
            <w:r>
              <w:t>engagement between aviation stakeholders</w:t>
            </w:r>
            <w:r w:rsidR="028D9AE9">
              <w:t xml:space="preserve"> is regular, not one-off, </w:t>
            </w:r>
            <w:r w:rsidR="57933777">
              <w:t>and expand the topics to be covered in the future. C</w:t>
            </w:r>
            <w:r w:rsidR="028D9AE9">
              <w:t xml:space="preserve">ontinue advocating for the Revision of Regulation 1107/2006. </w:t>
            </w:r>
          </w:p>
          <w:p w14:paraId="61E36E4F" w14:textId="444360BE" w:rsidR="3382A97F" w:rsidRDefault="3382A97F" w:rsidP="00EA5C76">
            <w:pPr>
              <w:pStyle w:val="ListParagraph"/>
              <w:numPr>
                <w:ilvl w:val="0"/>
                <w:numId w:val="40"/>
              </w:numPr>
            </w:pPr>
            <w:r>
              <w:t>Advocate</w:t>
            </w:r>
            <w:r w:rsidR="41731FBC">
              <w:t xml:space="preserve"> for stronger accessibility requirements in planes, bus and coach and passenger ships. </w:t>
            </w:r>
          </w:p>
          <w:p w14:paraId="2F38BE32" w14:textId="36A44E68" w:rsidR="00352925" w:rsidRDefault="00352925"/>
          <w:p w14:paraId="5492B048" w14:textId="77777777" w:rsidR="004C5D03" w:rsidRDefault="004C5D03"/>
          <w:p w14:paraId="7B10A8A8" w14:textId="2674D74D" w:rsidR="004C5D03" w:rsidRPr="00CE713D" w:rsidRDefault="004C5D03"/>
        </w:tc>
      </w:tr>
      <w:tr w:rsidR="003A0B39" w:rsidRPr="00CE713D" w14:paraId="02C194EE" w14:textId="77777777" w:rsidTr="39C68258">
        <w:tc>
          <w:tcPr>
            <w:tcW w:w="5129" w:type="dxa"/>
          </w:tcPr>
          <w:p w14:paraId="623CF894" w14:textId="3EFEFDA1" w:rsidR="003A0B39" w:rsidRPr="00CE713D" w:rsidRDefault="00105EA8" w:rsidP="003A0B39">
            <w:r>
              <w:lastRenderedPageBreak/>
              <w:t xml:space="preserve">The Commission will promote </w:t>
            </w:r>
            <w:r w:rsidR="003A0B39" w:rsidRPr="00CE713D">
              <w:t>accessible labelling in key sectors</w:t>
            </w:r>
            <w:r w:rsidR="000A0652">
              <w:t xml:space="preserve"> s</w:t>
            </w:r>
            <w:r w:rsidR="000A0652" w:rsidRPr="000A0652">
              <w:t>uch as energy, food and cosmetics. In the area of energy labelling, documents generated by the European product registry for energy labelling (EPREL) will be made more accessible as of 2026.</w:t>
            </w:r>
          </w:p>
          <w:p w14:paraId="6D585DA8" w14:textId="77777777" w:rsidR="003A0B39" w:rsidRPr="003A0B39" w:rsidRDefault="003A0B39" w:rsidP="003A0B39"/>
        </w:tc>
        <w:tc>
          <w:tcPr>
            <w:tcW w:w="5129" w:type="dxa"/>
          </w:tcPr>
          <w:p w14:paraId="28E730E2" w14:textId="77777777" w:rsidR="00656FC4" w:rsidRDefault="0067533E" w:rsidP="0067533E">
            <w:r w:rsidRPr="00656FC4">
              <w:rPr>
                <w:b/>
                <w:bCs/>
              </w:rPr>
              <w:t>Positive</w:t>
            </w:r>
            <w:r w:rsidR="00656FC4">
              <w:rPr>
                <w:b/>
                <w:bCs/>
              </w:rPr>
              <w:t xml:space="preserve"> points</w:t>
            </w:r>
            <w:r w:rsidRPr="00656FC4">
              <w:rPr>
                <w:b/>
                <w:bCs/>
              </w:rPr>
              <w:t>:</w:t>
            </w:r>
            <w:r>
              <w:t xml:space="preserve"> </w:t>
            </w:r>
          </w:p>
          <w:p w14:paraId="7269FB20" w14:textId="77777777" w:rsidR="00656FC4" w:rsidRDefault="0067533E" w:rsidP="00EA5C76">
            <w:pPr>
              <w:pStyle w:val="ListParagraph"/>
              <w:numPr>
                <w:ilvl w:val="0"/>
                <w:numId w:val="32"/>
              </w:numPr>
            </w:pPr>
            <w:r>
              <w:t>priority highlighted by EDF and now acknowledged by the Commission.</w:t>
            </w:r>
          </w:p>
          <w:p w14:paraId="0E43EAED" w14:textId="759BF83C" w:rsidR="007E237E" w:rsidRDefault="007E237E" w:rsidP="00EA5C76">
            <w:pPr>
              <w:pStyle w:val="ListParagraph"/>
              <w:numPr>
                <w:ilvl w:val="0"/>
                <w:numId w:val="22"/>
              </w:numPr>
            </w:pPr>
            <w:r>
              <w:t xml:space="preserve">documents </w:t>
            </w:r>
            <w:r w:rsidR="00CD4C5B">
              <w:t xml:space="preserve">automatically generated </w:t>
            </w:r>
            <w:r>
              <w:t>for energ</w:t>
            </w:r>
            <w:r w:rsidR="00B54524">
              <w:t xml:space="preserve">y </w:t>
            </w:r>
            <w:r w:rsidR="00F127C5">
              <w:t>labelling will be made “more accessible”</w:t>
            </w:r>
            <w:r w:rsidR="00CD4C5B">
              <w:t xml:space="preserve"> as of 2026</w:t>
            </w:r>
          </w:p>
          <w:p w14:paraId="151B6EE4" w14:textId="77777777" w:rsidR="00656FC4" w:rsidRDefault="0067533E" w:rsidP="0067533E">
            <w:r w:rsidRPr="00656FC4">
              <w:rPr>
                <w:b/>
                <w:bCs/>
              </w:rPr>
              <w:t>Negative</w:t>
            </w:r>
            <w:r w:rsidR="00656FC4" w:rsidRPr="00656FC4">
              <w:rPr>
                <w:b/>
                <w:bCs/>
              </w:rPr>
              <w:t xml:space="preserve"> points</w:t>
            </w:r>
            <w:r w:rsidRPr="00656FC4">
              <w:rPr>
                <w:b/>
                <w:bCs/>
              </w:rPr>
              <w:t>:</w:t>
            </w:r>
            <w:r>
              <w:t xml:space="preserve"> </w:t>
            </w:r>
          </w:p>
          <w:p w14:paraId="720DF16F" w14:textId="7602AA00" w:rsidR="0067533E" w:rsidRPr="00CE713D" w:rsidRDefault="0067533E" w:rsidP="00EA5C76">
            <w:pPr>
              <w:pStyle w:val="ListParagraph"/>
              <w:numPr>
                <w:ilvl w:val="0"/>
                <w:numId w:val="23"/>
              </w:numPr>
            </w:pPr>
            <w:r>
              <w:t>promoting</w:t>
            </w:r>
            <w:r w:rsidR="00120966">
              <w:t xml:space="preserve"> does not </w:t>
            </w:r>
            <w:r w:rsidR="007A42A6">
              <w:t xml:space="preserve">necessarily </w:t>
            </w:r>
            <w:r w:rsidR="00120966">
              <w:t>commit to legally request</w:t>
            </w:r>
            <w:r w:rsidR="00511438">
              <w:t>ed</w:t>
            </w:r>
            <w:r w:rsidR="00120966">
              <w:t xml:space="preserve"> </w:t>
            </w:r>
            <w:r w:rsidR="007A42A6">
              <w:t xml:space="preserve">accessibility. </w:t>
            </w:r>
          </w:p>
        </w:tc>
        <w:tc>
          <w:tcPr>
            <w:tcW w:w="5130" w:type="dxa"/>
          </w:tcPr>
          <w:p w14:paraId="014B6E17" w14:textId="4EE451D8" w:rsidR="008142BD" w:rsidRDefault="008142BD" w:rsidP="00EA5C76">
            <w:pPr>
              <w:pStyle w:val="ListParagraph"/>
              <w:numPr>
                <w:ilvl w:val="0"/>
                <w:numId w:val="23"/>
              </w:numPr>
            </w:pPr>
            <w:r>
              <w:t>Advocate for a horizontal legal initiative amending all the necessary laws to guarantee accessible labelling.</w:t>
            </w:r>
          </w:p>
          <w:p w14:paraId="365C32EF" w14:textId="52AE1B8A" w:rsidR="00BB761A" w:rsidRDefault="00B346A2" w:rsidP="00EA5C76">
            <w:pPr>
              <w:pStyle w:val="ListParagraph"/>
              <w:numPr>
                <w:ilvl w:val="0"/>
                <w:numId w:val="23"/>
              </w:numPr>
            </w:pPr>
            <w:r>
              <w:t xml:space="preserve">Introduce or strengthen binding accessibility provisions in </w:t>
            </w:r>
            <w:r w:rsidR="00BB761A">
              <w:t xml:space="preserve">future revision of labelling-related EU laws, such as </w:t>
            </w:r>
            <w:r w:rsidR="004D10A2">
              <w:t>the General Product Safety Regulation</w:t>
            </w:r>
            <w:r w:rsidR="00BB761A">
              <w:t>.</w:t>
            </w:r>
          </w:p>
          <w:p w14:paraId="3CDB4D4A" w14:textId="337EC97E" w:rsidR="00206B9D" w:rsidRDefault="00206B9D" w:rsidP="00EA5C76">
            <w:pPr>
              <w:pStyle w:val="ListParagraph"/>
              <w:numPr>
                <w:ilvl w:val="0"/>
                <w:numId w:val="23"/>
              </w:numPr>
            </w:pPr>
            <w:r>
              <w:t xml:space="preserve">Make sure </w:t>
            </w:r>
            <w:proofErr w:type="gramStart"/>
            <w:r>
              <w:t>automatically</w:t>
            </w:r>
            <w:r w:rsidR="004A1E9D">
              <w:t>-</w:t>
            </w:r>
            <w:r>
              <w:t>generated</w:t>
            </w:r>
            <w:proofErr w:type="gramEnd"/>
            <w:r>
              <w:t xml:space="preserve"> documents regarding energy labelling </w:t>
            </w:r>
            <w:r w:rsidR="00B80993">
              <w:t xml:space="preserve">comply with the same accessibility requirements as other digital documents covered by the Web Directive or the </w:t>
            </w:r>
            <w:r w:rsidR="001D0604">
              <w:t>Accessibility Act</w:t>
            </w:r>
            <w:r w:rsidR="00B80993">
              <w:t>.</w:t>
            </w:r>
          </w:p>
          <w:p w14:paraId="1BF435D3" w14:textId="3C34784F" w:rsidR="00BB761A" w:rsidRPr="00CE713D" w:rsidRDefault="00BB761A" w:rsidP="003A0B39"/>
        </w:tc>
      </w:tr>
      <w:tr w:rsidR="003A0B39" w:rsidRPr="008A04E8" w14:paraId="6AA19454" w14:textId="77777777" w:rsidTr="39C68258">
        <w:tc>
          <w:tcPr>
            <w:tcW w:w="5129" w:type="dxa"/>
          </w:tcPr>
          <w:p w14:paraId="53B1E053" w14:textId="18CAE5B7" w:rsidR="003A0B39" w:rsidRPr="00CE713D" w:rsidRDefault="002E44B9" w:rsidP="003A0B39">
            <w:r w:rsidRPr="002E44B9">
              <w:t>The implementation of the General Product Safety Regulation and of the revised legislation on Alternative Dispute Resolution will help enhance accessibility and the safety of consumers with disabilities.</w:t>
            </w:r>
          </w:p>
          <w:p w14:paraId="65A4284F" w14:textId="77777777" w:rsidR="003A0B39" w:rsidRPr="00CE713D" w:rsidRDefault="003A0B39" w:rsidP="003A0B39"/>
        </w:tc>
        <w:tc>
          <w:tcPr>
            <w:tcW w:w="5129" w:type="dxa"/>
          </w:tcPr>
          <w:p w14:paraId="2FF1F5E4" w14:textId="77777777" w:rsidR="00575AA9" w:rsidRDefault="00AB61F1" w:rsidP="001D0604">
            <w:r w:rsidRPr="006D6E95">
              <w:rPr>
                <w:b/>
                <w:bCs/>
              </w:rPr>
              <w:t>Neutral.</w:t>
            </w:r>
            <w:r>
              <w:t xml:space="preserve"> </w:t>
            </w:r>
          </w:p>
          <w:p w14:paraId="07D860DB" w14:textId="77777777" w:rsidR="003A0B39" w:rsidRDefault="00A15666" w:rsidP="001D0604">
            <w:r>
              <w:t>Not new</w:t>
            </w:r>
            <w:r w:rsidR="00F801D6">
              <w:t xml:space="preserve"> as</w:t>
            </w:r>
            <w:r>
              <w:t xml:space="preserve"> t</w:t>
            </w:r>
            <w:r w:rsidR="000B0987">
              <w:t>hese legislation</w:t>
            </w:r>
            <w:r w:rsidR="00AD3DC4">
              <w:t>s</w:t>
            </w:r>
            <w:r w:rsidR="000B0987">
              <w:t xml:space="preserve"> were rec</w:t>
            </w:r>
            <w:r w:rsidR="006D7E30">
              <w:t>ently adopted</w:t>
            </w:r>
            <w:r w:rsidR="001D5EB5">
              <w:t>.</w:t>
            </w:r>
            <w:r w:rsidR="00365089">
              <w:t xml:space="preserve"> Whereas the General Product Safety Regulation does include provisions related to persons with disabilities and accessibility (not on accessible labelling), the Alternative Dispute Resolution (ADR) Directive does not mention persons with disabilities and does not require accessibility to private ADR bodies.</w:t>
            </w:r>
          </w:p>
          <w:p w14:paraId="65AB4AF8" w14:textId="2F38C533" w:rsidR="00575AA9" w:rsidRPr="00CE713D" w:rsidRDefault="00575AA9" w:rsidP="001D0604"/>
        </w:tc>
        <w:tc>
          <w:tcPr>
            <w:tcW w:w="5130" w:type="dxa"/>
          </w:tcPr>
          <w:p w14:paraId="5DB39DAB" w14:textId="7F61E6A9" w:rsidR="0009543D" w:rsidRDefault="00575AA9" w:rsidP="00EA5C76">
            <w:pPr>
              <w:pStyle w:val="ListParagraph"/>
              <w:numPr>
                <w:ilvl w:val="0"/>
                <w:numId w:val="41"/>
              </w:numPr>
            </w:pPr>
            <w:r>
              <w:t>Introduce</w:t>
            </w:r>
            <w:r w:rsidR="0009543D">
              <w:t xml:space="preserve"> accessible labelling in the General Product Safety Regulation in future evaluation/revision.</w:t>
            </w:r>
          </w:p>
          <w:p w14:paraId="7767F7FD" w14:textId="2D3A4368" w:rsidR="0009543D" w:rsidRPr="008A04E8" w:rsidRDefault="00575AA9" w:rsidP="00EA5C76">
            <w:pPr>
              <w:pStyle w:val="ListParagraph"/>
              <w:numPr>
                <w:ilvl w:val="0"/>
                <w:numId w:val="41"/>
              </w:numPr>
            </w:pPr>
            <w:r>
              <w:t>Ensure</w:t>
            </w:r>
            <w:r w:rsidR="00CC7679">
              <w:t xml:space="preserve"> the same level of accessibility </w:t>
            </w:r>
            <w:r w:rsidR="0028740F">
              <w:t>between private and public ADR bodies.</w:t>
            </w:r>
          </w:p>
        </w:tc>
      </w:tr>
      <w:tr w:rsidR="003A0B39" w:rsidRPr="00CE713D" w14:paraId="586AA3EC" w14:textId="77777777" w:rsidTr="39C68258">
        <w:tc>
          <w:tcPr>
            <w:tcW w:w="5129" w:type="dxa"/>
          </w:tcPr>
          <w:p w14:paraId="1DA57E9C" w14:textId="4789CDAB" w:rsidR="003A0B39" w:rsidRPr="00CE713D" w:rsidRDefault="007F33E9" w:rsidP="003A0B39">
            <w:r>
              <w:lastRenderedPageBreak/>
              <w:t>C</w:t>
            </w:r>
            <w:r w:rsidR="003A0B39" w:rsidRPr="00CE713D">
              <w:t xml:space="preserve">oordinate the work of national consumer protection authorities and the European Consumer Centres </w:t>
            </w:r>
            <w:r w:rsidR="00575AA9">
              <w:t xml:space="preserve">(ECC) </w:t>
            </w:r>
            <w:r w:rsidR="003A0B39" w:rsidRPr="00CE713D">
              <w:t>Network, seeking to ensure that consumer vulnerabilities are not exploited</w:t>
            </w:r>
            <w:r w:rsidR="0030172D">
              <w:t xml:space="preserve"> and rights of consumers with disabilities are respected</w:t>
            </w:r>
            <w:r w:rsidR="00B034C4">
              <w:t>.</w:t>
            </w:r>
          </w:p>
          <w:p w14:paraId="53C43840" w14:textId="77777777" w:rsidR="003A0B39" w:rsidRPr="00CE713D" w:rsidRDefault="003A0B39" w:rsidP="003A0B39"/>
        </w:tc>
        <w:tc>
          <w:tcPr>
            <w:tcW w:w="5129" w:type="dxa"/>
          </w:tcPr>
          <w:p w14:paraId="29AED202" w14:textId="79EE50C5" w:rsidR="003A0B39" w:rsidRPr="00CE713D" w:rsidRDefault="00A02CCA" w:rsidP="00575AA9">
            <w:r w:rsidRPr="00C26696">
              <w:rPr>
                <w:b/>
                <w:bCs/>
              </w:rPr>
              <w:t>Positive.</w:t>
            </w:r>
            <w:r>
              <w:t xml:space="preserve"> </w:t>
            </w:r>
            <w:r w:rsidR="00575AA9">
              <w:br/>
            </w:r>
            <w:r>
              <w:t xml:space="preserve">Consumer </w:t>
            </w:r>
            <w:r w:rsidR="003F0CFD">
              <w:t xml:space="preserve">protection authorities and ECC Network have not worked actively with </w:t>
            </w:r>
            <w:r w:rsidR="00663FDA">
              <w:t>organisations of persons with disabilities (OPDs)</w:t>
            </w:r>
            <w:r w:rsidR="003F0CFD">
              <w:t xml:space="preserve"> before so this</w:t>
            </w:r>
            <w:r w:rsidR="00874723">
              <w:t xml:space="preserve"> could be an improvement. However, it depends how it is done and formalised as </w:t>
            </w:r>
            <w:r w:rsidR="00663FDA">
              <w:t>OPD</w:t>
            </w:r>
            <w:r w:rsidR="00874723">
              <w:t xml:space="preserve">s need the capacity to engage as well. </w:t>
            </w:r>
          </w:p>
        </w:tc>
        <w:tc>
          <w:tcPr>
            <w:tcW w:w="5130" w:type="dxa"/>
          </w:tcPr>
          <w:p w14:paraId="32BB59A3" w14:textId="6D4CFBF2" w:rsidR="003A0B39" w:rsidRPr="00CE713D" w:rsidRDefault="005948AD" w:rsidP="003A0B39">
            <w:r>
              <w:t>Disability organisations to be invited to this Network.</w:t>
            </w:r>
          </w:p>
        </w:tc>
      </w:tr>
      <w:tr w:rsidR="003A0B39" w:rsidRPr="00CE713D" w14:paraId="6DBAFA00" w14:textId="77777777" w:rsidTr="39C68258">
        <w:tc>
          <w:tcPr>
            <w:tcW w:w="5129" w:type="dxa"/>
          </w:tcPr>
          <w:p w14:paraId="3D3E4D1B" w14:textId="4F1AD5D8" w:rsidR="003A0B39" w:rsidRPr="00CE713D" w:rsidRDefault="00CD0155" w:rsidP="003A0B39">
            <w:r>
              <w:t xml:space="preserve">The Commission will </w:t>
            </w:r>
            <w:proofErr w:type="gramStart"/>
            <w:r>
              <w:t>look into</w:t>
            </w:r>
            <w:proofErr w:type="gramEnd"/>
            <w:r>
              <w:t xml:space="preserve"> ways of i</w:t>
            </w:r>
            <w:r w:rsidR="003A0B39" w:rsidRPr="00CE713D">
              <w:t>mproving participation of persons with disabilities in standardisation processes and making standards more accessible and inclusive in the review of the Standardisation Regulation</w:t>
            </w:r>
            <w:r w:rsidR="005948AD">
              <w:t>.</w:t>
            </w:r>
          </w:p>
          <w:p w14:paraId="541E2724" w14:textId="77777777" w:rsidR="003A0B39" w:rsidRPr="00CE713D" w:rsidRDefault="003A0B39" w:rsidP="003A0B39"/>
        </w:tc>
        <w:tc>
          <w:tcPr>
            <w:tcW w:w="5129" w:type="dxa"/>
          </w:tcPr>
          <w:p w14:paraId="4B14CC3F" w14:textId="77777777" w:rsidR="00CF5A3F" w:rsidRDefault="00BD3A9D" w:rsidP="003A0B39">
            <w:r w:rsidRPr="00C26696">
              <w:rPr>
                <w:b/>
                <w:bCs/>
              </w:rPr>
              <w:t>Neutral</w:t>
            </w:r>
            <w:r w:rsidR="00C26696" w:rsidRPr="00C26696">
              <w:rPr>
                <w:b/>
                <w:bCs/>
              </w:rPr>
              <w:t>.</w:t>
            </w:r>
            <w:r w:rsidR="001469C2">
              <w:t xml:space="preserve"> </w:t>
            </w:r>
          </w:p>
          <w:p w14:paraId="258A060C" w14:textId="53B7BF6E" w:rsidR="00B76FAB" w:rsidRDefault="00C26696" w:rsidP="003A0B39">
            <w:r>
              <w:t>N</w:t>
            </w:r>
            <w:r w:rsidR="001469C2">
              <w:t>ot new</w:t>
            </w:r>
            <w:r w:rsidR="0037487D">
              <w:t>.</w:t>
            </w:r>
            <w:r w:rsidR="005948AD">
              <w:t xml:space="preserve"> The proposal </w:t>
            </w:r>
            <w:r w:rsidR="0016474B">
              <w:t xml:space="preserve">for the </w:t>
            </w:r>
            <w:r w:rsidR="005948AD">
              <w:t>revised Standardisation Regulation</w:t>
            </w:r>
            <w:r w:rsidR="0016474B">
              <w:t xml:space="preserve"> is expected after the summer </w:t>
            </w:r>
            <w:r w:rsidR="00C75313">
              <w:t xml:space="preserve">of </w:t>
            </w:r>
            <w:r w:rsidR="0016474B">
              <w:t>2026.</w:t>
            </w:r>
          </w:p>
          <w:p w14:paraId="23D075D5" w14:textId="64DD2B6D" w:rsidR="0016474B" w:rsidRPr="00CE713D" w:rsidRDefault="00931C5C" w:rsidP="003A0B39">
            <w:r>
              <w:t xml:space="preserve">It is positive </w:t>
            </w:r>
            <w:r w:rsidR="00A4608F">
              <w:t xml:space="preserve">that the Commission acknowledges the barriers faced by disability organisations when participating in standardisation or accessing </w:t>
            </w:r>
            <w:r w:rsidR="00B31EF3">
              <w:t>European standards</w:t>
            </w:r>
            <w:r w:rsidR="008156B6">
              <w:t>. It will be more positive, if the Commission adopts a revised Regulation that addresses these barriers.</w:t>
            </w:r>
          </w:p>
        </w:tc>
        <w:tc>
          <w:tcPr>
            <w:tcW w:w="5130" w:type="dxa"/>
          </w:tcPr>
          <w:p w14:paraId="0F45397C" w14:textId="159DDDB9" w:rsidR="003A0B39" w:rsidRPr="00CE713D" w:rsidRDefault="00DA18AC" w:rsidP="003A0B39">
            <w:r>
              <w:t>In the revised European standardisation regulation, e</w:t>
            </w:r>
            <w:r w:rsidR="000D3671">
              <w:t>nsure an accessible</w:t>
            </w:r>
            <w:r w:rsidR="00D00042">
              <w:t xml:space="preserve">, </w:t>
            </w:r>
            <w:r w:rsidR="000D3671">
              <w:t>inclusive</w:t>
            </w:r>
            <w:r w:rsidR="00D00042">
              <w:t>, fair</w:t>
            </w:r>
            <w:r w:rsidR="00E6660C">
              <w:t>,</w:t>
            </w:r>
            <w:r w:rsidR="00D00042">
              <w:t xml:space="preserve"> and accountable</w:t>
            </w:r>
            <w:r w:rsidR="000D3671">
              <w:t xml:space="preserve"> European standardisation system</w:t>
            </w:r>
            <w:r w:rsidR="00317F11">
              <w:t xml:space="preserve">, </w:t>
            </w:r>
            <w:r w:rsidR="00D00042">
              <w:t xml:space="preserve">as well as </w:t>
            </w:r>
            <w:r w:rsidR="00E6660C">
              <w:t xml:space="preserve">free-of-charge </w:t>
            </w:r>
            <w:r w:rsidR="00317F11">
              <w:t xml:space="preserve">access to </w:t>
            </w:r>
            <w:r w:rsidR="004904E9">
              <w:t xml:space="preserve">European standards </w:t>
            </w:r>
            <w:r w:rsidR="00772596">
              <w:t>requested in support of EU policies and legislation</w:t>
            </w:r>
            <w:r w:rsidR="0016474B">
              <w:t>.</w:t>
            </w:r>
            <w:r w:rsidR="00707F01">
              <w:t xml:space="preserve"> Such standards should be </w:t>
            </w:r>
            <w:r w:rsidR="0007700D">
              <w:t>provided in accessible formats for persons with disabilities.</w:t>
            </w:r>
          </w:p>
        </w:tc>
      </w:tr>
      <w:tr w:rsidR="003A0B39" w:rsidRPr="00CE713D" w14:paraId="2868785F" w14:textId="77777777" w:rsidTr="39C68258">
        <w:tc>
          <w:tcPr>
            <w:tcW w:w="5129" w:type="dxa"/>
          </w:tcPr>
          <w:p w14:paraId="775E9DDB" w14:textId="28AB5C16" w:rsidR="003A0B39" w:rsidRPr="00CE713D" w:rsidRDefault="008A52F2" w:rsidP="003A0B39">
            <w:r>
              <w:t>The r</w:t>
            </w:r>
            <w:r w:rsidR="003A0B39" w:rsidRPr="00CE713D">
              <w:t>evise</w:t>
            </w:r>
            <w:r>
              <w:t>d</w:t>
            </w:r>
            <w:r w:rsidR="003A0B39" w:rsidRPr="00CE713D">
              <w:t xml:space="preserve"> Public Procurement Directive </w:t>
            </w:r>
            <w:r w:rsidR="00D24F7B">
              <w:t xml:space="preserve">is expected </w:t>
            </w:r>
            <w:r w:rsidR="003A0B39" w:rsidRPr="00CE713D">
              <w:t>to restate the obligation to buy accessible goods and services</w:t>
            </w:r>
            <w:r w:rsidR="0037487D">
              <w:t>.</w:t>
            </w:r>
          </w:p>
        </w:tc>
        <w:tc>
          <w:tcPr>
            <w:tcW w:w="5129" w:type="dxa"/>
          </w:tcPr>
          <w:p w14:paraId="5E7B3248" w14:textId="77777777" w:rsidR="00CF5A3F" w:rsidRDefault="00F02018" w:rsidP="003A0B39">
            <w:r w:rsidRPr="009A78D6">
              <w:rPr>
                <w:b/>
                <w:bCs/>
              </w:rPr>
              <w:t>Positive</w:t>
            </w:r>
            <w:r w:rsidR="009A78D6" w:rsidRPr="009A78D6">
              <w:rPr>
                <w:b/>
                <w:bCs/>
              </w:rPr>
              <w:t>.</w:t>
            </w:r>
            <w:r>
              <w:t xml:space="preserve"> </w:t>
            </w:r>
          </w:p>
          <w:p w14:paraId="15D474DA" w14:textId="3060E2D8" w:rsidR="00F02018" w:rsidRDefault="009A78D6" w:rsidP="003A0B39">
            <w:r>
              <w:t xml:space="preserve">However, </w:t>
            </w:r>
            <w:r w:rsidR="00F02018">
              <w:t xml:space="preserve">not new. The proposal </w:t>
            </w:r>
            <w:r w:rsidR="0007700D">
              <w:t>is expected after the summer 2026</w:t>
            </w:r>
            <w:r w:rsidR="00F02018">
              <w:t>.</w:t>
            </w:r>
          </w:p>
          <w:p w14:paraId="03DAC689" w14:textId="3B31F83E" w:rsidR="00F02018" w:rsidRPr="00CE713D" w:rsidRDefault="00F02018" w:rsidP="003A0B39">
            <w:r>
              <w:t xml:space="preserve">It is positive that the Commission commits to maintain this provision, but it will be more positive </w:t>
            </w:r>
            <w:r w:rsidR="00D124FF">
              <w:t>if the revised Directive maintains and strengthens other disability-related provisions.</w:t>
            </w:r>
            <w:r w:rsidR="00A0063C">
              <w:br/>
            </w:r>
          </w:p>
        </w:tc>
        <w:tc>
          <w:tcPr>
            <w:tcW w:w="5130" w:type="dxa"/>
          </w:tcPr>
          <w:p w14:paraId="7AFF1F80" w14:textId="5B6FFC86" w:rsidR="003A0B39" w:rsidRPr="00CE713D" w:rsidRDefault="00A0063C" w:rsidP="003A0B39">
            <w:r>
              <w:t xml:space="preserve">Strengthen accessibility provisions and other </w:t>
            </w:r>
            <w:r w:rsidR="008D60F3">
              <w:t>e</w:t>
            </w:r>
            <w:r w:rsidR="00E85A8C">
              <w:t xml:space="preserve">lements relevant for </w:t>
            </w:r>
            <w:r w:rsidR="0085034E">
              <w:t xml:space="preserve">disability support services in the </w:t>
            </w:r>
            <w:r w:rsidR="00CD1DA9">
              <w:t>revised Public Procurement legislation.</w:t>
            </w:r>
          </w:p>
        </w:tc>
      </w:tr>
    </w:tbl>
    <w:p w14:paraId="270D3A70" w14:textId="77777777" w:rsidR="00050EF8" w:rsidRPr="00CE713D" w:rsidRDefault="00050EF8" w:rsidP="00BE7539"/>
    <w:p w14:paraId="5D53F376" w14:textId="584379BE" w:rsidR="00765A48" w:rsidRPr="00CE713D" w:rsidRDefault="00002939" w:rsidP="00EA5C76">
      <w:pPr>
        <w:pStyle w:val="Heading2"/>
        <w:numPr>
          <w:ilvl w:val="0"/>
          <w:numId w:val="34"/>
        </w:numPr>
      </w:pPr>
      <w:bookmarkStart w:id="44" w:name="_Toc235203122"/>
      <w:r>
        <w:lastRenderedPageBreak/>
        <w:t>Enjoying EU rights</w:t>
      </w:r>
      <w:bookmarkEnd w:id="44"/>
    </w:p>
    <w:p w14:paraId="1249D10F" w14:textId="4D1C9A30" w:rsidR="00765A48" w:rsidRPr="00CE713D" w:rsidRDefault="00765A48" w:rsidP="00002939">
      <w:pPr>
        <w:pStyle w:val="Heading3"/>
      </w:pPr>
      <w:r w:rsidRPr="00CE713D">
        <w:t>Facilitating mobility within the EU</w:t>
      </w:r>
    </w:p>
    <w:tbl>
      <w:tblPr>
        <w:tblStyle w:val="TableGrid"/>
        <w:tblW w:w="0" w:type="auto"/>
        <w:tblLook w:val="04A0" w:firstRow="1" w:lastRow="0" w:firstColumn="1" w:lastColumn="0" w:noHBand="0" w:noVBand="1"/>
      </w:tblPr>
      <w:tblGrid>
        <w:gridCol w:w="5129"/>
        <w:gridCol w:w="5129"/>
        <w:gridCol w:w="5130"/>
      </w:tblGrid>
      <w:tr w:rsidR="00F57421" w:rsidRPr="00CE713D" w14:paraId="0D681506" w14:textId="77777777">
        <w:trPr>
          <w:tblHeader/>
        </w:trPr>
        <w:tc>
          <w:tcPr>
            <w:tcW w:w="5129" w:type="dxa"/>
          </w:tcPr>
          <w:p w14:paraId="6F1CD8D6" w14:textId="77777777" w:rsidR="00F57421" w:rsidRPr="00CE713D" w:rsidRDefault="00F57421">
            <w:pPr>
              <w:rPr>
                <w:b/>
                <w:bCs/>
              </w:rPr>
            </w:pPr>
            <w:r w:rsidRPr="00CE713D">
              <w:rPr>
                <w:b/>
                <w:bCs/>
              </w:rPr>
              <w:t>Action in the Disability Strategy</w:t>
            </w:r>
          </w:p>
        </w:tc>
        <w:tc>
          <w:tcPr>
            <w:tcW w:w="5129" w:type="dxa"/>
          </w:tcPr>
          <w:p w14:paraId="40B7866C" w14:textId="77777777" w:rsidR="00F57421" w:rsidRPr="00CE713D" w:rsidRDefault="00F57421">
            <w:pPr>
              <w:rPr>
                <w:b/>
                <w:bCs/>
              </w:rPr>
            </w:pPr>
            <w:r w:rsidRPr="00CE713D">
              <w:rPr>
                <w:b/>
                <w:bCs/>
              </w:rPr>
              <w:t>Evaluation by EDF</w:t>
            </w:r>
          </w:p>
        </w:tc>
        <w:tc>
          <w:tcPr>
            <w:tcW w:w="5130" w:type="dxa"/>
          </w:tcPr>
          <w:p w14:paraId="5BACC0AA" w14:textId="77777777" w:rsidR="00F57421" w:rsidRPr="00CE713D" w:rsidRDefault="00F57421">
            <w:pPr>
              <w:rPr>
                <w:b/>
                <w:bCs/>
              </w:rPr>
            </w:pPr>
            <w:r w:rsidRPr="00CE713D">
              <w:rPr>
                <w:b/>
                <w:bCs/>
              </w:rPr>
              <w:t>Priorities for implementation</w:t>
            </w:r>
          </w:p>
        </w:tc>
      </w:tr>
      <w:tr w:rsidR="00F57421" w:rsidRPr="00CE713D" w14:paraId="5D0B6560" w14:textId="77777777" w:rsidTr="007673AB">
        <w:tc>
          <w:tcPr>
            <w:tcW w:w="5129" w:type="dxa"/>
          </w:tcPr>
          <w:p w14:paraId="1E9A1526" w14:textId="77777777" w:rsidR="00141DAD" w:rsidRDefault="007673AB" w:rsidP="00F57421">
            <w:r w:rsidRPr="00141DAD">
              <w:rPr>
                <w:b/>
                <w:bCs/>
              </w:rPr>
              <w:t>Fla</w:t>
            </w:r>
            <w:r w:rsidR="00141DAD" w:rsidRPr="00141DAD">
              <w:rPr>
                <w:b/>
                <w:bCs/>
              </w:rPr>
              <w:t>gship Initiative</w:t>
            </w:r>
            <w:r w:rsidR="00F57421" w:rsidRPr="00CE713D">
              <w:t xml:space="preserve"> – European disability and parking cards in your (digital) wallet</w:t>
            </w:r>
            <w:r w:rsidR="00141DAD">
              <w:t>.</w:t>
            </w:r>
          </w:p>
          <w:p w14:paraId="2BCD414D" w14:textId="182A0815" w:rsidR="00F57421" w:rsidRPr="00CE713D" w:rsidRDefault="00F57421" w:rsidP="00F57421">
            <w:r w:rsidRPr="00CE713D">
              <w:t>This initiative aims to ensure the cards become a reality in the EU, meaning all EU residents with disabilities should have them in their (digital) wallets. This will require: (</w:t>
            </w:r>
            <w:proofErr w:type="spellStart"/>
            <w:r w:rsidRPr="00CE713D">
              <w:t>i</w:t>
            </w:r>
            <w:proofErr w:type="spellEnd"/>
            <w:r w:rsidRPr="00CE713D">
              <w:t>) QR codes for the physical versions of the cards, features to ensure security of the cards and prevent fraud, and interoperability requirements for readability across the Member States; (ii) accessible digital versions of the cards and related interoperability arrangements; (iii) communication efforts to raise awareness of the benefits of the cards; and (iv) assessment of remaining gaps related to the free movement of persons with disabilities.</w:t>
            </w:r>
          </w:p>
          <w:p w14:paraId="3FB24CD1" w14:textId="77777777" w:rsidR="00F57421" w:rsidRPr="00CE713D" w:rsidRDefault="00F57421"/>
        </w:tc>
        <w:tc>
          <w:tcPr>
            <w:tcW w:w="5129" w:type="dxa"/>
          </w:tcPr>
          <w:p w14:paraId="6812251D" w14:textId="77777777" w:rsidR="00CF5A3F" w:rsidRDefault="003E2166">
            <w:r w:rsidRPr="009A78D6">
              <w:rPr>
                <w:b/>
                <w:bCs/>
              </w:rPr>
              <w:t>Neutral</w:t>
            </w:r>
            <w:r w:rsidR="009A78D6" w:rsidRPr="009A78D6">
              <w:rPr>
                <w:b/>
                <w:bCs/>
              </w:rPr>
              <w:t>.</w:t>
            </w:r>
            <w:r>
              <w:t xml:space="preserve"> </w:t>
            </w:r>
          </w:p>
          <w:p w14:paraId="29F1826C" w14:textId="3744DE55" w:rsidR="00F57421" w:rsidRDefault="009A78D6">
            <w:r>
              <w:t>N</w:t>
            </w:r>
            <w:r w:rsidR="003E2166">
              <w:t xml:space="preserve">ot new. All the actions </w:t>
            </w:r>
            <w:r w:rsidR="00A04578">
              <w:t>were included in the European Disability Card and Parking Card Directive.</w:t>
            </w:r>
          </w:p>
          <w:p w14:paraId="3639CEE2" w14:textId="780F3060" w:rsidR="00F57421" w:rsidRPr="00CE713D" w:rsidRDefault="00A04578">
            <w:r>
              <w:t>Deliverable (</w:t>
            </w:r>
            <w:proofErr w:type="spellStart"/>
            <w:r>
              <w:t>i</w:t>
            </w:r>
            <w:proofErr w:type="spellEnd"/>
            <w:r>
              <w:t xml:space="preserve">) is covered by the </w:t>
            </w:r>
            <w:r w:rsidR="00AF70F2">
              <w:t xml:space="preserve">recently </w:t>
            </w:r>
            <w:r>
              <w:t xml:space="preserve">adopted </w:t>
            </w:r>
            <w:r w:rsidR="003B6DBB">
              <w:t xml:space="preserve">delegated act, deliverable (ii) will be covered by the implementing act foreseen in the Directive, </w:t>
            </w:r>
            <w:r w:rsidR="007225C2">
              <w:t xml:space="preserve">and deliverables (iii) and (iv) are </w:t>
            </w:r>
            <w:r w:rsidR="00F52A1E">
              <w:t>provisions of the adopted legislation.</w:t>
            </w:r>
            <w:r>
              <w:t xml:space="preserve"> </w:t>
            </w:r>
          </w:p>
        </w:tc>
        <w:tc>
          <w:tcPr>
            <w:tcW w:w="5130" w:type="dxa"/>
          </w:tcPr>
          <w:p w14:paraId="62C28F96" w14:textId="7FE3ABC1" w:rsidR="00F57421" w:rsidRPr="00CE713D" w:rsidRDefault="00F52A1E">
            <w:r>
              <w:t xml:space="preserve">Participate actively in the </w:t>
            </w:r>
            <w:r w:rsidRPr="00CE713D">
              <w:t>assessment of remaining gaps related to the free movement of persons with disabilities</w:t>
            </w:r>
            <w:r w:rsidR="00FB482F">
              <w:t xml:space="preserve"> </w:t>
            </w:r>
            <w:r w:rsidR="009D2694">
              <w:t>with the aim of advocating for a new Directive ensuring the freedom of movement of persons with disabilities.</w:t>
            </w:r>
          </w:p>
        </w:tc>
      </w:tr>
      <w:tr w:rsidR="003A0B39" w:rsidRPr="00CE713D" w14:paraId="35804B47" w14:textId="77777777">
        <w:tc>
          <w:tcPr>
            <w:tcW w:w="5129" w:type="dxa"/>
          </w:tcPr>
          <w:p w14:paraId="6BD32DB1" w14:textId="567ADE7A" w:rsidR="003A0B39" w:rsidRPr="00CE713D" w:rsidRDefault="007F33E9" w:rsidP="00F57421">
            <w:r>
              <w:t>E</w:t>
            </w:r>
            <w:r w:rsidR="003A0B39" w:rsidRPr="00CE713D">
              <w:t>ncourage mutual learning on disability assessment methods among the Member States</w:t>
            </w:r>
            <w:r w:rsidR="002F1C8F">
              <w:t>.</w:t>
            </w:r>
          </w:p>
        </w:tc>
        <w:tc>
          <w:tcPr>
            <w:tcW w:w="5129" w:type="dxa"/>
          </w:tcPr>
          <w:p w14:paraId="52A5226A" w14:textId="48B3053B" w:rsidR="008A41AD" w:rsidRPr="008A41AD" w:rsidRDefault="001B6456" w:rsidP="005476E5">
            <w:pPr>
              <w:rPr>
                <w:b/>
                <w:bCs/>
              </w:rPr>
            </w:pPr>
            <w:r w:rsidRPr="008A41AD">
              <w:rPr>
                <w:b/>
                <w:bCs/>
              </w:rPr>
              <w:t>Positive</w:t>
            </w:r>
            <w:r w:rsidR="00FE57FD">
              <w:rPr>
                <w:b/>
                <w:bCs/>
              </w:rPr>
              <w:t xml:space="preserve"> </w:t>
            </w:r>
            <w:r w:rsidR="000D5E5E">
              <w:rPr>
                <w:b/>
                <w:bCs/>
              </w:rPr>
              <w:t>point</w:t>
            </w:r>
            <w:r w:rsidR="00FE57FD">
              <w:rPr>
                <w:b/>
                <w:bCs/>
              </w:rPr>
              <w:t>s</w:t>
            </w:r>
            <w:r w:rsidRPr="008A41AD">
              <w:rPr>
                <w:b/>
                <w:bCs/>
              </w:rPr>
              <w:t>:</w:t>
            </w:r>
            <w:r w:rsidR="003721D0" w:rsidRPr="008A41AD">
              <w:rPr>
                <w:b/>
                <w:bCs/>
              </w:rPr>
              <w:t xml:space="preserve"> </w:t>
            </w:r>
          </w:p>
          <w:p w14:paraId="2F27CF2B" w14:textId="0CD5FA1F" w:rsidR="005476E5" w:rsidRDefault="00A9599A" w:rsidP="00EA5C76">
            <w:pPr>
              <w:pStyle w:val="ListParagraph"/>
              <w:numPr>
                <w:ilvl w:val="0"/>
                <w:numId w:val="21"/>
              </w:numPr>
            </w:pPr>
            <w:r>
              <w:t xml:space="preserve">Will potentially help to </w:t>
            </w:r>
            <w:r w:rsidR="00846C3A">
              <w:t xml:space="preserve">encourage reforms in Member States where systems have been </w:t>
            </w:r>
            <w:r w:rsidR="005232F7">
              <w:t>criticised by the UNCRPD Committee.</w:t>
            </w:r>
          </w:p>
          <w:p w14:paraId="6E2CFEFE" w14:textId="26E81094" w:rsidR="008A41AD" w:rsidRPr="008A41AD" w:rsidRDefault="005476E5">
            <w:pPr>
              <w:rPr>
                <w:b/>
                <w:bCs/>
              </w:rPr>
            </w:pPr>
            <w:r w:rsidRPr="008A41AD">
              <w:rPr>
                <w:b/>
                <w:bCs/>
              </w:rPr>
              <w:t>Negative</w:t>
            </w:r>
            <w:r w:rsidR="00FE57FD">
              <w:rPr>
                <w:b/>
                <w:bCs/>
              </w:rPr>
              <w:t xml:space="preserve"> </w:t>
            </w:r>
            <w:r w:rsidR="000D5E5E">
              <w:rPr>
                <w:b/>
                <w:bCs/>
              </w:rPr>
              <w:t>points</w:t>
            </w:r>
            <w:r w:rsidRPr="008A41AD">
              <w:rPr>
                <w:b/>
                <w:bCs/>
              </w:rPr>
              <w:t>:</w:t>
            </w:r>
            <w:r w:rsidR="005232F7" w:rsidRPr="008A41AD">
              <w:rPr>
                <w:b/>
                <w:bCs/>
              </w:rPr>
              <w:t xml:space="preserve"> </w:t>
            </w:r>
          </w:p>
          <w:p w14:paraId="7130510C" w14:textId="445A8B37" w:rsidR="00A9634F" w:rsidRDefault="005232F7" w:rsidP="00EA5C76">
            <w:pPr>
              <w:pStyle w:val="ListParagraph"/>
              <w:numPr>
                <w:ilvl w:val="0"/>
                <w:numId w:val="21"/>
              </w:numPr>
            </w:pPr>
            <w:r>
              <w:lastRenderedPageBreak/>
              <w:t xml:space="preserve">Vague about the </w:t>
            </w:r>
            <w:r w:rsidR="00A9634F">
              <w:t>incentives for improving disability assessment processe</w:t>
            </w:r>
            <w:r w:rsidR="006310F8">
              <w:t>s</w:t>
            </w:r>
            <w:r w:rsidR="00A9634F">
              <w:t xml:space="preserve">. </w:t>
            </w:r>
          </w:p>
          <w:p w14:paraId="1F8CDBE9" w14:textId="17B429C8" w:rsidR="00A9634F" w:rsidRPr="00CE713D" w:rsidRDefault="00A9634F" w:rsidP="00EA5C76">
            <w:pPr>
              <w:pStyle w:val="ListParagraph"/>
              <w:numPr>
                <w:ilvl w:val="0"/>
                <w:numId w:val="21"/>
              </w:numPr>
            </w:pPr>
            <w:r>
              <w:t xml:space="preserve">Does not mention anything about addressing the ongoing issue of </w:t>
            </w:r>
            <w:r w:rsidR="00B179D4">
              <w:t xml:space="preserve">disability assessment </w:t>
            </w:r>
            <w:r w:rsidR="00640BBB">
              <w:t>for persons with disabilities moving from one Member State to another and the gaps in disability support this causes.</w:t>
            </w:r>
          </w:p>
        </w:tc>
        <w:tc>
          <w:tcPr>
            <w:tcW w:w="5130" w:type="dxa"/>
          </w:tcPr>
          <w:p w14:paraId="000982F8" w14:textId="77777777" w:rsidR="003A0B39" w:rsidRDefault="00640BBB">
            <w:r>
              <w:lastRenderedPageBreak/>
              <w:t>Needs to address issues such as:</w:t>
            </w:r>
          </w:p>
          <w:p w14:paraId="0B129750" w14:textId="79BFBEC5" w:rsidR="00640BBB" w:rsidRDefault="00BF063A" w:rsidP="00EA5C76">
            <w:pPr>
              <w:pStyle w:val="ListParagraph"/>
              <w:numPr>
                <w:ilvl w:val="0"/>
                <w:numId w:val="20"/>
              </w:numPr>
            </w:pPr>
            <w:r>
              <w:t>Involvement of persons with disabilities in their own assessment</w:t>
            </w:r>
            <w:r w:rsidR="00AF70F2">
              <w:t>.</w:t>
            </w:r>
          </w:p>
          <w:p w14:paraId="6FBC3B61" w14:textId="4C067AFC" w:rsidR="00BF063A" w:rsidRDefault="00BF063A" w:rsidP="00EA5C76">
            <w:pPr>
              <w:pStyle w:val="ListParagraph"/>
              <w:numPr>
                <w:ilvl w:val="0"/>
                <w:numId w:val="20"/>
              </w:numPr>
            </w:pPr>
            <w:r>
              <w:t>Based on person’s individual needs</w:t>
            </w:r>
            <w:r w:rsidR="00AF70F2">
              <w:t>.</w:t>
            </w:r>
          </w:p>
          <w:p w14:paraId="76A1434F" w14:textId="2FA8F349" w:rsidR="00BF063A" w:rsidRDefault="00BF063A" w:rsidP="00EA5C76">
            <w:pPr>
              <w:pStyle w:val="ListParagraph"/>
              <w:numPr>
                <w:ilvl w:val="0"/>
                <w:numId w:val="20"/>
              </w:numPr>
            </w:pPr>
            <w:r>
              <w:lastRenderedPageBreak/>
              <w:t xml:space="preserve">Moving away from ‘means testing’ and reducing disability support based on </w:t>
            </w:r>
            <w:r w:rsidR="000A6489">
              <w:t>partner’s or family’s income</w:t>
            </w:r>
            <w:r w:rsidR="00AF70F2">
              <w:t>.</w:t>
            </w:r>
          </w:p>
          <w:p w14:paraId="1189FB86" w14:textId="7705CE3B" w:rsidR="00A630C2" w:rsidRDefault="00A630C2" w:rsidP="00EA5C76">
            <w:pPr>
              <w:pStyle w:val="ListParagraph"/>
              <w:numPr>
                <w:ilvl w:val="0"/>
                <w:numId w:val="20"/>
              </w:numPr>
            </w:pPr>
            <w:r>
              <w:t>Reducing over strenuous processes and reassessment that is done too regularly</w:t>
            </w:r>
            <w:r w:rsidR="00886A5E">
              <w:t>.</w:t>
            </w:r>
          </w:p>
          <w:p w14:paraId="79DD2FD1" w14:textId="6DD8F059" w:rsidR="00A630C2" w:rsidRPr="00CE713D" w:rsidRDefault="00A630C2" w:rsidP="00A630C2">
            <w:r>
              <w:t xml:space="preserve">Need to ensure that there is follow up on this initiative that results in actual improvements in </w:t>
            </w:r>
            <w:r w:rsidR="008A41AD">
              <w:t>assessment processes in the Member States.</w:t>
            </w:r>
          </w:p>
        </w:tc>
      </w:tr>
    </w:tbl>
    <w:p w14:paraId="0E983BA3" w14:textId="3C388A1C" w:rsidR="00765A48" w:rsidRPr="00CE713D" w:rsidRDefault="00765A48" w:rsidP="00B81A67">
      <w:pPr>
        <w:pStyle w:val="Heading3"/>
      </w:pPr>
      <w:r w:rsidRPr="00CE713D">
        <w:lastRenderedPageBreak/>
        <w:t>Fostering participation in democratic processes</w:t>
      </w:r>
    </w:p>
    <w:tbl>
      <w:tblPr>
        <w:tblStyle w:val="TableGrid"/>
        <w:tblW w:w="0" w:type="auto"/>
        <w:tblLook w:val="04A0" w:firstRow="1" w:lastRow="0" w:firstColumn="1" w:lastColumn="0" w:noHBand="0" w:noVBand="1"/>
      </w:tblPr>
      <w:tblGrid>
        <w:gridCol w:w="5129"/>
        <w:gridCol w:w="5129"/>
        <w:gridCol w:w="5130"/>
      </w:tblGrid>
      <w:tr w:rsidR="00F57421" w:rsidRPr="00CE713D" w14:paraId="5A1B1B15" w14:textId="77777777">
        <w:trPr>
          <w:tblHeader/>
        </w:trPr>
        <w:tc>
          <w:tcPr>
            <w:tcW w:w="5129" w:type="dxa"/>
          </w:tcPr>
          <w:p w14:paraId="2B27A13E" w14:textId="77777777" w:rsidR="00F57421" w:rsidRPr="00CE713D" w:rsidRDefault="00F57421">
            <w:pPr>
              <w:rPr>
                <w:b/>
                <w:bCs/>
              </w:rPr>
            </w:pPr>
            <w:r w:rsidRPr="00CE713D">
              <w:rPr>
                <w:b/>
                <w:bCs/>
              </w:rPr>
              <w:t>Action in the Disability Strategy</w:t>
            </w:r>
          </w:p>
        </w:tc>
        <w:tc>
          <w:tcPr>
            <w:tcW w:w="5129" w:type="dxa"/>
          </w:tcPr>
          <w:p w14:paraId="2A61A4A9" w14:textId="77777777" w:rsidR="00F57421" w:rsidRPr="00CE713D" w:rsidRDefault="00F57421">
            <w:pPr>
              <w:rPr>
                <w:b/>
                <w:bCs/>
              </w:rPr>
            </w:pPr>
            <w:r w:rsidRPr="00CE713D">
              <w:rPr>
                <w:b/>
                <w:bCs/>
              </w:rPr>
              <w:t>Evaluation by EDF</w:t>
            </w:r>
          </w:p>
        </w:tc>
        <w:tc>
          <w:tcPr>
            <w:tcW w:w="5130" w:type="dxa"/>
          </w:tcPr>
          <w:p w14:paraId="7EF6B8C3" w14:textId="77777777" w:rsidR="00F57421" w:rsidRPr="00CE713D" w:rsidRDefault="00F57421">
            <w:pPr>
              <w:rPr>
                <w:b/>
                <w:bCs/>
              </w:rPr>
            </w:pPr>
            <w:r w:rsidRPr="00CE713D">
              <w:rPr>
                <w:b/>
                <w:bCs/>
              </w:rPr>
              <w:t>Priorities for implementation</w:t>
            </w:r>
          </w:p>
        </w:tc>
      </w:tr>
      <w:tr w:rsidR="00F57421" w:rsidRPr="00CE713D" w14:paraId="3EA5B154" w14:textId="77777777" w:rsidTr="00141DAD">
        <w:tc>
          <w:tcPr>
            <w:tcW w:w="5129" w:type="dxa"/>
          </w:tcPr>
          <w:p w14:paraId="03CE07FE" w14:textId="77777777" w:rsidR="00141DAD" w:rsidRDefault="00141DAD" w:rsidP="00F57421">
            <w:r w:rsidRPr="00141DAD">
              <w:rPr>
                <w:b/>
                <w:bCs/>
              </w:rPr>
              <w:t>Flagship Initiative</w:t>
            </w:r>
            <w:r w:rsidR="00F57421" w:rsidRPr="00CE713D">
              <w:t xml:space="preserve"> – Inclusive democracies across the EU</w:t>
            </w:r>
            <w:r>
              <w:t>.</w:t>
            </w:r>
          </w:p>
          <w:p w14:paraId="29988B63" w14:textId="12155E30" w:rsidR="00F57421" w:rsidRPr="00CE713D" w:rsidRDefault="00F57421" w:rsidP="00F57421">
            <w:r w:rsidRPr="00CE713D">
              <w:t>The Commission will work with Member States in the framework of the European Cooperation Network on Elections towards the following deliverables: (</w:t>
            </w:r>
            <w:proofErr w:type="spellStart"/>
            <w:r w:rsidRPr="00CE713D">
              <w:t>i</w:t>
            </w:r>
            <w:proofErr w:type="spellEnd"/>
            <w:r w:rsidRPr="00CE713D">
              <w:t xml:space="preserve">) updating the Guide of good electoral practices in Member States addressing the participation of citizens with disabilities in the electoral process; (ii) promoting common references and standards for inclusive elections via the repository provided for in the European Democracy Shield; and (iii) sharing good practices within the European Cooperation Network on Elections on disability-relevant elements </w:t>
            </w:r>
            <w:r w:rsidRPr="00CE713D">
              <w:lastRenderedPageBreak/>
              <w:t>of the Commission Recommendation on inclusive and resilient electoral processes and the Commission report on 2024 elections to the European Parliament</w:t>
            </w:r>
            <w:r w:rsidR="00BC4218">
              <w:t>.</w:t>
            </w:r>
          </w:p>
          <w:p w14:paraId="5CEAD369" w14:textId="77777777" w:rsidR="00F57421" w:rsidRPr="00CE713D" w:rsidRDefault="00F57421"/>
        </w:tc>
        <w:tc>
          <w:tcPr>
            <w:tcW w:w="5129" w:type="dxa"/>
          </w:tcPr>
          <w:p w14:paraId="32759834" w14:textId="79A72A15" w:rsidR="00F57421" w:rsidRDefault="00C07102">
            <w:pPr>
              <w:rPr>
                <w:b/>
                <w:bCs/>
              </w:rPr>
            </w:pPr>
            <w:r w:rsidRPr="00C07102">
              <w:rPr>
                <w:b/>
                <w:bCs/>
              </w:rPr>
              <w:lastRenderedPageBreak/>
              <w:t>Positive</w:t>
            </w:r>
            <w:r w:rsidR="00EA45AC">
              <w:rPr>
                <w:b/>
                <w:bCs/>
              </w:rPr>
              <w:t xml:space="preserve"> </w:t>
            </w:r>
            <w:r w:rsidR="000D5E5E">
              <w:rPr>
                <w:b/>
                <w:bCs/>
              </w:rPr>
              <w:t>points</w:t>
            </w:r>
            <w:r w:rsidRPr="00C07102">
              <w:rPr>
                <w:b/>
                <w:bCs/>
              </w:rPr>
              <w:t>:</w:t>
            </w:r>
          </w:p>
          <w:p w14:paraId="42576EFC" w14:textId="77777777" w:rsidR="00C07102" w:rsidRPr="00F91F6F" w:rsidRDefault="00F91F6F" w:rsidP="00EA5C76">
            <w:pPr>
              <w:pStyle w:val="ListParagraph"/>
              <w:numPr>
                <w:ilvl w:val="0"/>
                <w:numId w:val="20"/>
              </w:numPr>
              <w:rPr>
                <w:b/>
                <w:bCs/>
              </w:rPr>
            </w:pPr>
            <w:r>
              <w:t>The Guide on good electoral practices (</w:t>
            </w:r>
            <w:proofErr w:type="spellStart"/>
            <w:r>
              <w:t>i</w:t>
            </w:r>
            <w:proofErr w:type="spellEnd"/>
            <w:r>
              <w:t xml:space="preserve">) was a useful document published in all EU languages with substantive inputs from EDF and its members. </w:t>
            </w:r>
          </w:p>
          <w:p w14:paraId="4978A447" w14:textId="4CFF32BC" w:rsidR="00F91F6F" w:rsidRPr="00141DAD" w:rsidRDefault="00F91F6F" w:rsidP="00EA5C76">
            <w:pPr>
              <w:pStyle w:val="ListParagraph"/>
              <w:numPr>
                <w:ilvl w:val="0"/>
                <w:numId w:val="20"/>
              </w:numPr>
              <w:rPr>
                <w:b/>
                <w:bCs/>
              </w:rPr>
            </w:pPr>
            <w:r>
              <w:t>The repository of the Democracy Shield (ii) can also be useful for Member States election authorities.</w:t>
            </w:r>
          </w:p>
          <w:p w14:paraId="5D91052A" w14:textId="174C04D7" w:rsidR="00F91F6F" w:rsidRDefault="00F91F6F" w:rsidP="00F91F6F">
            <w:pPr>
              <w:rPr>
                <w:b/>
                <w:bCs/>
              </w:rPr>
            </w:pPr>
            <w:r>
              <w:rPr>
                <w:b/>
                <w:bCs/>
              </w:rPr>
              <w:t>Negative</w:t>
            </w:r>
            <w:r w:rsidR="00EA45AC">
              <w:rPr>
                <w:b/>
                <w:bCs/>
              </w:rPr>
              <w:t xml:space="preserve"> </w:t>
            </w:r>
            <w:r w:rsidR="000D5E5E">
              <w:rPr>
                <w:b/>
                <w:bCs/>
              </w:rPr>
              <w:t>points</w:t>
            </w:r>
            <w:r>
              <w:rPr>
                <w:b/>
                <w:bCs/>
              </w:rPr>
              <w:t>:</w:t>
            </w:r>
          </w:p>
          <w:p w14:paraId="37BD5ABB" w14:textId="3B54702D" w:rsidR="00F57421" w:rsidRPr="00F91F6F" w:rsidRDefault="00F91F6F" w:rsidP="00EA5C76">
            <w:pPr>
              <w:pStyle w:val="ListParagraph"/>
              <w:numPr>
                <w:ilvl w:val="0"/>
                <w:numId w:val="20"/>
              </w:numPr>
              <w:rPr>
                <w:b/>
                <w:bCs/>
              </w:rPr>
            </w:pPr>
            <w:r>
              <w:t xml:space="preserve">The Commission recommendation mentioned in deliverable (iii) is not in line with </w:t>
            </w:r>
            <w:r w:rsidR="00F9656D">
              <w:t>the CRPD as it legitimises potential disfranchisement of certain citizens with disabilities.</w:t>
            </w:r>
          </w:p>
        </w:tc>
        <w:tc>
          <w:tcPr>
            <w:tcW w:w="5130" w:type="dxa"/>
          </w:tcPr>
          <w:p w14:paraId="764E8DE0" w14:textId="36F22110" w:rsidR="00F57421" w:rsidRPr="00CE713D" w:rsidRDefault="007945BF">
            <w:r>
              <w:t xml:space="preserve">EDF </w:t>
            </w:r>
            <w:r w:rsidR="006147BB">
              <w:t>and its members to co</w:t>
            </w:r>
            <w:r w:rsidR="00133EC7">
              <w:t xml:space="preserve">ntribute to </w:t>
            </w:r>
            <w:r w:rsidR="00F91F6F">
              <w:t>the Commission updated Guide</w:t>
            </w:r>
            <w:r w:rsidR="00F9656D">
              <w:t xml:space="preserve"> and repository</w:t>
            </w:r>
            <w:r w:rsidR="00133EC7">
              <w:t xml:space="preserve"> and use it to advocate for the removal of legal and practical barriers to participate in elections</w:t>
            </w:r>
            <w:r w:rsidR="00F9656D">
              <w:t>.</w:t>
            </w:r>
          </w:p>
        </w:tc>
      </w:tr>
      <w:tr w:rsidR="00F57421" w:rsidRPr="00CE713D" w14:paraId="43931A52" w14:textId="77777777">
        <w:tc>
          <w:tcPr>
            <w:tcW w:w="5129" w:type="dxa"/>
          </w:tcPr>
          <w:p w14:paraId="628248B9" w14:textId="0FE57873" w:rsidR="00F57421" w:rsidRPr="00CE713D" w:rsidRDefault="007F33E9" w:rsidP="00F57421">
            <w:r>
              <w:t>C</w:t>
            </w:r>
            <w:r w:rsidR="00F57421" w:rsidRPr="00CE713D">
              <w:t>ontinue efforts including by working with stakeholders and through communication actions to promote the rights of persons with disabilities to vote and run for office in the 2029 European elections</w:t>
            </w:r>
            <w:r w:rsidR="00BC4218">
              <w:t>.</w:t>
            </w:r>
          </w:p>
          <w:p w14:paraId="7590AD2B" w14:textId="77777777" w:rsidR="00F57421" w:rsidRPr="00CE713D" w:rsidRDefault="00F57421"/>
        </w:tc>
        <w:tc>
          <w:tcPr>
            <w:tcW w:w="5129" w:type="dxa"/>
          </w:tcPr>
          <w:p w14:paraId="078D35DA" w14:textId="77777777" w:rsidR="00F84B47" w:rsidRDefault="00BC4218">
            <w:r w:rsidRPr="006633D9">
              <w:rPr>
                <w:b/>
                <w:bCs/>
              </w:rPr>
              <w:t>Ne</w:t>
            </w:r>
            <w:r w:rsidR="006B7A50" w:rsidRPr="006633D9">
              <w:rPr>
                <w:b/>
                <w:bCs/>
              </w:rPr>
              <w:t>utral</w:t>
            </w:r>
            <w:r w:rsidR="006633D9" w:rsidRPr="006633D9">
              <w:rPr>
                <w:b/>
                <w:bCs/>
              </w:rPr>
              <w:t>.</w:t>
            </w:r>
            <w:r w:rsidR="006B7A50">
              <w:t xml:space="preserve"> </w:t>
            </w:r>
          </w:p>
          <w:p w14:paraId="4A5039AA" w14:textId="754A38F9" w:rsidR="00F57421" w:rsidRPr="00CE713D" w:rsidRDefault="006633D9">
            <w:r>
              <w:t>T</w:t>
            </w:r>
            <w:r w:rsidR="006B7A50">
              <w:t>his action is vague</w:t>
            </w:r>
            <w:r w:rsidR="00141DAD">
              <w:t>,</w:t>
            </w:r>
            <w:r>
              <w:t xml:space="preserve"> which hinders any real evaluation of it</w:t>
            </w:r>
            <w:r w:rsidR="006B7A50">
              <w:t>.</w:t>
            </w:r>
          </w:p>
        </w:tc>
        <w:tc>
          <w:tcPr>
            <w:tcW w:w="5130" w:type="dxa"/>
          </w:tcPr>
          <w:p w14:paraId="02C11018" w14:textId="00F49099" w:rsidR="00F57421" w:rsidRPr="00CE713D" w:rsidRDefault="00A44E5D">
            <w:r>
              <w:t xml:space="preserve">Clarify </w:t>
            </w:r>
            <w:r w:rsidR="006D002B">
              <w:t>which stakeholders (European/national political parties</w:t>
            </w:r>
            <w:r w:rsidR="0047668F">
              <w:t xml:space="preserve"> and disability organisations</w:t>
            </w:r>
            <w:r w:rsidR="006D002B">
              <w:t>, media, election authorities, election observers</w:t>
            </w:r>
            <w:r w:rsidR="0047668F">
              <w:t>, etc.</w:t>
            </w:r>
            <w:r w:rsidR="006D002B">
              <w:t>)</w:t>
            </w:r>
            <w:r w:rsidR="00133EC7">
              <w:t xml:space="preserve"> </w:t>
            </w:r>
            <w:r w:rsidR="005419A8">
              <w:t>and participate in the communication actions.</w:t>
            </w:r>
          </w:p>
        </w:tc>
      </w:tr>
    </w:tbl>
    <w:p w14:paraId="1DF02EF3" w14:textId="77777777" w:rsidR="00F57421" w:rsidRPr="00CE713D" w:rsidRDefault="00F57421" w:rsidP="00765A48"/>
    <w:p w14:paraId="4B1B2795" w14:textId="77777777" w:rsidR="007F577B" w:rsidRPr="00CE713D" w:rsidRDefault="007F577B" w:rsidP="007F577B"/>
    <w:p w14:paraId="391B308C" w14:textId="77777777" w:rsidR="007F577B" w:rsidRPr="00CE713D" w:rsidRDefault="007F577B" w:rsidP="00002939">
      <w:pPr>
        <w:pStyle w:val="Heading2"/>
      </w:pPr>
      <w:bookmarkStart w:id="45" w:name="_Toc235203123"/>
      <w:r w:rsidRPr="00CE713D">
        <w:t>3. Decent quality of life and living independently</w:t>
      </w:r>
      <w:bookmarkEnd w:id="45"/>
      <w:r w:rsidRPr="00CE713D">
        <w:t xml:space="preserve"> </w:t>
      </w:r>
    </w:p>
    <w:p w14:paraId="66508F8E" w14:textId="157EB610" w:rsidR="007F577B" w:rsidRPr="00CE713D" w:rsidRDefault="007F577B" w:rsidP="00002939">
      <w:pPr>
        <w:pStyle w:val="Heading3"/>
      </w:pPr>
      <w:r w:rsidRPr="00CE713D">
        <w:t>Developing independent living and reinforcing community-based services</w:t>
      </w:r>
    </w:p>
    <w:tbl>
      <w:tblPr>
        <w:tblStyle w:val="TableGrid"/>
        <w:tblW w:w="0" w:type="auto"/>
        <w:tblLook w:val="04A0" w:firstRow="1" w:lastRow="0" w:firstColumn="1" w:lastColumn="0" w:noHBand="0" w:noVBand="1"/>
      </w:tblPr>
      <w:tblGrid>
        <w:gridCol w:w="5129"/>
        <w:gridCol w:w="5129"/>
        <w:gridCol w:w="5130"/>
      </w:tblGrid>
      <w:tr w:rsidR="00F57421" w:rsidRPr="00CE713D" w14:paraId="1F5EA51A" w14:textId="77777777">
        <w:trPr>
          <w:tblHeader/>
        </w:trPr>
        <w:tc>
          <w:tcPr>
            <w:tcW w:w="5129" w:type="dxa"/>
          </w:tcPr>
          <w:p w14:paraId="38C59C62" w14:textId="77777777" w:rsidR="00F57421" w:rsidRPr="00CE713D" w:rsidRDefault="00F57421">
            <w:pPr>
              <w:rPr>
                <w:b/>
                <w:bCs/>
              </w:rPr>
            </w:pPr>
            <w:r w:rsidRPr="00CE713D">
              <w:rPr>
                <w:b/>
                <w:bCs/>
              </w:rPr>
              <w:t>Action in the Disability Strategy</w:t>
            </w:r>
          </w:p>
        </w:tc>
        <w:tc>
          <w:tcPr>
            <w:tcW w:w="5129" w:type="dxa"/>
          </w:tcPr>
          <w:p w14:paraId="100D3CA3" w14:textId="77777777" w:rsidR="00F57421" w:rsidRPr="00CE713D" w:rsidRDefault="00F57421">
            <w:pPr>
              <w:rPr>
                <w:b/>
                <w:bCs/>
              </w:rPr>
            </w:pPr>
            <w:r w:rsidRPr="00CE713D">
              <w:rPr>
                <w:b/>
                <w:bCs/>
              </w:rPr>
              <w:t>Evaluation by EDF</w:t>
            </w:r>
          </w:p>
        </w:tc>
        <w:tc>
          <w:tcPr>
            <w:tcW w:w="5130" w:type="dxa"/>
          </w:tcPr>
          <w:p w14:paraId="66DBF54E" w14:textId="77777777" w:rsidR="00F57421" w:rsidRPr="00CE713D" w:rsidRDefault="00F57421">
            <w:pPr>
              <w:rPr>
                <w:b/>
                <w:bCs/>
              </w:rPr>
            </w:pPr>
            <w:r w:rsidRPr="00CE713D">
              <w:rPr>
                <w:b/>
                <w:bCs/>
              </w:rPr>
              <w:t>Priorities for implementation</w:t>
            </w:r>
          </w:p>
        </w:tc>
      </w:tr>
      <w:tr w:rsidR="00F57421" w:rsidRPr="00CE713D" w14:paraId="70061F1B" w14:textId="77777777" w:rsidTr="00141DAD">
        <w:tc>
          <w:tcPr>
            <w:tcW w:w="5129" w:type="dxa"/>
          </w:tcPr>
          <w:p w14:paraId="66D1A368" w14:textId="77777777" w:rsidR="00141DAD" w:rsidRDefault="00141DAD" w:rsidP="00F57421">
            <w:r>
              <w:t>Flagship Initiative</w:t>
            </w:r>
            <w:r w:rsidR="00F57421" w:rsidRPr="00CE713D">
              <w:t xml:space="preserve"> – EU alliance for independent living</w:t>
            </w:r>
            <w:r>
              <w:t>.</w:t>
            </w:r>
          </w:p>
          <w:p w14:paraId="25A5E57E" w14:textId="1376BB4E" w:rsidR="00F57421" w:rsidRPr="00CE713D" w:rsidRDefault="00F57421" w:rsidP="00F57421">
            <w:r w:rsidRPr="00CE713D">
              <w:t>The Commission will encourage Member States and stakeholders to exchange information, promote data collection and dissemination and raise awareness of factors that contribute or hinder the deinstitutionalisation process. The initiative will include: (</w:t>
            </w:r>
            <w:proofErr w:type="spellStart"/>
            <w:r w:rsidRPr="00CE713D">
              <w:t>i</w:t>
            </w:r>
            <w:proofErr w:type="spellEnd"/>
            <w:r w:rsidRPr="00CE713D">
              <w:t xml:space="preserve">) setting up an </w:t>
            </w:r>
            <w:r w:rsidRPr="00CE713D">
              <w:lastRenderedPageBreak/>
              <w:t>alliance of policymakers and stakeholders to facilitate the creation of national and local centres for independent living, leveraging on EU funding; (ii) monitoring the deinstitutionalisation process in Member States and providing a cost-benefit analysis; and (iii) conducting an independent living implementation dialogue.</w:t>
            </w:r>
          </w:p>
          <w:p w14:paraId="0CF0A247" w14:textId="77777777" w:rsidR="00F57421" w:rsidRPr="00CE713D" w:rsidRDefault="00F57421"/>
        </w:tc>
        <w:tc>
          <w:tcPr>
            <w:tcW w:w="5129" w:type="dxa"/>
          </w:tcPr>
          <w:p w14:paraId="73511EB2" w14:textId="77777777" w:rsidR="00BC1F82" w:rsidRDefault="008A17A2" w:rsidP="008A17A2">
            <w:pPr>
              <w:rPr>
                <w:b/>
                <w:bCs/>
              </w:rPr>
            </w:pPr>
            <w:r w:rsidRPr="00EB20E6">
              <w:rPr>
                <w:b/>
                <w:bCs/>
              </w:rPr>
              <w:lastRenderedPageBreak/>
              <w:t>Positive points:</w:t>
            </w:r>
            <w:r w:rsidR="00525966">
              <w:rPr>
                <w:b/>
                <w:bCs/>
              </w:rPr>
              <w:t xml:space="preserve"> </w:t>
            </w:r>
          </w:p>
          <w:p w14:paraId="649C8751" w14:textId="72900E8A" w:rsidR="008A17A2" w:rsidRDefault="00363FAC" w:rsidP="00EA5C76">
            <w:pPr>
              <w:pStyle w:val="ListParagraph"/>
              <w:numPr>
                <w:ilvl w:val="0"/>
                <w:numId w:val="10"/>
              </w:numPr>
            </w:pPr>
            <w:r>
              <w:t xml:space="preserve">The focus on setting up national and local centres for independent living is </w:t>
            </w:r>
            <w:r w:rsidR="003A30D7">
              <w:t xml:space="preserve">very positive and should greatly facilitate deinstitutionalisation </w:t>
            </w:r>
            <w:r w:rsidR="00015D80">
              <w:t>(DI)</w:t>
            </w:r>
            <w:r w:rsidR="003A30D7">
              <w:t xml:space="preserve"> in the Member States if done correctly.</w:t>
            </w:r>
          </w:p>
          <w:p w14:paraId="6503AF02" w14:textId="5A626041" w:rsidR="00BC1F82" w:rsidRDefault="00BC1F82" w:rsidP="00EA5C76">
            <w:pPr>
              <w:pStyle w:val="ListParagraph"/>
              <w:numPr>
                <w:ilvl w:val="0"/>
                <w:numId w:val="10"/>
              </w:numPr>
            </w:pPr>
            <w:r>
              <w:lastRenderedPageBreak/>
              <w:t>Leveraging EU funding to do this show</w:t>
            </w:r>
            <w:r w:rsidR="00E066D7">
              <w:t>s</w:t>
            </w:r>
            <w:r>
              <w:t xml:space="preserve"> a practical </w:t>
            </w:r>
            <w:r w:rsidR="009C694C">
              <w:t xml:space="preserve">vision for how the </w:t>
            </w:r>
            <w:r w:rsidR="006B1684">
              <w:t>action</w:t>
            </w:r>
            <w:r w:rsidR="009C694C">
              <w:t xml:space="preserve"> will </w:t>
            </w:r>
            <w:r w:rsidR="002B5706">
              <w:t>be implemented</w:t>
            </w:r>
            <w:r w:rsidR="000D5E5E">
              <w:t>.</w:t>
            </w:r>
          </w:p>
          <w:p w14:paraId="04FAE460" w14:textId="6C991F6E" w:rsidR="002B5706" w:rsidRDefault="002B5706" w:rsidP="00EA5C76">
            <w:pPr>
              <w:pStyle w:val="ListParagraph"/>
              <w:numPr>
                <w:ilvl w:val="0"/>
                <w:numId w:val="10"/>
              </w:numPr>
            </w:pPr>
            <w:r>
              <w:t xml:space="preserve">It is very significant that the alliance will better monitor DI in the </w:t>
            </w:r>
            <w:r w:rsidR="00B546B5">
              <w:t>Member States so this can be tracked and progress clearly measured</w:t>
            </w:r>
            <w:r w:rsidR="00431E52">
              <w:t>.</w:t>
            </w:r>
          </w:p>
          <w:p w14:paraId="6400136D" w14:textId="77C3093F" w:rsidR="008A17A2" w:rsidRDefault="00431E52" w:rsidP="00EA5C76">
            <w:pPr>
              <w:pStyle w:val="ListParagraph"/>
              <w:numPr>
                <w:ilvl w:val="0"/>
                <w:numId w:val="10"/>
              </w:numPr>
            </w:pPr>
            <w:r>
              <w:t xml:space="preserve">More detailed </w:t>
            </w:r>
            <w:r w:rsidR="00EC77C2">
              <w:t xml:space="preserve">cost-benefit analysis could be a useful tool to encourage national and regional governments to </w:t>
            </w:r>
            <w:r w:rsidR="00B91D05">
              <w:t>move ahead with DI.</w:t>
            </w:r>
          </w:p>
          <w:p w14:paraId="428D248A" w14:textId="18A3A67D" w:rsidR="00F57421" w:rsidRDefault="008A17A2" w:rsidP="008A17A2">
            <w:pPr>
              <w:rPr>
                <w:b/>
                <w:bCs/>
              </w:rPr>
            </w:pPr>
            <w:r w:rsidRPr="00EB20E6">
              <w:rPr>
                <w:b/>
                <w:bCs/>
              </w:rPr>
              <w:t>Ne</w:t>
            </w:r>
            <w:r w:rsidR="00DF33AF">
              <w:rPr>
                <w:b/>
                <w:bCs/>
              </w:rPr>
              <w:t>utral</w:t>
            </w:r>
            <w:r w:rsidRPr="00EB20E6">
              <w:rPr>
                <w:b/>
                <w:bCs/>
              </w:rPr>
              <w:t xml:space="preserve"> points:</w:t>
            </w:r>
          </w:p>
          <w:p w14:paraId="71C11707" w14:textId="77777777" w:rsidR="00B91D05" w:rsidRDefault="007F26D5" w:rsidP="00EA5C76">
            <w:pPr>
              <w:pStyle w:val="ListParagraph"/>
              <w:numPr>
                <w:ilvl w:val="0"/>
                <w:numId w:val="11"/>
              </w:numPr>
            </w:pPr>
            <w:r>
              <w:t xml:space="preserve">The flagship initiative cannot guarantee that </w:t>
            </w:r>
            <w:r w:rsidR="00750F9E">
              <w:t>the Alliance will result in concrete outcomes</w:t>
            </w:r>
            <w:r w:rsidR="00A278C3">
              <w:t xml:space="preserve"> that facilitate the transition from institutions to community-based services and independent living. </w:t>
            </w:r>
          </w:p>
          <w:p w14:paraId="068E2A61" w14:textId="27FD988E" w:rsidR="00DD5647" w:rsidRPr="00CE713D" w:rsidRDefault="009B18C2" w:rsidP="00EA5C76">
            <w:pPr>
              <w:pStyle w:val="ListParagraph"/>
              <w:numPr>
                <w:ilvl w:val="0"/>
                <w:numId w:val="11"/>
              </w:numPr>
            </w:pPr>
            <w:r>
              <w:t>Conducting an independent living implementation dialogue is very vague.</w:t>
            </w:r>
          </w:p>
        </w:tc>
        <w:tc>
          <w:tcPr>
            <w:tcW w:w="5130" w:type="dxa"/>
          </w:tcPr>
          <w:p w14:paraId="430A7C5F" w14:textId="40FE2CAB" w:rsidR="00A94A0B" w:rsidRDefault="006B1A7E" w:rsidP="00EA5C76">
            <w:pPr>
              <w:pStyle w:val="ListParagraph"/>
              <w:numPr>
                <w:ilvl w:val="0"/>
                <w:numId w:val="11"/>
              </w:numPr>
            </w:pPr>
            <w:r>
              <w:lastRenderedPageBreak/>
              <w:t xml:space="preserve">Make sure </w:t>
            </w:r>
            <w:r w:rsidR="00987B76">
              <w:t>monitoring and data collection on the de-institutionalisation process is done on</w:t>
            </w:r>
            <w:r w:rsidR="009764E3">
              <w:t xml:space="preserve"> </w:t>
            </w:r>
            <w:r w:rsidR="00987B76">
              <w:t>a regular basis so we have an up-to-date</w:t>
            </w:r>
            <w:r w:rsidR="00DE22AE">
              <w:t xml:space="preserve"> view of progress. </w:t>
            </w:r>
          </w:p>
          <w:p w14:paraId="16FC81A4" w14:textId="68E272FC" w:rsidR="00A94A0B" w:rsidRPr="00CE713D" w:rsidRDefault="0097094C" w:rsidP="00EA5C76">
            <w:pPr>
              <w:pStyle w:val="ListParagraph"/>
              <w:numPr>
                <w:ilvl w:val="0"/>
                <w:numId w:val="11"/>
              </w:numPr>
            </w:pPr>
            <w:r>
              <w:t>Set time-bound t</w:t>
            </w:r>
            <w:r w:rsidR="00A94A0B">
              <w:t xml:space="preserve">argets for the creation of centres for independent living to avoid </w:t>
            </w:r>
            <w:proofErr w:type="gramStart"/>
            <w:r w:rsidR="00A94A0B">
              <w:t>under-delivery</w:t>
            </w:r>
            <w:r>
              <w:t>, and</w:t>
            </w:r>
            <w:proofErr w:type="gramEnd"/>
            <w:r>
              <w:t xml:space="preserve"> ensure support for </w:t>
            </w:r>
            <w:r>
              <w:lastRenderedPageBreak/>
              <w:t xml:space="preserve">their </w:t>
            </w:r>
            <w:r w:rsidR="00247534">
              <w:t>running and activities rather than just their creation</w:t>
            </w:r>
            <w:r w:rsidR="00A94A0B">
              <w:t>.</w:t>
            </w:r>
          </w:p>
        </w:tc>
      </w:tr>
      <w:tr w:rsidR="00F57421" w:rsidRPr="00CE713D" w14:paraId="3121D9C6" w14:textId="77777777">
        <w:tc>
          <w:tcPr>
            <w:tcW w:w="5129" w:type="dxa"/>
          </w:tcPr>
          <w:p w14:paraId="60D04C20" w14:textId="33D6AD82" w:rsidR="00F57421" w:rsidRPr="00CE713D" w:rsidRDefault="007F33E9" w:rsidP="00F57421">
            <w:r>
              <w:lastRenderedPageBreak/>
              <w:t>E</w:t>
            </w:r>
            <w:r w:rsidR="00F57421" w:rsidRPr="00CE713D">
              <w:t xml:space="preserve">ncourage innovative solutions for independent living through EU funding, </w:t>
            </w:r>
            <w:proofErr w:type="gramStart"/>
            <w:r w:rsidR="00F57421" w:rsidRPr="00CE713D">
              <w:t>in particular through</w:t>
            </w:r>
            <w:proofErr w:type="gramEnd"/>
            <w:r w:rsidR="00F57421" w:rsidRPr="00CE713D">
              <w:t xml:space="preserve"> Horizon Europe and the cohesion policy funds and policy programmes, as well as their successors under the multi-annual financial framework after 2027</w:t>
            </w:r>
            <w:r w:rsidR="008F1C52">
              <w:t>.</w:t>
            </w:r>
          </w:p>
          <w:p w14:paraId="35E4474B" w14:textId="77777777" w:rsidR="00F57421" w:rsidRPr="00CE713D" w:rsidRDefault="00F57421"/>
        </w:tc>
        <w:tc>
          <w:tcPr>
            <w:tcW w:w="5129" w:type="dxa"/>
          </w:tcPr>
          <w:p w14:paraId="2DD183F0" w14:textId="52C8FE18" w:rsidR="008A17A2" w:rsidRDefault="008A17A2" w:rsidP="008A17A2">
            <w:pPr>
              <w:rPr>
                <w:b/>
                <w:bCs/>
              </w:rPr>
            </w:pPr>
            <w:r w:rsidRPr="00EB20E6">
              <w:rPr>
                <w:b/>
                <w:bCs/>
              </w:rPr>
              <w:t>Positive points:</w:t>
            </w:r>
          </w:p>
          <w:p w14:paraId="59BF50CC" w14:textId="52FAFBAE" w:rsidR="008A17A2" w:rsidRDefault="00E12392" w:rsidP="00EA5C76">
            <w:pPr>
              <w:pStyle w:val="ListParagraph"/>
              <w:numPr>
                <w:ilvl w:val="0"/>
                <w:numId w:val="12"/>
              </w:numPr>
            </w:pPr>
            <w:r>
              <w:t>Directi</w:t>
            </w:r>
            <w:r w:rsidR="00633473">
              <w:t>ng</w:t>
            </w:r>
            <w:r>
              <w:t xml:space="preserve"> EU funding towards independent living will help mitigate problems caused by under-investment at national and regional level.</w:t>
            </w:r>
          </w:p>
          <w:p w14:paraId="7B8026FE" w14:textId="77777777" w:rsidR="00F57421" w:rsidRDefault="008A17A2" w:rsidP="008A17A2">
            <w:pPr>
              <w:rPr>
                <w:b/>
                <w:bCs/>
              </w:rPr>
            </w:pPr>
            <w:r w:rsidRPr="00EB20E6">
              <w:rPr>
                <w:b/>
                <w:bCs/>
              </w:rPr>
              <w:t>Negative points:</w:t>
            </w:r>
          </w:p>
          <w:p w14:paraId="0D171479" w14:textId="77777777" w:rsidR="0073159D" w:rsidRDefault="0073159D" w:rsidP="00EA5C76">
            <w:pPr>
              <w:pStyle w:val="ListParagraph"/>
              <w:numPr>
                <w:ilvl w:val="0"/>
                <w:numId w:val="12"/>
              </w:numPr>
            </w:pPr>
            <w:r>
              <w:t xml:space="preserve">It is unclear </w:t>
            </w:r>
            <w:r w:rsidR="0082768D">
              <w:t xml:space="preserve">how this will be encouraged and if there are any </w:t>
            </w:r>
            <w:r w:rsidR="0082768D">
              <w:lastRenderedPageBreak/>
              <w:t>expectations of the amount of EU funding that will go towards this aim.</w:t>
            </w:r>
          </w:p>
          <w:p w14:paraId="118FE516" w14:textId="30E3DC77" w:rsidR="0082768D" w:rsidRPr="00CE713D" w:rsidRDefault="0082768D" w:rsidP="00E8297A">
            <w:pPr>
              <w:pStyle w:val="ListParagraph"/>
            </w:pPr>
          </w:p>
        </w:tc>
        <w:tc>
          <w:tcPr>
            <w:tcW w:w="5130" w:type="dxa"/>
          </w:tcPr>
          <w:p w14:paraId="13F223F6" w14:textId="6849BFCB" w:rsidR="00D770BA" w:rsidRDefault="00D770BA" w:rsidP="00EA5C76">
            <w:pPr>
              <w:pStyle w:val="ListParagraph"/>
              <w:numPr>
                <w:ilvl w:val="0"/>
                <w:numId w:val="12"/>
              </w:numPr>
            </w:pPr>
            <w:r>
              <w:lastRenderedPageBreak/>
              <w:t>More details on how this will be encouraged.</w:t>
            </w:r>
          </w:p>
          <w:p w14:paraId="368DF704" w14:textId="1CC59170" w:rsidR="00EF6EC3" w:rsidRDefault="00825889" w:rsidP="00EA5C76">
            <w:pPr>
              <w:pStyle w:val="ListParagraph"/>
              <w:numPr>
                <w:ilvl w:val="0"/>
                <w:numId w:val="12"/>
              </w:numPr>
            </w:pPr>
            <w:r>
              <w:t xml:space="preserve">Inclusion of clear wording in the </w:t>
            </w:r>
            <w:r w:rsidR="00C871A3">
              <w:t xml:space="preserve">EU </w:t>
            </w:r>
            <w:r>
              <w:t xml:space="preserve">funding regulations on </w:t>
            </w:r>
            <w:r w:rsidR="00051EAA">
              <w:t>investing in</w:t>
            </w:r>
            <w:r w:rsidR="00EF6EC3">
              <w:t xml:space="preserve"> institutionalisation and supporting independent living and inclusion in the community.</w:t>
            </w:r>
          </w:p>
          <w:p w14:paraId="5854327D" w14:textId="548FE05E" w:rsidR="00EF6EC3" w:rsidRPr="00CE713D" w:rsidRDefault="00C8624F" w:rsidP="00EA5C76">
            <w:pPr>
              <w:pStyle w:val="ListParagraph"/>
              <w:numPr>
                <w:ilvl w:val="0"/>
                <w:numId w:val="12"/>
              </w:numPr>
            </w:pPr>
            <w:r>
              <w:t xml:space="preserve">Ensure clear plan for how </w:t>
            </w:r>
            <w:r w:rsidR="007C6FA9">
              <w:t xml:space="preserve">National and Regional Partnership Plans </w:t>
            </w:r>
            <w:r w:rsidR="00064AF4">
              <w:lastRenderedPageBreak/>
              <w:t xml:space="preserve">will be </w:t>
            </w:r>
            <w:r w:rsidR="000B6535">
              <w:t xml:space="preserve">reviewed and approved by the Commission, and for informing the </w:t>
            </w:r>
            <w:r w:rsidR="00B74827">
              <w:t>services in the Commission to pay particular attention to monitoring the</w:t>
            </w:r>
            <w:r w:rsidR="00A40584">
              <w:t xml:space="preserve"> </w:t>
            </w:r>
            <w:r w:rsidR="00B900B1">
              <w:t>f</w:t>
            </w:r>
            <w:r w:rsidR="00A40584">
              <w:t>ocus on DI.</w:t>
            </w:r>
          </w:p>
        </w:tc>
      </w:tr>
      <w:tr w:rsidR="008E2934" w:rsidRPr="00CE713D" w14:paraId="522FF947" w14:textId="77777777">
        <w:tc>
          <w:tcPr>
            <w:tcW w:w="5129" w:type="dxa"/>
          </w:tcPr>
          <w:p w14:paraId="3059CE1D" w14:textId="2C474CDD" w:rsidR="008E2934" w:rsidRPr="00F34405" w:rsidRDefault="008E2934" w:rsidP="00F57421">
            <w:r w:rsidRPr="00F34405">
              <w:rPr>
                <w:rFonts w:cs="Arial"/>
                <w:szCs w:val="24"/>
                <w:lang w:eastAsia="en-IE"/>
              </w:rPr>
              <w:lastRenderedPageBreak/>
              <w:t xml:space="preserve">The Commission will present the framework for social services of excellence for persons with disabilities announced under the strategy, ensuring synergies with the update of the </w:t>
            </w:r>
            <w:r w:rsidRPr="00F34405">
              <w:rPr>
                <w:rFonts w:cs="Arial"/>
                <w:szCs w:val="24"/>
              </w:rPr>
              <w:t>Social Protection Committee EU voluntary quality framework for social services.</w:t>
            </w:r>
          </w:p>
        </w:tc>
        <w:tc>
          <w:tcPr>
            <w:tcW w:w="5129" w:type="dxa"/>
          </w:tcPr>
          <w:p w14:paraId="64701AF8" w14:textId="77777777" w:rsidR="00F84B47" w:rsidRDefault="008E2934" w:rsidP="008A17A2">
            <w:r w:rsidRPr="00615669">
              <w:rPr>
                <w:b/>
                <w:bCs/>
              </w:rPr>
              <w:t>Neutral</w:t>
            </w:r>
            <w:r w:rsidR="00615669" w:rsidRPr="00615669">
              <w:rPr>
                <w:b/>
                <w:bCs/>
              </w:rPr>
              <w:t>.</w:t>
            </w:r>
            <w:r>
              <w:t xml:space="preserve"> </w:t>
            </w:r>
          </w:p>
          <w:p w14:paraId="004504EF" w14:textId="43B7276B" w:rsidR="008E2934" w:rsidRPr="008E2934" w:rsidRDefault="00615669" w:rsidP="008A17A2">
            <w:r>
              <w:t>N</w:t>
            </w:r>
            <w:r w:rsidR="008E2934">
              <w:t xml:space="preserve">ot new. This action was a flagship initiative </w:t>
            </w:r>
            <w:r w:rsidR="00F34405">
              <w:t>foreseen for 2024.</w:t>
            </w:r>
          </w:p>
        </w:tc>
        <w:tc>
          <w:tcPr>
            <w:tcW w:w="5130" w:type="dxa"/>
          </w:tcPr>
          <w:p w14:paraId="72DAE27E" w14:textId="0B2449BC" w:rsidR="008E2934" w:rsidRDefault="005E3A14">
            <w:r>
              <w:t xml:space="preserve">Follow up on the inputs provided by EDF </w:t>
            </w:r>
            <w:r w:rsidR="009F2C3C">
              <w:t>in the development of this initiative.</w:t>
            </w:r>
          </w:p>
        </w:tc>
      </w:tr>
    </w:tbl>
    <w:p w14:paraId="2D24E4E8" w14:textId="7ED9DFCA" w:rsidR="007F577B" w:rsidRPr="00CE713D" w:rsidRDefault="007F577B" w:rsidP="00002939">
      <w:pPr>
        <w:pStyle w:val="Heading3"/>
      </w:pPr>
      <w:r w:rsidRPr="00CE713D">
        <w:t>Improving access to sustainable quality jobs</w:t>
      </w:r>
    </w:p>
    <w:tbl>
      <w:tblPr>
        <w:tblStyle w:val="TableGrid"/>
        <w:tblW w:w="0" w:type="auto"/>
        <w:tblLook w:val="04A0" w:firstRow="1" w:lastRow="0" w:firstColumn="1" w:lastColumn="0" w:noHBand="0" w:noVBand="1"/>
      </w:tblPr>
      <w:tblGrid>
        <w:gridCol w:w="5129"/>
        <w:gridCol w:w="5129"/>
        <w:gridCol w:w="5130"/>
      </w:tblGrid>
      <w:tr w:rsidR="00F57421" w:rsidRPr="00CE713D" w14:paraId="2D184B96" w14:textId="77777777">
        <w:trPr>
          <w:tblHeader/>
        </w:trPr>
        <w:tc>
          <w:tcPr>
            <w:tcW w:w="5129" w:type="dxa"/>
          </w:tcPr>
          <w:p w14:paraId="2E4D1A12" w14:textId="77777777" w:rsidR="00F57421" w:rsidRPr="00CE713D" w:rsidRDefault="00F57421">
            <w:pPr>
              <w:rPr>
                <w:b/>
                <w:bCs/>
              </w:rPr>
            </w:pPr>
            <w:r w:rsidRPr="00CE713D">
              <w:rPr>
                <w:b/>
                <w:bCs/>
              </w:rPr>
              <w:t>Action in the Disability Strategy</w:t>
            </w:r>
          </w:p>
        </w:tc>
        <w:tc>
          <w:tcPr>
            <w:tcW w:w="5129" w:type="dxa"/>
          </w:tcPr>
          <w:p w14:paraId="5EEE02CC" w14:textId="77777777" w:rsidR="00F57421" w:rsidRPr="00CE713D" w:rsidRDefault="00F57421">
            <w:pPr>
              <w:rPr>
                <w:b/>
                <w:bCs/>
              </w:rPr>
            </w:pPr>
            <w:r w:rsidRPr="00CE713D">
              <w:rPr>
                <w:b/>
                <w:bCs/>
              </w:rPr>
              <w:t>Evaluation by EDF</w:t>
            </w:r>
          </w:p>
        </w:tc>
        <w:tc>
          <w:tcPr>
            <w:tcW w:w="5130" w:type="dxa"/>
          </w:tcPr>
          <w:p w14:paraId="6BEE3947" w14:textId="77777777" w:rsidR="00F57421" w:rsidRPr="00CE713D" w:rsidRDefault="00F57421">
            <w:pPr>
              <w:rPr>
                <w:b/>
                <w:bCs/>
              </w:rPr>
            </w:pPr>
            <w:r w:rsidRPr="00CE713D">
              <w:rPr>
                <w:b/>
                <w:bCs/>
              </w:rPr>
              <w:t>Priorities for implementation</w:t>
            </w:r>
          </w:p>
        </w:tc>
      </w:tr>
      <w:tr w:rsidR="00F57421" w:rsidRPr="00CE713D" w14:paraId="21ECF8E9" w14:textId="77777777" w:rsidTr="003C78A7">
        <w:tc>
          <w:tcPr>
            <w:tcW w:w="5129" w:type="dxa"/>
          </w:tcPr>
          <w:p w14:paraId="19A45E9E" w14:textId="77777777" w:rsidR="003C78A7" w:rsidRDefault="003C78A7" w:rsidP="00B94875">
            <w:r>
              <w:t>Flagship Initiative</w:t>
            </w:r>
            <w:r w:rsidR="00B94875" w:rsidRPr="00CE713D">
              <w:t xml:space="preserve"> – Improve implementation of the Disability Employment Package</w:t>
            </w:r>
            <w:r w:rsidR="0034203F">
              <w:t>.</w:t>
            </w:r>
            <w:r w:rsidR="00B94875" w:rsidRPr="00CE713D">
              <w:t xml:space="preserve"> </w:t>
            </w:r>
          </w:p>
          <w:p w14:paraId="36E3A566" w14:textId="09D3B3C6" w:rsidR="00B94875" w:rsidRPr="00CE713D" w:rsidRDefault="00B94875" w:rsidP="00B94875">
            <w:r w:rsidRPr="00CE713D">
              <w:t>The Commission will work for better access to the labour market for persons with disabilities building on the Disability Employment Package and with the involvement of social partners. The follow-up will include: (</w:t>
            </w:r>
            <w:proofErr w:type="spellStart"/>
            <w:r w:rsidRPr="00CE713D">
              <w:t>i</w:t>
            </w:r>
            <w:proofErr w:type="spellEnd"/>
            <w:r w:rsidRPr="00CE713D">
              <w:t xml:space="preserve">) sharing best practices and issuing further guidance, e.g. on AI and assistive technologies at the </w:t>
            </w:r>
            <w:proofErr w:type="gramStart"/>
            <w:r w:rsidRPr="00CE713D">
              <w:t>work place</w:t>
            </w:r>
            <w:proofErr w:type="gramEnd"/>
            <w:r w:rsidRPr="00CE713D">
              <w:t xml:space="preserve">, transition from education to employment, employment of women with disabilities; (ii) assessing the extent to which reasonable </w:t>
            </w:r>
            <w:r w:rsidRPr="00CE713D">
              <w:lastRenderedPageBreak/>
              <w:t>accommodation is provided at the workplace, in line with the Employment Equality Directive; and (iii) publishing, together with the OECD, a cost-benefit analysis of boosting employment of persons with disabilities. Moreover, the Commission will consult European social partners on the possible direction of EU action to support the activation of persons excluded from the labour market.</w:t>
            </w:r>
          </w:p>
          <w:p w14:paraId="18187776" w14:textId="77777777" w:rsidR="00F57421" w:rsidRPr="00CE713D" w:rsidRDefault="00F57421"/>
        </w:tc>
        <w:tc>
          <w:tcPr>
            <w:tcW w:w="5129" w:type="dxa"/>
          </w:tcPr>
          <w:p w14:paraId="6F5CC840" w14:textId="77777777" w:rsidR="000606B5" w:rsidRDefault="000606B5" w:rsidP="000606B5">
            <w:pPr>
              <w:rPr>
                <w:b/>
                <w:bCs/>
              </w:rPr>
            </w:pPr>
            <w:r w:rsidRPr="00EB20E6">
              <w:rPr>
                <w:b/>
                <w:bCs/>
              </w:rPr>
              <w:lastRenderedPageBreak/>
              <w:t>Positive points:</w:t>
            </w:r>
          </w:p>
          <w:p w14:paraId="03C08911" w14:textId="4E5BB272" w:rsidR="00D26046" w:rsidRPr="00B402B7" w:rsidRDefault="00D26046" w:rsidP="00EA5C76">
            <w:pPr>
              <w:pStyle w:val="ListParagraph"/>
              <w:numPr>
                <w:ilvl w:val="0"/>
                <w:numId w:val="12"/>
              </w:numPr>
              <w:rPr>
                <w:b/>
                <w:bCs/>
              </w:rPr>
            </w:pPr>
            <w:r>
              <w:t xml:space="preserve">The last point of the flagship initiative </w:t>
            </w:r>
            <w:r w:rsidR="00E0547B">
              <w:t>concerning</w:t>
            </w:r>
            <w:r>
              <w:t xml:space="preserve"> the activation</w:t>
            </w:r>
            <w:r w:rsidR="00921CE4">
              <w:t xml:space="preserve"> of persons excluded from the labour market </w:t>
            </w:r>
            <w:r w:rsidR="00E0547B">
              <w:t>could lead to a legislative proposal.</w:t>
            </w:r>
          </w:p>
          <w:p w14:paraId="67C26303" w14:textId="703A32EC" w:rsidR="00BE2598" w:rsidRPr="00425D9A" w:rsidRDefault="00BE2598" w:rsidP="00EA5C76">
            <w:pPr>
              <w:pStyle w:val="ListParagraph"/>
              <w:numPr>
                <w:ilvl w:val="0"/>
                <w:numId w:val="12"/>
              </w:numPr>
              <w:rPr>
                <w:b/>
                <w:bCs/>
              </w:rPr>
            </w:pPr>
            <w:r>
              <w:t xml:space="preserve">It is useful to have an assessment of how </w:t>
            </w:r>
            <w:r w:rsidR="00425D9A">
              <w:t xml:space="preserve">well </w:t>
            </w:r>
            <w:r>
              <w:t>the E</w:t>
            </w:r>
            <w:r w:rsidR="00425D9A">
              <w:t>mployment Equality Directive is being implemented.</w:t>
            </w:r>
          </w:p>
          <w:p w14:paraId="3FCC4E39" w14:textId="16583DCE" w:rsidR="00425D9A" w:rsidRPr="00B87BE6" w:rsidRDefault="00067667" w:rsidP="00EA5C76">
            <w:pPr>
              <w:pStyle w:val="ListParagraph"/>
              <w:numPr>
                <w:ilvl w:val="0"/>
                <w:numId w:val="12"/>
              </w:numPr>
              <w:rPr>
                <w:b/>
                <w:bCs/>
              </w:rPr>
            </w:pPr>
            <w:r>
              <w:t xml:space="preserve">Cost-benefit analysis of boosting employment of persons with disabilities can result in a </w:t>
            </w:r>
            <w:r w:rsidR="00807FCE">
              <w:t xml:space="preserve">persuasive tool to encourage </w:t>
            </w:r>
            <w:r w:rsidR="00340BAC">
              <w:lastRenderedPageBreak/>
              <w:t xml:space="preserve">policy makers to act </w:t>
            </w:r>
            <w:r w:rsidR="00B87BE6">
              <w:t>on removing barriers to the labour market.</w:t>
            </w:r>
          </w:p>
          <w:p w14:paraId="557B3F74" w14:textId="056C540E" w:rsidR="000606B5" w:rsidRPr="003C78A7" w:rsidRDefault="00B87BE6" w:rsidP="00EA5C76">
            <w:pPr>
              <w:pStyle w:val="ListParagraph"/>
              <w:numPr>
                <w:ilvl w:val="0"/>
                <w:numId w:val="12"/>
              </w:numPr>
              <w:rPr>
                <w:b/>
                <w:bCs/>
              </w:rPr>
            </w:pPr>
            <w:r>
              <w:t xml:space="preserve">The focus on AI, and on women with disabilities in the workplace, will be very useful for our understanding of </w:t>
            </w:r>
            <w:r w:rsidR="006145A6">
              <w:t>barriers faced by persons with disabilities in the modern labour market.</w:t>
            </w:r>
          </w:p>
          <w:p w14:paraId="4E52AA7B" w14:textId="29862A40" w:rsidR="00F57421" w:rsidRDefault="000606B5" w:rsidP="000606B5">
            <w:pPr>
              <w:rPr>
                <w:b/>
                <w:bCs/>
              </w:rPr>
            </w:pPr>
            <w:r w:rsidRPr="00EB20E6">
              <w:rPr>
                <w:b/>
                <w:bCs/>
              </w:rPr>
              <w:t>N</w:t>
            </w:r>
            <w:r w:rsidR="00573627">
              <w:rPr>
                <w:b/>
                <w:bCs/>
              </w:rPr>
              <w:t>eutral</w:t>
            </w:r>
            <w:r w:rsidRPr="00EB20E6">
              <w:rPr>
                <w:b/>
                <w:bCs/>
              </w:rPr>
              <w:t xml:space="preserve"> points:</w:t>
            </w:r>
          </w:p>
          <w:p w14:paraId="4252E3D5" w14:textId="2B217843" w:rsidR="00573627" w:rsidRPr="003C78A7" w:rsidRDefault="00573627" w:rsidP="00EA5C76">
            <w:pPr>
              <w:pStyle w:val="ListParagraph"/>
              <w:numPr>
                <w:ilvl w:val="0"/>
                <w:numId w:val="24"/>
              </w:numPr>
              <w:rPr>
                <w:b/>
                <w:bCs/>
              </w:rPr>
            </w:pPr>
            <w:r>
              <w:t>It is still heavily focused on a continuation of research and theoretical approaches to understanding employment issues faced by persons with disabilities.</w:t>
            </w:r>
          </w:p>
          <w:p w14:paraId="06C5E7B7" w14:textId="0870D34A" w:rsidR="00573627" w:rsidRPr="00573627" w:rsidRDefault="00573627" w:rsidP="00573627">
            <w:pPr>
              <w:rPr>
                <w:b/>
                <w:bCs/>
              </w:rPr>
            </w:pPr>
            <w:r>
              <w:rPr>
                <w:b/>
                <w:bCs/>
              </w:rPr>
              <w:t>Negative points:</w:t>
            </w:r>
          </w:p>
          <w:p w14:paraId="7DABA5A8" w14:textId="15948AE0" w:rsidR="00051989" w:rsidRPr="0034203F" w:rsidRDefault="0034203F" w:rsidP="00EA5C76">
            <w:pPr>
              <w:pStyle w:val="ListParagraph"/>
              <w:numPr>
                <w:ilvl w:val="0"/>
                <w:numId w:val="12"/>
              </w:numPr>
            </w:pPr>
            <w:r>
              <w:t xml:space="preserve">The </w:t>
            </w:r>
            <w:r w:rsidR="00573627">
              <w:t>actions proposed</w:t>
            </w:r>
            <w:r>
              <w:t xml:space="preserve"> </w:t>
            </w:r>
            <w:r w:rsidR="00EA45FF">
              <w:t>come at the expense of</w:t>
            </w:r>
            <w:r w:rsidR="00433906">
              <w:t xml:space="preserve"> practical </w:t>
            </w:r>
            <w:r w:rsidR="00051989">
              <w:t>initiatives that the disability movement had been calling for</w:t>
            </w:r>
            <w:r w:rsidR="008B5C53">
              <w:t xml:space="preserve"> such as the Disability Employment and Skills Guarantee</w:t>
            </w:r>
            <w:r w:rsidR="00051989">
              <w:t>.</w:t>
            </w:r>
          </w:p>
        </w:tc>
        <w:tc>
          <w:tcPr>
            <w:tcW w:w="5130" w:type="dxa"/>
          </w:tcPr>
          <w:p w14:paraId="446C765E" w14:textId="3483F4A1" w:rsidR="00670261" w:rsidRDefault="00DC5E00" w:rsidP="00EA5C76">
            <w:pPr>
              <w:pStyle w:val="ListParagraph"/>
              <w:numPr>
                <w:ilvl w:val="0"/>
                <w:numId w:val="12"/>
              </w:numPr>
            </w:pPr>
            <w:r>
              <w:lastRenderedPageBreak/>
              <w:t>In addition to social partners, e</w:t>
            </w:r>
            <w:r w:rsidR="007E270A">
              <w:t>nsure that organisations of persons with disabilities are</w:t>
            </w:r>
            <w:r w:rsidR="00670261">
              <w:t xml:space="preserve"> </w:t>
            </w:r>
            <w:r w:rsidR="007E270A">
              <w:t>also</w:t>
            </w:r>
            <w:r w:rsidR="00670261">
              <w:t xml:space="preserve"> involved in the consultations concerning a potential initiative for labour market activation.</w:t>
            </w:r>
          </w:p>
          <w:p w14:paraId="44543566" w14:textId="50A81D45" w:rsidR="006C7789" w:rsidRDefault="006C7789" w:rsidP="00EA5C76">
            <w:pPr>
              <w:pStyle w:val="ListParagraph"/>
              <w:numPr>
                <w:ilvl w:val="0"/>
                <w:numId w:val="12"/>
              </w:numPr>
            </w:pPr>
            <w:r>
              <w:t>Continue using the Employment Sub-Group of the Disability Platform to give input to this work.</w:t>
            </w:r>
          </w:p>
          <w:p w14:paraId="3CFF1C49" w14:textId="63FDD4C0" w:rsidR="006C7789" w:rsidRPr="00CE713D" w:rsidRDefault="006C7789" w:rsidP="00EA5C76">
            <w:pPr>
              <w:pStyle w:val="ListParagraph"/>
              <w:numPr>
                <w:ilvl w:val="0"/>
                <w:numId w:val="12"/>
              </w:numPr>
            </w:pPr>
            <w:r>
              <w:t xml:space="preserve">Plan internally for how this </w:t>
            </w:r>
            <w:r w:rsidR="006553BC">
              <w:t xml:space="preserve">new learning can be channelled into a concrete </w:t>
            </w:r>
            <w:r w:rsidR="00B27F25">
              <w:t>policy proposal to address the issues.</w:t>
            </w:r>
            <w:r w:rsidR="006553BC">
              <w:t xml:space="preserve"> </w:t>
            </w:r>
          </w:p>
        </w:tc>
      </w:tr>
      <w:tr w:rsidR="00F57421" w:rsidRPr="00CE713D" w14:paraId="24C50E5B" w14:textId="77777777">
        <w:tc>
          <w:tcPr>
            <w:tcW w:w="5129" w:type="dxa"/>
          </w:tcPr>
          <w:p w14:paraId="5BE23A4A" w14:textId="142FBDD1" w:rsidR="00B94875" w:rsidRPr="00CE713D" w:rsidRDefault="007F33E9" w:rsidP="00B94875">
            <w:r>
              <w:t>W</w:t>
            </w:r>
            <w:r w:rsidR="00B94875" w:rsidRPr="00CE713D">
              <w:t>ork with the Council’s Social Protection and Employment Committees on the setting of national targets for the employment of persons with disabilities</w:t>
            </w:r>
            <w:r w:rsidR="008665A3">
              <w:t>.</w:t>
            </w:r>
          </w:p>
          <w:p w14:paraId="1B15B4B3" w14:textId="77777777" w:rsidR="00F57421" w:rsidRPr="00CE713D" w:rsidRDefault="00F57421"/>
        </w:tc>
        <w:tc>
          <w:tcPr>
            <w:tcW w:w="5129" w:type="dxa"/>
          </w:tcPr>
          <w:p w14:paraId="0C4CD859" w14:textId="77777777" w:rsidR="000606B5" w:rsidRPr="00EB20E6" w:rsidRDefault="000606B5" w:rsidP="000606B5">
            <w:pPr>
              <w:rPr>
                <w:b/>
                <w:bCs/>
              </w:rPr>
            </w:pPr>
            <w:r w:rsidRPr="00EB20E6">
              <w:rPr>
                <w:b/>
                <w:bCs/>
              </w:rPr>
              <w:t>Positive points:</w:t>
            </w:r>
          </w:p>
          <w:p w14:paraId="217CC334" w14:textId="084F2C97" w:rsidR="00F57421" w:rsidRDefault="001C428C" w:rsidP="00EA5C76">
            <w:pPr>
              <w:pStyle w:val="ListParagraph"/>
              <w:numPr>
                <w:ilvl w:val="0"/>
                <w:numId w:val="15"/>
              </w:numPr>
            </w:pPr>
            <w:r>
              <w:t xml:space="preserve">This will be a real step forwards in the accountability of Member States </w:t>
            </w:r>
            <w:r w:rsidR="00162C91">
              <w:t xml:space="preserve">for improving employment outcomes of persons with disabilities. It must be coupled with a focus on the quality of this employment and not seek to increase employment rates through the placement of persons </w:t>
            </w:r>
            <w:r w:rsidR="00162C91">
              <w:lastRenderedPageBreak/>
              <w:t xml:space="preserve">with disabilities in </w:t>
            </w:r>
            <w:r w:rsidR="006F70E5">
              <w:t>sheltered workshops.</w:t>
            </w:r>
            <w:r w:rsidR="00162C91">
              <w:t xml:space="preserve"> </w:t>
            </w:r>
          </w:p>
          <w:p w14:paraId="3A53A32A" w14:textId="6DF8F40D" w:rsidR="00304974" w:rsidRPr="00A622C6" w:rsidRDefault="00304974" w:rsidP="000606B5">
            <w:pPr>
              <w:rPr>
                <w:b/>
                <w:bCs/>
              </w:rPr>
            </w:pPr>
            <w:r w:rsidRPr="00A622C6">
              <w:rPr>
                <w:b/>
                <w:bCs/>
              </w:rPr>
              <w:t>Ne</w:t>
            </w:r>
            <w:r w:rsidR="00EF7AA6" w:rsidRPr="00A622C6">
              <w:rPr>
                <w:b/>
                <w:bCs/>
              </w:rPr>
              <w:t>utral</w:t>
            </w:r>
            <w:r w:rsidRPr="00A622C6">
              <w:rPr>
                <w:b/>
                <w:bCs/>
              </w:rPr>
              <w:t xml:space="preserve"> points: </w:t>
            </w:r>
          </w:p>
          <w:p w14:paraId="2AC1F764" w14:textId="06DB1495" w:rsidR="00304974" w:rsidRPr="00CE713D" w:rsidRDefault="00EF7AA6" w:rsidP="00EA5C76">
            <w:pPr>
              <w:pStyle w:val="ListParagraph"/>
              <w:numPr>
                <w:ilvl w:val="0"/>
                <w:numId w:val="15"/>
              </w:numPr>
            </w:pPr>
            <w:r>
              <w:t xml:space="preserve">The first half of the strategy already called on </w:t>
            </w:r>
            <w:r w:rsidR="00E71444">
              <w:t xml:space="preserve">Member States to set up employment </w:t>
            </w:r>
            <w:proofErr w:type="gramStart"/>
            <w:r w:rsidR="00E71444">
              <w:t>tar</w:t>
            </w:r>
            <w:r w:rsidR="001F1942">
              <w:t>gets</w:t>
            </w:r>
            <w:proofErr w:type="gramEnd"/>
            <w:r w:rsidR="001F1942">
              <w:t xml:space="preserve"> and this was not done</w:t>
            </w:r>
            <w:r w:rsidR="00B81546">
              <w:t xml:space="preserve"> by all of them</w:t>
            </w:r>
            <w:r w:rsidR="001F1942">
              <w:t xml:space="preserve">, so </w:t>
            </w:r>
            <w:r w:rsidR="00D354D7">
              <w:t>this action is</w:t>
            </w:r>
            <w:r w:rsidR="00A622C6">
              <w:t xml:space="preserve"> more a response to the inaction of the Member States over the past 5 years.</w:t>
            </w:r>
          </w:p>
        </w:tc>
        <w:tc>
          <w:tcPr>
            <w:tcW w:w="5130" w:type="dxa"/>
          </w:tcPr>
          <w:p w14:paraId="6B00770B" w14:textId="7575A4C0" w:rsidR="005A679D" w:rsidRDefault="005A679D" w:rsidP="00EA5C76">
            <w:pPr>
              <w:pStyle w:val="ListParagraph"/>
              <w:numPr>
                <w:ilvl w:val="0"/>
                <w:numId w:val="12"/>
              </w:numPr>
            </w:pPr>
            <w:r>
              <w:lastRenderedPageBreak/>
              <w:t xml:space="preserve">Make sure the targets </w:t>
            </w:r>
            <w:proofErr w:type="gramStart"/>
            <w:r>
              <w:t>take into account</w:t>
            </w:r>
            <w:proofErr w:type="gramEnd"/>
            <w:r>
              <w:t xml:space="preserve"> not only employment rates but also quality of employment and a focus on the open labour market.</w:t>
            </w:r>
          </w:p>
          <w:p w14:paraId="6E3C924A" w14:textId="2975168E" w:rsidR="005A679D" w:rsidRPr="00CE713D" w:rsidRDefault="005A679D" w:rsidP="00EA5C76">
            <w:pPr>
              <w:pStyle w:val="ListParagraph"/>
              <w:numPr>
                <w:ilvl w:val="0"/>
                <w:numId w:val="12"/>
              </w:numPr>
            </w:pPr>
            <w:r>
              <w:t>Ensure the targets are time</w:t>
            </w:r>
            <w:r w:rsidR="0085028E">
              <w:t xml:space="preserve"> </w:t>
            </w:r>
            <w:r>
              <w:t xml:space="preserve">bound and </w:t>
            </w:r>
            <w:r w:rsidR="008C04FD">
              <w:t>will be monitored carefully to see how well Member States are working to achieve them.</w:t>
            </w:r>
          </w:p>
        </w:tc>
      </w:tr>
      <w:tr w:rsidR="00F57421" w:rsidRPr="00CE713D" w14:paraId="3D8E299D" w14:textId="77777777">
        <w:tc>
          <w:tcPr>
            <w:tcW w:w="5129" w:type="dxa"/>
          </w:tcPr>
          <w:p w14:paraId="408496CC" w14:textId="664F8860" w:rsidR="00B94875" w:rsidRPr="00CE713D" w:rsidRDefault="007F33E9" w:rsidP="00B94875">
            <w:r>
              <w:t>P</w:t>
            </w:r>
            <w:r w:rsidR="00B94875" w:rsidRPr="00CE713D">
              <w:t>romote the inclusion of persons with disabilities at the workplace within the EU Platform of Diversity Charters</w:t>
            </w:r>
            <w:r w:rsidR="008665A3">
              <w:t>.</w:t>
            </w:r>
          </w:p>
          <w:p w14:paraId="36C47B12" w14:textId="77777777" w:rsidR="00F57421" w:rsidRPr="00CE713D" w:rsidRDefault="00F57421"/>
        </w:tc>
        <w:tc>
          <w:tcPr>
            <w:tcW w:w="5129" w:type="dxa"/>
          </w:tcPr>
          <w:p w14:paraId="364A18F2" w14:textId="77777777" w:rsidR="000606B5" w:rsidRPr="00EB20E6" w:rsidRDefault="000606B5" w:rsidP="000606B5">
            <w:pPr>
              <w:rPr>
                <w:b/>
                <w:bCs/>
              </w:rPr>
            </w:pPr>
            <w:r w:rsidRPr="00EB20E6">
              <w:rPr>
                <w:b/>
                <w:bCs/>
              </w:rPr>
              <w:t>Positive points:</w:t>
            </w:r>
          </w:p>
          <w:p w14:paraId="53ABB9F4" w14:textId="3F7AD213" w:rsidR="000606B5" w:rsidRDefault="009942D1" w:rsidP="00EA5C76">
            <w:pPr>
              <w:pStyle w:val="ListParagraph"/>
              <w:numPr>
                <w:ilvl w:val="0"/>
                <w:numId w:val="15"/>
              </w:numPr>
            </w:pPr>
            <w:r>
              <w:t xml:space="preserve">It will be positive to </w:t>
            </w:r>
            <w:r w:rsidR="008A7123">
              <w:t xml:space="preserve">reinforce the place of disability in these </w:t>
            </w:r>
            <w:r w:rsidR="00B207A7">
              <w:t xml:space="preserve">Diversity Charters, and to publicise their existence to encourage employers to sign up to it. </w:t>
            </w:r>
          </w:p>
          <w:p w14:paraId="17306ADA" w14:textId="77777777" w:rsidR="00F57421" w:rsidRDefault="000606B5" w:rsidP="000606B5">
            <w:pPr>
              <w:rPr>
                <w:b/>
                <w:bCs/>
              </w:rPr>
            </w:pPr>
            <w:r w:rsidRPr="00EB20E6">
              <w:rPr>
                <w:b/>
                <w:bCs/>
              </w:rPr>
              <w:t>Negative points:</w:t>
            </w:r>
          </w:p>
          <w:p w14:paraId="2AB23C5B" w14:textId="2FE05B8B" w:rsidR="00037873" w:rsidRPr="00CE713D" w:rsidRDefault="00037873" w:rsidP="00EA5C76">
            <w:pPr>
              <w:pStyle w:val="ListParagraph"/>
              <w:numPr>
                <w:ilvl w:val="0"/>
                <w:numId w:val="15"/>
              </w:numPr>
            </w:pPr>
            <w:r>
              <w:t>It is not a strong action</w:t>
            </w:r>
            <w:r w:rsidR="007039D5">
              <w:t xml:space="preserve"> with binding or particularly reliable outcomes. It is a soft measure with limited potential to bring about change.</w:t>
            </w:r>
          </w:p>
        </w:tc>
        <w:tc>
          <w:tcPr>
            <w:tcW w:w="5130" w:type="dxa"/>
          </w:tcPr>
          <w:p w14:paraId="12C2283B" w14:textId="0BEF085A" w:rsidR="00F57421" w:rsidRPr="00CE713D" w:rsidRDefault="007973A8">
            <w:r>
              <w:t>Follow and promote the outcomes of this action if positive.</w:t>
            </w:r>
          </w:p>
        </w:tc>
      </w:tr>
      <w:tr w:rsidR="00F57421" w:rsidRPr="00CE713D" w14:paraId="0CEC66BB" w14:textId="77777777">
        <w:tc>
          <w:tcPr>
            <w:tcW w:w="5129" w:type="dxa"/>
          </w:tcPr>
          <w:p w14:paraId="79A8000E" w14:textId="0691C6D5" w:rsidR="00B94875" w:rsidRPr="00CE713D" w:rsidRDefault="007F33E9" w:rsidP="00B94875">
            <w:r>
              <w:t>C</w:t>
            </w:r>
            <w:r w:rsidR="00B94875" w:rsidRPr="00CE713D">
              <w:t>onsider the occupational safety and health risks faced by workers with disabilities in the forthcoming Quality Jobs Act proposal</w:t>
            </w:r>
            <w:r w:rsidR="008665A3">
              <w:t>.</w:t>
            </w:r>
          </w:p>
          <w:p w14:paraId="11DF3F22" w14:textId="77777777" w:rsidR="00F57421" w:rsidRPr="00CE713D" w:rsidRDefault="00F57421"/>
        </w:tc>
        <w:tc>
          <w:tcPr>
            <w:tcW w:w="5129" w:type="dxa"/>
          </w:tcPr>
          <w:p w14:paraId="282C1A1C" w14:textId="77777777" w:rsidR="000606B5" w:rsidRDefault="000606B5" w:rsidP="000606B5">
            <w:pPr>
              <w:rPr>
                <w:b/>
                <w:bCs/>
              </w:rPr>
            </w:pPr>
            <w:r w:rsidRPr="00EB20E6">
              <w:rPr>
                <w:b/>
                <w:bCs/>
              </w:rPr>
              <w:t>Positive points:</w:t>
            </w:r>
          </w:p>
          <w:p w14:paraId="593CE12E" w14:textId="5DA227FE" w:rsidR="005712AC" w:rsidRPr="005712AC" w:rsidRDefault="003D1ADC" w:rsidP="00EA5C76">
            <w:pPr>
              <w:pStyle w:val="ListParagraph"/>
              <w:numPr>
                <w:ilvl w:val="0"/>
                <w:numId w:val="14"/>
              </w:numPr>
              <w:rPr>
                <w:b/>
                <w:bCs/>
              </w:rPr>
            </w:pPr>
            <w:r>
              <w:t xml:space="preserve">This is linked to a legislative proposal which can result in binding measures that will </w:t>
            </w:r>
            <w:r w:rsidR="005A4B56">
              <w:t>have tangible improvements on the lives of working people with disabilities.</w:t>
            </w:r>
          </w:p>
          <w:p w14:paraId="3EF2722C" w14:textId="77777777" w:rsidR="000606B5" w:rsidRDefault="000606B5" w:rsidP="000606B5"/>
          <w:p w14:paraId="43C1EDD6" w14:textId="77777777" w:rsidR="00F57421" w:rsidRDefault="000606B5" w:rsidP="000606B5">
            <w:pPr>
              <w:rPr>
                <w:b/>
                <w:bCs/>
              </w:rPr>
            </w:pPr>
            <w:r w:rsidRPr="00EB20E6">
              <w:rPr>
                <w:b/>
                <w:bCs/>
              </w:rPr>
              <w:t>Negative points:</w:t>
            </w:r>
          </w:p>
          <w:p w14:paraId="3C85BFB0" w14:textId="11BEE969" w:rsidR="006145A6" w:rsidRPr="00CE713D" w:rsidRDefault="00300BBE" w:rsidP="00EA5C76">
            <w:pPr>
              <w:pStyle w:val="ListParagraph"/>
              <w:numPr>
                <w:ilvl w:val="0"/>
                <w:numId w:val="13"/>
              </w:numPr>
            </w:pPr>
            <w:r>
              <w:lastRenderedPageBreak/>
              <w:t xml:space="preserve">It only </w:t>
            </w:r>
            <w:r w:rsidR="006B109F">
              <w:t>focuses on</w:t>
            </w:r>
            <w:r>
              <w:t xml:space="preserve"> “</w:t>
            </w:r>
            <w:r w:rsidRPr="00CE713D">
              <w:t>occupational safety and health risks</w:t>
            </w:r>
            <w:r>
              <w:t>”</w:t>
            </w:r>
            <w:r w:rsidR="006B109F">
              <w:t xml:space="preserve"> instead of all working conditions.</w:t>
            </w:r>
          </w:p>
        </w:tc>
        <w:tc>
          <w:tcPr>
            <w:tcW w:w="5130" w:type="dxa"/>
          </w:tcPr>
          <w:p w14:paraId="23B4E10C" w14:textId="571ED2A5" w:rsidR="00300BBE" w:rsidRDefault="002411F4" w:rsidP="00EA5C76">
            <w:pPr>
              <w:pStyle w:val="ListParagraph"/>
              <w:numPr>
                <w:ilvl w:val="0"/>
                <w:numId w:val="13"/>
              </w:numPr>
            </w:pPr>
            <w:r>
              <w:lastRenderedPageBreak/>
              <w:t>Make sure the</w:t>
            </w:r>
            <w:r w:rsidR="001A6686">
              <w:t xml:space="preserve"> disability aspects of the</w:t>
            </w:r>
            <w:r>
              <w:t xml:space="preserve"> Quality </w:t>
            </w:r>
            <w:r w:rsidR="00897F1B">
              <w:t xml:space="preserve">Jobs Act </w:t>
            </w:r>
            <w:r w:rsidR="000D5DE5">
              <w:t>go be</w:t>
            </w:r>
            <w:r w:rsidR="00064DE9">
              <w:t>yond</w:t>
            </w:r>
            <w:r w:rsidR="001A6686">
              <w:t xml:space="preserve"> </w:t>
            </w:r>
            <w:r w:rsidR="000D36CB">
              <w:t>occupational safety</w:t>
            </w:r>
            <w:r w:rsidR="00433F25">
              <w:t xml:space="preserve"> and focuses on quality of employment of persons with disabilities in a more holistic sense</w:t>
            </w:r>
            <w:r w:rsidR="000D36CB">
              <w:t>.</w:t>
            </w:r>
          </w:p>
          <w:p w14:paraId="56AC5EBD" w14:textId="38A0F330" w:rsidR="000D36CB" w:rsidRDefault="00300BBE" w:rsidP="00EA5C76">
            <w:pPr>
              <w:pStyle w:val="ListParagraph"/>
              <w:numPr>
                <w:ilvl w:val="0"/>
                <w:numId w:val="13"/>
              </w:numPr>
            </w:pPr>
            <w:r>
              <w:t xml:space="preserve">The </w:t>
            </w:r>
            <w:r w:rsidR="00433F25">
              <w:t>Act</w:t>
            </w:r>
            <w:r>
              <w:t xml:space="preserve"> will need to have a much greater focus on disability than simply focusing on health risks. It </w:t>
            </w:r>
            <w:r>
              <w:lastRenderedPageBreak/>
              <w:t>must also address the low-quality jobs and working conditions that too many persons with disabilities face, including those who are working in sheltered workshops.</w:t>
            </w:r>
          </w:p>
          <w:p w14:paraId="72178F96" w14:textId="47B745E3" w:rsidR="00F57421" w:rsidRPr="00CE713D" w:rsidRDefault="00F57421"/>
        </w:tc>
      </w:tr>
    </w:tbl>
    <w:p w14:paraId="0E23C2A0" w14:textId="046A7ED5" w:rsidR="00E975F9" w:rsidRPr="00CE713D" w:rsidRDefault="00E975F9" w:rsidP="00002939">
      <w:pPr>
        <w:pStyle w:val="Heading3"/>
      </w:pPr>
      <w:r w:rsidRPr="00CE713D">
        <w:lastRenderedPageBreak/>
        <w:t>Ensuring adequate social protection</w:t>
      </w:r>
    </w:p>
    <w:tbl>
      <w:tblPr>
        <w:tblStyle w:val="TableGrid"/>
        <w:tblW w:w="0" w:type="auto"/>
        <w:tblLook w:val="04A0" w:firstRow="1" w:lastRow="0" w:firstColumn="1" w:lastColumn="0" w:noHBand="0" w:noVBand="1"/>
      </w:tblPr>
      <w:tblGrid>
        <w:gridCol w:w="5129"/>
        <w:gridCol w:w="5129"/>
        <w:gridCol w:w="5130"/>
      </w:tblGrid>
      <w:tr w:rsidR="00B94875" w:rsidRPr="00CE713D" w14:paraId="180A266A" w14:textId="77777777">
        <w:trPr>
          <w:tblHeader/>
        </w:trPr>
        <w:tc>
          <w:tcPr>
            <w:tcW w:w="5129" w:type="dxa"/>
          </w:tcPr>
          <w:p w14:paraId="33C004B3" w14:textId="77777777" w:rsidR="00B94875" w:rsidRPr="00CE713D" w:rsidRDefault="00B94875">
            <w:pPr>
              <w:rPr>
                <w:b/>
                <w:bCs/>
              </w:rPr>
            </w:pPr>
            <w:r w:rsidRPr="00CE713D">
              <w:rPr>
                <w:b/>
                <w:bCs/>
              </w:rPr>
              <w:t>Action in the Disability Strategy</w:t>
            </w:r>
          </w:p>
        </w:tc>
        <w:tc>
          <w:tcPr>
            <w:tcW w:w="5129" w:type="dxa"/>
          </w:tcPr>
          <w:p w14:paraId="68812164" w14:textId="77777777" w:rsidR="00B94875" w:rsidRPr="00CE713D" w:rsidRDefault="00B94875">
            <w:pPr>
              <w:rPr>
                <w:b/>
                <w:bCs/>
              </w:rPr>
            </w:pPr>
            <w:r w:rsidRPr="00CE713D">
              <w:rPr>
                <w:b/>
                <w:bCs/>
              </w:rPr>
              <w:t>Evaluation by EDF</w:t>
            </w:r>
          </w:p>
        </w:tc>
        <w:tc>
          <w:tcPr>
            <w:tcW w:w="5130" w:type="dxa"/>
          </w:tcPr>
          <w:p w14:paraId="3CEAD56A" w14:textId="77777777" w:rsidR="00B94875" w:rsidRPr="00CE713D" w:rsidRDefault="00B94875">
            <w:pPr>
              <w:rPr>
                <w:b/>
                <w:bCs/>
              </w:rPr>
            </w:pPr>
            <w:r w:rsidRPr="00CE713D">
              <w:rPr>
                <w:b/>
                <w:bCs/>
              </w:rPr>
              <w:t>Priorities for implementation</w:t>
            </w:r>
          </w:p>
        </w:tc>
      </w:tr>
      <w:tr w:rsidR="00B94875" w:rsidRPr="00CE713D" w14:paraId="240ADF15" w14:textId="77777777">
        <w:tc>
          <w:tcPr>
            <w:tcW w:w="5129" w:type="dxa"/>
          </w:tcPr>
          <w:p w14:paraId="32F64EEB" w14:textId="64215AAE" w:rsidR="00B94875" w:rsidRPr="00CE713D" w:rsidRDefault="00B94875" w:rsidP="00B94875">
            <w:r w:rsidRPr="00CE713D">
              <w:t>Analytical work and collect</w:t>
            </w:r>
            <w:r w:rsidR="007F33E9">
              <w:t>ion of</w:t>
            </w:r>
            <w:r w:rsidRPr="00CE713D">
              <w:t xml:space="preserve"> data to quantify the extra cost of living with a disability and encourage discussions among Member States, including in the Disability Platform, on how disability is identified and addressed in different social protection systems</w:t>
            </w:r>
          </w:p>
          <w:p w14:paraId="5870815B" w14:textId="77777777" w:rsidR="00B94875" w:rsidRPr="00CE713D" w:rsidRDefault="00B94875"/>
        </w:tc>
        <w:tc>
          <w:tcPr>
            <w:tcW w:w="5129" w:type="dxa"/>
          </w:tcPr>
          <w:p w14:paraId="079E57B8" w14:textId="3F6E6861" w:rsidR="000606B5" w:rsidRDefault="000606B5" w:rsidP="000606B5">
            <w:pPr>
              <w:rPr>
                <w:b/>
                <w:bCs/>
              </w:rPr>
            </w:pPr>
            <w:r w:rsidRPr="00EB20E6">
              <w:rPr>
                <w:b/>
                <w:bCs/>
              </w:rPr>
              <w:t>Positive</w:t>
            </w:r>
            <w:r w:rsidR="00F83DD5">
              <w:rPr>
                <w:b/>
                <w:bCs/>
              </w:rPr>
              <w:t>.</w:t>
            </w:r>
          </w:p>
          <w:p w14:paraId="6F1F5985" w14:textId="2DC06903" w:rsidR="00B94875" w:rsidRPr="00CE713D" w:rsidRDefault="004A5145" w:rsidP="00F83DD5">
            <w:r>
              <w:t xml:space="preserve">This kind of data is something that is very much missing and that the </w:t>
            </w:r>
            <w:r w:rsidR="00FF07DE">
              <w:t xml:space="preserve">disability movement has been calling for </w:t>
            </w:r>
            <w:proofErr w:type="spellStart"/>
            <w:r w:rsidR="00FF07DE">
              <w:t>for</w:t>
            </w:r>
            <w:proofErr w:type="spellEnd"/>
            <w:r w:rsidR="00FF07DE">
              <w:t xml:space="preserve"> some time. It will be a helpful tool to </w:t>
            </w:r>
            <w:r w:rsidR="000F4EE8">
              <w:t>start discussions on what is adequate in terms of disability allowance, and whether disability allowance should be retained when a person</w:t>
            </w:r>
            <w:r w:rsidR="00736009">
              <w:t xml:space="preserve"> gains income from other sources.</w:t>
            </w:r>
            <w:r w:rsidR="000F4EE8">
              <w:t xml:space="preserve"> </w:t>
            </w:r>
          </w:p>
        </w:tc>
        <w:tc>
          <w:tcPr>
            <w:tcW w:w="5130" w:type="dxa"/>
          </w:tcPr>
          <w:p w14:paraId="29A7BB9A" w14:textId="3777D098" w:rsidR="00A3351D" w:rsidRDefault="00A3351D" w:rsidP="00EA5C76">
            <w:pPr>
              <w:pStyle w:val="ListParagraph"/>
              <w:numPr>
                <w:ilvl w:val="0"/>
                <w:numId w:val="42"/>
              </w:numPr>
            </w:pPr>
            <w:r>
              <w:t>To collaborate with disability organisations on this, particularly those who have already done extensive work on cost of living.</w:t>
            </w:r>
          </w:p>
          <w:p w14:paraId="20BA3EE0" w14:textId="3F7DC18F" w:rsidR="00A3351D" w:rsidRPr="00CE713D" w:rsidRDefault="00FB00A0" w:rsidP="00EA5C76">
            <w:pPr>
              <w:pStyle w:val="ListParagraph"/>
              <w:numPr>
                <w:ilvl w:val="0"/>
                <w:numId w:val="42"/>
              </w:numPr>
            </w:pPr>
            <w:r>
              <w:t>Support data collection disaggregated by type of disability.</w:t>
            </w:r>
          </w:p>
        </w:tc>
      </w:tr>
    </w:tbl>
    <w:p w14:paraId="7FD1772C" w14:textId="036A2B4E" w:rsidR="00DE4163" w:rsidRPr="00CE713D" w:rsidRDefault="00DE4163" w:rsidP="00002939">
      <w:pPr>
        <w:pStyle w:val="Heading3"/>
      </w:pPr>
      <w:r w:rsidRPr="00CE713D">
        <w:t>Affordable and accessible housing</w:t>
      </w:r>
    </w:p>
    <w:tbl>
      <w:tblPr>
        <w:tblStyle w:val="TableGrid"/>
        <w:tblW w:w="0" w:type="auto"/>
        <w:tblLook w:val="04A0" w:firstRow="1" w:lastRow="0" w:firstColumn="1" w:lastColumn="0" w:noHBand="0" w:noVBand="1"/>
      </w:tblPr>
      <w:tblGrid>
        <w:gridCol w:w="5129"/>
        <w:gridCol w:w="5129"/>
        <w:gridCol w:w="5130"/>
      </w:tblGrid>
      <w:tr w:rsidR="00B94875" w:rsidRPr="00CE713D" w14:paraId="51835E41" w14:textId="77777777" w:rsidTr="3E0D7FF0">
        <w:trPr>
          <w:tblHeader/>
        </w:trPr>
        <w:tc>
          <w:tcPr>
            <w:tcW w:w="5129" w:type="dxa"/>
          </w:tcPr>
          <w:p w14:paraId="709D76CB" w14:textId="77777777" w:rsidR="00B94875" w:rsidRPr="00CE713D" w:rsidRDefault="00B94875">
            <w:pPr>
              <w:rPr>
                <w:b/>
                <w:bCs/>
              </w:rPr>
            </w:pPr>
            <w:r w:rsidRPr="00CE713D">
              <w:rPr>
                <w:b/>
                <w:bCs/>
              </w:rPr>
              <w:t>Action in the Disability Strategy</w:t>
            </w:r>
          </w:p>
        </w:tc>
        <w:tc>
          <w:tcPr>
            <w:tcW w:w="5129" w:type="dxa"/>
          </w:tcPr>
          <w:p w14:paraId="63E330B2" w14:textId="77777777" w:rsidR="00B94875" w:rsidRPr="00CE713D" w:rsidRDefault="00B94875">
            <w:pPr>
              <w:rPr>
                <w:b/>
                <w:bCs/>
              </w:rPr>
            </w:pPr>
            <w:r w:rsidRPr="00CE713D">
              <w:rPr>
                <w:b/>
                <w:bCs/>
              </w:rPr>
              <w:t>Evaluation by EDF</w:t>
            </w:r>
          </w:p>
        </w:tc>
        <w:tc>
          <w:tcPr>
            <w:tcW w:w="5130" w:type="dxa"/>
          </w:tcPr>
          <w:p w14:paraId="1DD00CAF" w14:textId="77777777" w:rsidR="00B94875" w:rsidRPr="00CE713D" w:rsidRDefault="00B94875">
            <w:pPr>
              <w:rPr>
                <w:b/>
                <w:bCs/>
              </w:rPr>
            </w:pPr>
            <w:r w:rsidRPr="00CE713D">
              <w:rPr>
                <w:b/>
                <w:bCs/>
              </w:rPr>
              <w:t>Priorities for implementation</w:t>
            </w:r>
          </w:p>
        </w:tc>
      </w:tr>
      <w:tr w:rsidR="00B94875" w:rsidRPr="00CE713D" w14:paraId="32D542D0" w14:textId="77777777" w:rsidTr="3E0D7FF0">
        <w:tc>
          <w:tcPr>
            <w:tcW w:w="5129" w:type="dxa"/>
          </w:tcPr>
          <w:p w14:paraId="10B71C3C" w14:textId="3AC3A73B" w:rsidR="00B94875" w:rsidRPr="00CE713D" w:rsidRDefault="007F33E9" w:rsidP="00B94875">
            <w:r>
              <w:t>C</w:t>
            </w:r>
            <w:r w:rsidR="00B94875" w:rsidRPr="00CE713D">
              <w:t>onsider accessibility aspects in assessment of national building renovation plans under the Directive on energy performance of buildings and identify and disseminate good practices.</w:t>
            </w:r>
          </w:p>
          <w:p w14:paraId="37C3C4CC" w14:textId="77777777" w:rsidR="00B94875" w:rsidRPr="00CE713D" w:rsidRDefault="00B94875"/>
        </w:tc>
        <w:tc>
          <w:tcPr>
            <w:tcW w:w="5129" w:type="dxa"/>
          </w:tcPr>
          <w:p w14:paraId="6366DFEB" w14:textId="6E420A98" w:rsidR="000606B5" w:rsidRDefault="000606B5" w:rsidP="000606B5">
            <w:pPr>
              <w:rPr>
                <w:b/>
                <w:bCs/>
              </w:rPr>
            </w:pPr>
            <w:r w:rsidRPr="00EB20E6">
              <w:rPr>
                <w:b/>
                <w:bCs/>
              </w:rPr>
              <w:t>Positive points:</w:t>
            </w:r>
            <w:r w:rsidR="00B83020">
              <w:rPr>
                <w:b/>
                <w:bCs/>
              </w:rPr>
              <w:t xml:space="preserve"> </w:t>
            </w:r>
          </w:p>
          <w:p w14:paraId="569E1854" w14:textId="0F27446E" w:rsidR="00657748" w:rsidRPr="00657748" w:rsidRDefault="00657748" w:rsidP="00EA5C76">
            <w:pPr>
              <w:pStyle w:val="ListParagraph"/>
              <w:numPr>
                <w:ilvl w:val="0"/>
                <w:numId w:val="13"/>
              </w:numPr>
            </w:pPr>
            <w:r>
              <w:t xml:space="preserve">This focus on </w:t>
            </w:r>
            <w:r w:rsidR="00071F92">
              <w:t xml:space="preserve">accessibility in the national building renovation plans is crucial and responds to calls the disability movement has been making </w:t>
            </w:r>
            <w:r w:rsidR="006E4C72">
              <w:t>regarding the EU’s policy on housing.</w:t>
            </w:r>
          </w:p>
          <w:p w14:paraId="2E823BAD" w14:textId="77777777" w:rsidR="00B94875" w:rsidRDefault="000606B5" w:rsidP="000606B5">
            <w:pPr>
              <w:rPr>
                <w:b/>
                <w:bCs/>
              </w:rPr>
            </w:pPr>
            <w:r w:rsidRPr="00EB20E6">
              <w:rPr>
                <w:b/>
                <w:bCs/>
              </w:rPr>
              <w:lastRenderedPageBreak/>
              <w:t>Negative points:</w:t>
            </w:r>
          </w:p>
          <w:p w14:paraId="111DBF2C" w14:textId="77777777" w:rsidR="00407FE3" w:rsidRDefault="00407FE3" w:rsidP="00EA5C76">
            <w:pPr>
              <w:pStyle w:val="ListParagraph"/>
              <w:numPr>
                <w:ilvl w:val="0"/>
                <w:numId w:val="13"/>
              </w:numPr>
            </w:pPr>
            <w:r>
              <w:t xml:space="preserve">The wording of this action point does not </w:t>
            </w:r>
            <w:r w:rsidR="00EB4585">
              <w:t xml:space="preserve">offer a lot of </w:t>
            </w:r>
            <w:r w:rsidR="00FF7774">
              <w:t>reassurance</w:t>
            </w:r>
            <w:r w:rsidR="001E1734">
              <w:t xml:space="preserve">. </w:t>
            </w:r>
            <w:r w:rsidR="00321458">
              <w:t xml:space="preserve">We need accessibility to be systematically reviewed </w:t>
            </w:r>
            <w:r w:rsidR="006546AB">
              <w:t xml:space="preserve">in the national building renovation plans and to </w:t>
            </w:r>
            <w:r w:rsidR="00021951">
              <w:t>be a central part in their assessment.</w:t>
            </w:r>
            <w:r w:rsidR="00B471C0">
              <w:t xml:space="preserve"> Besides, it does not specify how the Commission will disseminate such good practices.</w:t>
            </w:r>
          </w:p>
          <w:p w14:paraId="6C619023" w14:textId="6880F619" w:rsidR="006B109F" w:rsidRPr="00407FE3" w:rsidRDefault="006B109F" w:rsidP="006B109F">
            <w:pPr>
              <w:pStyle w:val="ListParagraph"/>
            </w:pPr>
          </w:p>
        </w:tc>
        <w:tc>
          <w:tcPr>
            <w:tcW w:w="5130" w:type="dxa"/>
          </w:tcPr>
          <w:p w14:paraId="75E37A3C" w14:textId="3663C0BD" w:rsidR="00B94875" w:rsidRPr="00CE713D" w:rsidRDefault="00974FA4">
            <w:r>
              <w:lastRenderedPageBreak/>
              <w:t xml:space="preserve">Request Member States to incorporate accessibility in their national renovation plans and publish a report </w:t>
            </w:r>
            <w:r w:rsidR="00B676D9">
              <w:t>highlighting good practices.</w:t>
            </w:r>
          </w:p>
        </w:tc>
      </w:tr>
      <w:tr w:rsidR="00B94875" w:rsidRPr="00CE713D" w14:paraId="6862DDF5" w14:textId="77777777" w:rsidTr="3E0D7FF0">
        <w:tc>
          <w:tcPr>
            <w:tcW w:w="5129" w:type="dxa"/>
          </w:tcPr>
          <w:p w14:paraId="2F568ACC" w14:textId="47431D9B" w:rsidR="00B735F0" w:rsidRPr="00CE713D" w:rsidRDefault="007F33E9" w:rsidP="00B735F0">
            <w:r>
              <w:t>I</w:t>
            </w:r>
            <w:r w:rsidR="00B735F0" w:rsidRPr="00CE713D">
              <w:t>ssue a specific report that will cast light on the housing conditions of persons with disabilities across the EU</w:t>
            </w:r>
            <w:r w:rsidR="004835F2">
              <w:t>.</w:t>
            </w:r>
          </w:p>
          <w:p w14:paraId="3A70F882" w14:textId="77777777" w:rsidR="00B94875" w:rsidRPr="00CE713D" w:rsidRDefault="00B94875"/>
        </w:tc>
        <w:tc>
          <w:tcPr>
            <w:tcW w:w="5129" w:type="dxa"/>
          </w:tcPr>
          <w:p w14:paraId="75864475" w14:textId="77777777" w:rsidR="000606B5" w:rsidRDefault="000606B5" w:rsidP="000606B5">
            <w:pPr>
              <w:rPr>
                <w:b/>
                <w:bCs/>
              </w:rPr>
            </w:pPr>
            <w:r w:rsidRPr="00EB20E6">
              <w:rPr>
                <w:b/>
                <w:bCs/>
              </w:rPr>
              <w:t>Positive points:</w:t>
            </w:r>
          </w:p>
          <w:p w14:paraId="2CA0A6BC" w14:textId="1DE7F107" w:rsidR="00A72309" w:rsidRPr="00A72309" w:rsidRDefault="005073C6" w:rsidP="00EA5C76">
            <w:pPr>
              <w:pStyle w:val="ListParagraph"/>
              <w:numPr>
                <w:ilvl w:val="0"/>
                <w:numId w:val="13"/>
              </w:numPr>
            </w:pPr>
            <w:r>
              <w:t xml:space="preserve">This </w:t>
            </w:r>
            <w:r w:rsidR="720B27CA">
              <w:t>could be a</w:t>
            </w:r>
            <w:r>
              <w:t xml:space="preserve"> welcome and important action. </w:t>
            </w:r>
            <w:r w:rsidR="5124225B">
              <w:t xml:space="preserve">While we already have some data on the housing situation of persons with disabilities in the EU, thanks to Eurostat’s disability Database, </w:t>
            </w:r>
            <w:r w:rsidR="4F40999F">
              <w:t>there is a lot of information we still lack at European level.</w:t>
            </w:r>
          </w:p>
          <w:p w14:paraId="1C57F319" w14:textId="2635F6AB" w:rsidR="00B94875" w:rsidRPr="00CE713D" w:rsidRDefault="00B94875" w:rsidP="1140E971"/>
          <w:p w14:paraId="398E3E86" w14:textId="44F78D5F" w:rsidR="00B94875" w:rsidRPr="00CE713D" w:rsidRDefault="4A4B595D" w:rsidP="1140E971">
            <w:pPr>
              <w:rPr>
                <w:b/>
                <w:bCs/>
              </w:rPr>
            </w:pPr>
            <w:r w:rsidRPr="1140E971">
              <w:rPr>
                <w:b/>
                <w:bCs/>
              </w:rPr>
              <w:t>Ne</w:t>
            </w:r>
            <w:r w:rsidR="00AF7824">
              <w:rPr>
                <w:b/>
                <w:bCs/>
              </w:rPr>
              <w:t>utral</w:t>
            </w:r>
            <w:r w:rsidRPr="1140E971">
              <w:rPr>
                <w:b/>
                <w:bCs/>
              </w:rPr>
              <w:t xml:space="preserve"> points:</w:t>
            </w:r>
          </w:p>
          <w:p w14:paraId="1AFA6FFE" w14:textId="7D6220E5" w:rsidR="00B94875" w:rsidRPr="00CE713D" w:rsidRDefault="16D2A69F" w:rsidP="1140E971">
            <w:pPr>
              <w:pStyle w:val="ListParagraph"/>
              <w:numPr>
                <w:ilvl w:val="0"/>
                <w:numId w:val="1"/>
              </w:numPr>
            </w:pPr>
            <w:r>
              <w:t>Reports on housing</w:t>
            </w:r>
            <w:r w:rsidR="37A9C18C">
              <w:t xml:space="preserve"> for persons with disabilities</w:t>
            </w:r>
            <w:r>
              <w:t xml:space="preserve"> </w:t>
            </w:r>
            <w:r w:rsidR="4C9E4C93">
              <w:t>have recentl</w:t>
            </w:r>
            <w:r w:rsidR="3257D8FB">
              <w:t xml:space="preserve">y been released as part of the European Disability Expertise (EDE) research tender. </w:t>
            </w:r>
            <w:r w:rsidR="3005FDCD">
              <w:t>This new report should ensure it does not reproduce the learning that was gained from those reports.</w:t>
            </w:r>
            <w:r w:rsidR="5C3D182A">
              <w:t xml:space="preserve"> If this action </w:t>
            </w:r>
            <w:proofErr w:type="gramStart"/>
            <w:r w:rsidR="5C3D182A">
              <w:t>actually refers</w:t>
            </w:r>
            <w:proofErr w:type="gramEnd"/>
            <w:r w:rsidR="5C3D182A">
              <w:t xml:space="preserve"> to the </w:t>
            </w:r>
            <w:proofErr w:type="gramStart"/>
            <w:r w:rsidR="5C3D182A">
              <w:lastRenderedPageBreak/>
              <w:t>already-released</w:t>
            </w:r>
            <w:proofErr w:type="gramEnd"/>
            <w:r w:rsidR="5C3D182A">
              <w:t xml:space="preserve"> to the EDE report funded by the European Commission, it should be made clear that it is not a new action.</w:t>
            </w:r>
          </w:p>
        </w:tc>
        <w:tc>
          <w:tcPr>
            <w:tcW w:w="5130" w:type="dxa"/>
          </w:tcPr>
          <w:p w14:paraId="318494E9" w14:textId="559CB9BC" w:rsidR="00A16655" w:rsidRDefault="3ABDDA7E" w:rsidP="006D68A2">
            <w:pPr>
              <w:pStyle w:val="ListParagraph"/>
              <w:numPr>
                <w:ilvl w:val="0"/>
                <w:numId w:val="1"/>
              </w:numPr>
            </w:pPr>
            <w:r>
              <w:lastRenderedPageBreak/>
              <w:t xml:space="preserve">Make sure the </w:t>
            </w:r>
            <w:r w:rsidR="2DE7CF40">
              <w:t xml:space="preserve">report delivers </w:t>
            </w:r>
            <w:r w:rsidR="4D9DCB40">
              <w:t xml:space="preserve">new and useable learning on housing issues for persons with </w:t>
            </w:r>
            <w:proofErr w:type="gramStart"/>
            <w:r w:rsidR="4D9DCB40">
              <w:t>disabilities</w:t>
            </w:r>
            <w:r w:rsidR="3B8C6470">
              <w:t>, and</w:t>
            </w:r>
            <w:proofErr w:type="gramEnd"/>
            <w:r w:rsidR="3B8C6470">
              <w:t xml:space="preserve"> builds on existing research done by the European Disability Expertise</w:t>
            </w:r>
            <w:r w:rsidR="4D9DCB40">
              <w:t>.</w:t>
            </w:r>
          </w:p>
          <w:p w14:paraId="52B0FD54" w14:textId="2CB5136E" w:rsidR="00181EAC" w:rsidRDefault="00007045" w:rsidP="006D68A2">
            <w:pPr>
              <w:pStyle w:val="ListParagraph"/>
              <w:numPr>
                <w:ilvl w:val="0"/>
                <w:numId w:val="1"/>
              </w:numPr>
            </w:pPr>
            <w:r>
              <w:t xml:space="preserve">Ensure the </w:t>
            </w:r>
            <w:r w:rsidR="001030F8">
              <w:t xml:space="preserve">report casts lights on lived realities rather than a focus on </w:t>
            </w:r>
            <w:r w:rsidR="00FB5ED7">
              <w:t>housing legislation</w:t>
            </w:r>
            <w:r w:rsidR="00D67AE7">
              <w:t xml:space="preserve">, which we already have easy-to-find information on via the </w:t>
            </w:r>
            <w:proofErr w:type="spellStart"/>
            <w:r w:rsidR="00D67AE7">
              <w:t>DotCom</w:t>
            </w:r>
            <w:proofErr w:type="spellEnd"/>
            <w:r w:rsidR="00543B70">
              <w:t xml:space="preserve"> web page. </w:t>
            </w:r>
          </w:p>
          <w:p w14:paraId="14A711CF" w14:textId="6E6BA90D" w:rsidR="00181EAC" w:rsidRPr="00CE713D" w:rsidRDefault="00181EAC" w:rsidP="006D68A2">
            <w:pPr>
              <w:pStyle w:val="ListParagraph"/>
              <w:numPr>
                <w:ilvl w:val="0"/>
                <w:numId w:val="1"/>
              </w:numPr>
            </w:pPr>
            <w:r>
              <w:t>Make the research as empirical as possible</w:t>
            </w:r>
            <w:r w:rsidR="00BA0F16">
              <w:t xml:space="preserve">, with input from experts across the EU to ensure it is representative of people throughout the Union. </w:t>
            </w:r>
          </w:p>
        </w:tc>
      </w:tr>
      <w:tr w:rsidR="00B94875" w:rsidRPr="00CE713D" w14:paraId="3CE3C4EE" w14:textId="77777777" w:rsidTr="3E0D7FF0">
        <w:tc>
          <w:tcPr>
            <w:tcW w:w="5129" w:type="dxa"/>
          </w:tcPr>
          <w:p w14:paraId="14D64F2D" w14:textId="7683EF9B" w:rsidR="00B735F0" w:rsidRPr="00CE713D" w:rsidRDefault="007F33E9" w:rsidP="00B735F0">
            <w:r>
              <w:t>S</w:t>
            </w:r>
            <w:r w:rsidR="00B735F0" w:rsidRPr="00CE713D">
              <w:t>upport a comprehensive framework for reforms, investments and interventions in the areas of sustainable, accessible, social and affordable housing and built environment, in conjunction with the New European Bauhaus, the European Affordable Housing Plan, the Citizens Energy Package and the anti-poverty strategy, considering the direct and indirect impact on persons with disabilities and reflecting accessibility obligations</w:t>
            </w:r>
            <w:r w:rsidR="004835F2">
              <w:t>.</w:t>
            </w:r>
          </w:p>
          <w:p w14:paraId="33E9DCD7" w14:textId="77777777" w:rsidR="00B94875" w:rsidRPr="00CE713D" w:rsidRDefault="00B94875"/>
        </w:tc>
        <w:tc>
          <w:tcPr>
            <w:tcW w:w="5129" w:type="dxa"/>
          </w:tcPr>
          <w:p w14:paraId="29E53431" w14:textId="77777777" w:rsidR="000606B5" w:rsidRDefault="000606B5" w:rsidP="000606B5">
            <w:pPr>
              <w:rPr>
                <w:b/>
                <w:bCs/>
              </w:rPr>
            </w:pPr>
            <w:r w:rsidRPr="00EB20E6">
              <w:rPr>
                <w:b/>
                <w:bCs/>
              </w:rPr>
              <w:t>Positive points:</w:t>
            </w:r>
          </w:p>
          <w:p w14:paraId="590FFB44" w14:textId="15F27183" w:rsidR="000606B5" w:rsidRPr="006D68A2" w:rsidRDefault="006E45A9" w:rsidP="00EA5C76">
            <w:pPr>
              <w:pStyle w:val="ListParagraph"/>
              <w:numPr>
                <w:ilvl w:val="0"/>
                <w:numId w:val="13"/>
              </w:numPr>
              <w:rPr>
                <w:b/>
                <w:bCs/>
              </w:rPr>
            </w:pPr>
            <w:r>
              <w:t>It is important to</w:t>
            </w:r>
            <w:r w:rsidR="00F51E24">
              <w:t xml:space="preserve"> support investment in </w:t>
            </w:r>
            <w:r w:rsidR="006A7695">
              <w:t xml:space="preserve">accessible, social and affordable housing by any means possible. </w:t>
            </w:r>
            <w:r w:rsidR="00E755A8">
              <w:t xml:space="preserve">The </w:t>
            </w:r>
            <w:r w:rsidR="00346A7F">
              <w:t xml:space="preserve">inclusion of the New European Bauhaus </w:t>
            </w:r>
            <w:proofErr w:type="gramStart"/>
            <w:r w:rsidR="00346A7F">
              <w:t>in particular makes</w:t>
            </w:r>
            <w:proofErr w:type="gramEnd"/>
            <w:r w:rsidR="00346A7F">
              <w:t xml:space="preserve"> a link to a potential source of EU funding for such a framework. </w:t>
            </w:r>
          </w:p>
          <w:p w14:paraId="2CB3783D" w14:textId="77777777" w:rsidR="00B94875" w:rsidRDefault="000606B5" w:rsidP="000606B5">
            <w:pPr>
              <w:rPr>
                <w:b/>
                <w:bCs/>
              </w:rPr>
            </w:pPr>
            <w:r w:rsidRPr="00EB20E6">
              <w:rPr>
                <w:b/>
                <w:bCs/>
              </w:rPr>
              <w:t>Negative points:</w:t>
            </w:r>
          </w:p>
          <w:p w14:paraId="3DCE7319" w14:textId="77777777" w:rsidR="00435A56" w:rsidRDefault="00435A56" w:rsidP="00EA5C76">
            <w:pPr>
              <w:pStyle w:val="ListParagraph"/>
              <w:numPr>
                <w:ilvl w:val="0"/>
                <w:numId w:val="13"/>
              </w:numPr>
            </w:pPr>
            <w:r>
              <w:t>This action is</w:t>
            </w:r>
            <w:r w:rsidR="00A64933">
              <w:t xml:space="preserve"> vague on what this comprehensive framework will look like and how it </w:t>
            </w:r>
            <w:proofErr w:type="gramStart"/>
            <w:r w:rsidR="00A64933">
              <w:t xml:space="preserve">actually </w:t>
            </w:r>
            <w:r w:rsidR="0014671D">
              <w:t>plans</w:t>
            </w:r>
            <w:proofErr w:type="gramEnd"/>
            <w:r w:rsidR="0014671D">
              <w:t xml:space="preserve"> to ensure necessary reforms, investments and interventions.</w:t>
            </w:r>
          </w:p>
          <w:p w14:paraId="2DC9FFF8" w14:textId="5C809BBD" w:rsidR="001B546A" w:rsidRPr="00435A56" w:rsidRDefault="001B546A" w:rsidP="001B546A">
            <w:pPr>
              <w:ind w:left="360"/>
            </w:pPr>
          </w:p>
        </w:tc>
        <w:tc>
          <w:tcPr>
            <w:tcW w:w="5130" w:type="dxa"/>
          </w:tcPr>
          <w:p w14:paraId="396D9B18" w14:textId="043A2442" w:rsidR="00B94875" w:rsidRPr="00CE713D" w:rsidRDefault="00543B70">
            <w:r>
              <w:t xml:space="preserve">Bring clarity to how funding </w:t>
            </w:r>
            <w:r w:rsidR="0028765D">
              <w:t xml:space="preserve">can be accessed and how these initiatives can </w:t>
            </w:r>
            <w:r w:rsidR="0045425D">
              <w:t xml:space="preserve">complement each other in practice. The Commission should streamline their work internally and coordinate better between the different services to ensure </w:t>
            </w:r>
            <w:r w:rsidR="00790596">
              <w:t>alignment</w:t>
            </w:r>
            <w:r w:rsidR="00CB5853">
              <w:t xml:space="preserve"> between the challenges and actions laid down in th</w:t>
            </w:r>
            <w:r w:rsidR="00ED7B40">
              <w:t>e 2</w:t>
            </w:r>
            <w:r w:rsidR="00ED7B40" w:rsidRPr="00DC7FA1">
              <w:rPr>
                <w:vertAlign w:val="superscript"/>
              </w:rPr>
              <w:t>nd</w:t>
            </w:r>
            <w:r w:rsidR="00ED7B40">
              <w:t xml:space="preserve"> phase of the Disability Strategy, and the </w:t>
            </w:r>
            <w:r w:rsidR="00790596">
              <w:t xml:space="preserve">actions </w:t>
            </w:r>
            <w:r w:rsidR="00B65748">
              <w:t xml:space="preserve">under the </w:t>
            </w:r>
            <w:r w:rsidR="00ED7B40">
              <w:t>EU Affordable Housing Plan</w:t>
            </w:r>
            <w:r w:rsidR="0045425D">
              <w:t xml:space="preserve">. </w:t>
            </w:r>
          </w:p>
        </w:tc>
      </w:tr>
    </w:tbl>
    <w:p w14:paraId="5F0C1310" w14:textId="6D443988" w:rsidR="00DE4163" w:rsidRPr="00CE713D" w:rsidRDefault="00DE4163" w:rsidP="00002939">
      <w:pPr>
        <w:pStyle w:val="Heading2"/>
      </w:pPr>
      <w:bookmarkStart w:id="46" w:name="_Toc235203124"/>
      <w:r w:rsidRPr="00CE713D">
        <w:t>4. Equal access and non-discrimination</w:t>
      </w:r>
      <w:bookmarkEnd w:id="46"/>
      <w:r w:rsidRPr="00CE713D">
        <w:t xml:space="preserve"> </w:t>
      </w:r>
    </w:p>
    <w:p w14:paraId="4BF7BD51" w14:textId="7D91D7AD" w:rsidR="00DE4163" w:rsidRPr="00CE713D" w:rsidRDefault="00DE4163" w:rsidP="00002939">
      <w:pPr>
        <w:pStyle w:val="Heading3"/>
      </w:pPr>
      <w:r w:rsidRPr="00CE713D">
        <w:t>Inclusive education at all levels</w:t>
      </w:r>
    </w:p>
    <w:tbl>
      <w:tblPr>
        <w:tblStyle w:val="TableGrid"/>
        <w:tblW w:w="0" w:type="auto"/>
        <w:tblLook w:val="04A0" w:firstRow="1" w:lastRow="0" w:firstColumn="1" w:lastColumn="0" w:noHBand="0" w:noVBand="1"/>
      </w:tblPr>
      <w:tblGrid>
        <w:gridCol w:w="5129"/>
        <w:gridCol w:w="5129"/>
        <w:gridCol w:w="5130"/>
      </w:tblGrid>
      <w:tr w:rsidR="00B735F0" w:rsidRPr="00CE713D" w14:paraId="07ECF9EA" w14:textId="77777777">
        <w:trPr>
          <w:tblHeader/>
        </w:trPr>
        <w:tc>
          <w:tcPr>
            <w:tcW w:w="5129" w:type="dxa"/>
          </w:tcPr>
          <w:p w14:paraId="70C54E65" w14:textId="77777777" w:rsidR="00B735F0" w:rsidRPr="00CE713D" w:rsidRDefault="00B735F0">
            <w:pPr>
              <w:rPr>
                <w:b/>
                <w:bCs/>
              </w:rPr>
            </w:pPr>
            <w:r w:rsidRPr="00CE713D">
              <w:rPr>
                <w:b/>
                <w:bCs/>
              </w:rPr>
              <w:t>Action in the Disability Strategy</w:t>
            </w:r>
          </w:p>
        </w:tc>
        <w:tc>
          <w:tcPr>
            <w:tcW w:w="5129" w:type="dxa"/>
          </w:tcPr>
          <w:p w14:paraId="5C5D62B7" w14:textId="77777777" w:rsidR="00B735F0" w:rsidRPr="00CE713D" w:rsidRDefault="00B735F0">
            <w:pPr>
              <w:rPr>
                <w:b/>
                <w:bCs/>
              </w:rPr>
            </w:pPr>
            <w:r w:rsidRPr="00CE713D">
              <w:rPr>
                <w:b/>
                <w:bCs/>
              </w:rPr>
              <w:t>Evaluation by EDF</w:t>
            </w:r>
          </w:p>
        </w:tc>
        <w:tc>
          <w:tcPr>
            <w:tcW w:w="5130" w:type="dxa"/>
          </w:tcPr>
          <w:p w14:paraId="05A0E139" w14:textId="77777777" w:rsidR="00B735F0" w:rsidRPr="00CE713D" w:rsidRDefault="00B735F0">
            <w:pPr>
              <w:rPr>
                <w:b/>
                <w:bCs/>
              </w:rPr>
            </w:pPr>
            <w:r w:rsidRPr="00CE713D">
              <w:rPr>
                <w:b/>
                <w:bCs/>
              </w:rPr>
              <w:t>Priorities for implementation</w:t>
            </w:r>
          </w:p>
        </w:tc>
      </w:tr>
      <w:tr w:rsidR="00B735F0" w:rsidRPr="00CE713D" w14:paraId="668EFBCB" w14:textId="77777777" w:rsidTr="006D68A2">
        <w:tc>
          <w:tcPr>
            <w:tcW w:w="5129" w:type="dxa"/>
          </w:tcPr>
          <w:p w14:paraId="137C3652" w14:textId="77777777" w:rsidR="006D68A2" w:rsidRDefault="006D68A2">
            <w:r w:rsidRPr="006D68A2">
              <w:rPr>
                <w:b/>
                <w:bCs/>
              </w:rPr>
              <w:t>Flagship Initiative</w:t>
            </w:r>
            <w:r w:rsidR="00B735F0" w:rsidRPr="00CE713D">
              <w:t xml:space="preserve"> – Disability-inclusive lifelong learning</w:t>
            </w:r>
            <w:r>
              <w:t>.</w:t>
            </w:r>
          </w:p>
          <w:p w14:paraId="293C2DF2" w14:textId="0621DBB0" w:rsidR="00B735F0" w:rsidRPr="00CE713D" w:rsidRDefault="00B735F0">
            <w:r w:rsidRPr="00CE713D">
              <w:t xml:space="preserve">The Commission will further support Member States in fostering accessible and inclusive education at all levels, </w:t>
            </w:r>
            <w:r w:rsidRPr="00CE713D">
              <w:lastRenderedPageBreak/>
              <w:t>through a life-cycle approach. The initiative will include: (</w:t>
            </w:r>
            <w:proofErr w:type="spellStart"/>
            <w:r w:rsidRPr="00CE713D">
              <w:t>i</w:t>
            </w:r>
            <w:proofErr w:type="spellEnd"/>
            <w:r w:rsidRPr="00CE713D">
              <w:t xml:space="preserve">) guidance for curriculum and pedagogical development </w:t>
            </w:r>
            <w:r>
              <w:t>in</w:t>
            </w:r>
            <w:r w:rsidRPr="00CE713D">
              <w:t xml:space="preserve"> early childhood education and care to support the acquisition of basic skills early on and to encourage detection of developmental delays and related interventions; (ii) guidance for policymakers, as part of the 2026 Education Package, addressing, </w:t>
            </w:r>
            <w:r w:rsidR="006D68A2" w:rsidRPr="00CE713D">
              <w:t>am</w:t>
            </w:r>
            <w:r w:rsidR="006D68A2">
              <w:t>o</w:t>
            </w:r>
            <w:r w:rsidR="006D68A2" w:rsidRPr="00CE713D">
              <w:t>ngst</w:t>
            </w:r>
            <w:r w:rsidRPr="00CE713D">
              <w:t xml:space="preserve"> other, the needs of vulnerable groups at school, including pupils with disabilities; (iii) a policy initiative in 2027 to improve accessibility of higher education to a wider range of learners, including students with disabilities, and promote support services for students’ wellbeing; (iv) a report in 2028 on enhancing inclusive education, with a focus on students with disabilities and special educational needs and the provision of reasonable accommodation; and (v) prioritisation of mutual learning on disability</w:t>
            </w:r>
            <w:r w:rsidR="002151CB">
              <w:t xml:space="preserve"> </w:t>
            </w:r>
            <w:r w:rsidRPr="00CE713D">
              <w:t>inclusive education in the context of the European Education Area strategic framework in cooperation with the European Agency for Special Needs and Inclusive Education</w:t>
            </w:r>
            <w:r w:rsidR="00E83D19">
              <w:t>.</w:t>
            </w:r>
          </w:p>
        </w:tc>
        <w:tc>
          <w:tcPr>
            <w:tcW w:w="5129" w:type="dxa"/>
          </w:tcPr>
          <w:p w14:paraId="1882D3B4" w14:textId="3FC5B79C" w:rsidR="000606B5" w:rsidRDefault="000606B5" w:rsidP="000606B5">
            <w:pPr>
              <w:rPr>
                <w:b/>
                <w:bCs/>
              </w:rPr>
            </w:pPr>
            <w:r w:rsidRPr="00EB20E6">
              <w:rPr>
                <w:b/>
                <w:bCs/>
              </w:rPr>
              <w:lastRenderedPageBreak/>
              <w:t>Positive points:</w:t>
            </w:r>
            <w:r w:rsidR="001B546A">
              <w:rPr>
                <w:b/>
                <w:bCs/>
              </w:rPr>
              <w:t xml:space="preserve"> </w:t>
            </w:r>
          </w:p>
          <w:p w14:paraId="6E006EC3" w14:textId="144C00A3" w:rsidR="000606B5" w:rsidRDefault="00203C50" w:rsidP="00EA5C76">
            <w:pPr>
              <w:pStyle w:val="ListParagraph"/>
              <w:numPr>
                <w:ilvl w:val="0"/>
                <w:numId w:val="13"/>
              </w:numPr>
            </w:pPr>
            <w:r>
              <w:t xml:space="preserve">Deliverable (iii) </w:t>
            </w:r>
            <w:r w:rsidR="001B546A" w:rsidRPr="002151CB">
              <w:t>of a concrete policy ini</w:t>
            </w:r>
            <w:r w:rsidR="002151CB" w:rsidRPr="002151CB">
              <w:t xml:space="preserve">tiative on access to higher education is promising and could result in changes that are </w:t>
            </w:r>
            <w:r w:rsidR="002151CB" w:rsidRPr="002151CB">
              <w:lastRenderedPageBreak/>
              <w:t xml:space="preserve">tangible and felt directly by persons with disabilities. </w:t>
            </w:r>
          </w:p>
          <w:p w14:paraId="39207BD2" w14:textId="4248733D" w:rsidR="00B735F0" w:rsidRDefault="000F6CCE" w:rsidP="000606B5">
            <w:pPr>
              <w:rPr>
                <w:b/>
                <w:bCs/>
              </w:rPr>
            </w:pPr>
            <w:r>
              <w:rPr>
                <w:b/>
                <w:bCs/>
              </w:rPr>
              <w:t>Neutral</w:t>
            </w:r>
            <w:r w:rsidR="000606B5" w:rsidRPr="00EB20E6">
              <w:rPr>
                <w:b/>
                <w:bCs/>
              </w:rPr>
              <w:t xml:space="preserve"> points:</w:t>
            </w:r>
          </w:p>
          <w:p w14:paraId="04BB6FA4" w14:textId="08701618" w:rsidR="00F1395B" w:rsidRPr="00CE713D" w:rsidRDefault="00F1395B" w:rsidP="00EA5C76">
            <w:pPr>
              <w:pStyle w:val="ListParagraph"/>
              <w:numPr>
                <w:ilvl w:val="0"/>
                <w:numId w:val="13"/>
              </w:numPr>
            </w:pPr>
            <w:r>
              <w:t xml:space="preserve">Beyond the potential policy initiative in 2027, the </w:t>
            </w:r>
            <w:r w:rsidR="002C4308">
              <w:t>actions</w:t>
            </w:r>
            <w:r>
              <w:t xml:space="preserve"> are </w:t>
            </w:r>
            <w:r w:rsidR="002C4308">
              <w:t>soft measures</w:t>
            </w:r>
            <w:r>
              <w:t xml:space="preserve">. Policy guidance </w:t>
            </w:r>
            <w:r w:rsidR="00707AB5">
              <w:t xml:space="preserve">and reports </w:t>
            </w:r>
            <w:r>
              <w:t xml:space="preserve">on inclusive education </w:t>
            </w:r>
            <w:r w:rsidR="00AC6650">
              <w:t xml:space="preserve">might end up reiterating things that national and regional policy makers already know. </w:t>
            </w:r>
          </w:p>
        </w:tc>
        <w:tc>
          <w:tcPr>
            <w:tcW w:w="5130" w:type="dxa"/>
          </w:tcPr>
          <w:p w14:paraId="25B68813" w14:textId="327CA0F6" w:rsidR="00B735F0" w:rsidRPr="00CE713D" w:rsidRDefault="007F0E68">
            <w:r>
              <w:lastRenderedPageBreak/>
              <w:t xml:space="preserve">Advocate </w:t>
            </w:r>
            <w:r w:rsidR="00FE0B92">
              <w:t xml:space="preserve">for the policy initiative in 2027 to become reality, for it to be ambitious (within the EU’s area of competence </w:t>
            </w:r>
            <w:r w:rsidR="00094614">
              <w:t>on education)</w:t>
            </w:r>
            <w:r w:rsidR="0081492B">
              <w:t>, and for it to reflect the needs outlined by</w:t>
            </w:r>
            <w:r w:rsidR="000F6CCE">
              <w:t xml:space="preserve"> </w:t>
            </w:r>
            <w:r w:rsidR="0081492B">
              <w:t xml:space="preserve">persons with </w:t>
            </w:r>
            <w:r w:rsidR="0081492B">
              <w:lastRenderedPageBreak/>
              <w:t xml:space="preserve">disabilities and their representative organisations. </w:t>
            </w:r>
          </w:p>
        </w:tc>
      </w:tr>
      <w:tr w:rsidR="00B735F0" w:rsidRPr="00CE713D" w14:paraId="4430226B" w14:textId="77777777">
        <w:tc>
          <w:tcPr>
            <w:tcW w:w="5129" w:type="dxa"/>
          </w:tcPr>
          <w:p w14:paraId="43EB1B07" w14:textId="2E9A6F7F" w:rsidR="00B735F0" w:rsidRPr="00CE713D" w:rsidRDefault="00B735F0" w:rsidP="00B735F0">
            <w:r w:rsidRPr="00CE713D">
              <w:lastRenderedPageBreak/>
              <w:t xml:space="preserve">2030 Roadmap on the future of digital education and skills, where the Commission will strive to ensure that all </w:t>
            </w:r>
            <w:r w:rsidRPr="00CE713D">
              <w:lastRenderedPageBreak/>
              <w:t>pupils can benefit from the digital transformation in schools, supporting Member States in developing shared digital infrastructure for education in line with EU values</w:t>
            </w:r>
            <w:r w:rsidR="00056124">
              <w:t>.</w:t>
            </w:r>
            <w:r w:rsidR="00BA183E">
              <w:t xml:space="preserve"> </w:t>
            </w:r>
            <w:r w:rsidR="00BA183E" w:rsidRPr="00BA183E">
              <w:t>This will include ethical and equality-sensitive use of AI and the deployment of safe European education technologies that can cater for the diverse accessibility needs of pupils.</w:t>
            </w:r>
          </w:p>
          <w:p w14:paraId="165E921C" w14:textId="77777777" w:rsidR="00B735F0" w:rsidRPr="00CE713D" w:rsidRDefault="00B735F0"/>
        </w:tc>
        <w:tc>
          <w:tcPr>
            <w:tcW w:w="5129" w:type="dxa"/>
          </w:tcPr>
          <w:p w14:paraId="04EB884E" w14:textId="77777777" w:rsidR="000606B5" w:rsidRPr="00EB20E6" w:rsidRDefault="000606B5" w:rsidP="000606B5">
            <w:pPr>
              <w:rPr>
                <w:b/>
                <w:bCs/>
              </w:rPr>
            </w:pPr>
            <w:r w:rsidRPr="00EB20E6">
              <w:rPr>
                <w:b/>
                <w:bCs/>
              </w:rPr>
              <w:lastRenderedPageBreak/>
              <w:t>Positive points:</w:t>
            </w:r>
          </w:p>
          <w:p w14:paraId="3C2B76B8" w14:textId="33BFC2A2" w:rsidR="004B4126" w:rsidRDefault="00AC0F94" w:rsidP="00EA5C76">
            <w:pPr>
              <w:pStyle w:val="ListParagraph"/>
              <w:numPr>
                <w:ilvl w:val="0"/>
                <w:numId w:val="13"/>
              </w:numPr>
            </w:pPr>
            <w:r>
              <w:t xml:space="preserve">It is important that the Commission sees the need for all </w:t>
            </w:r>
            <w:r>
              <w:lastRenderedPageBreak/>
              <w:t xml:space="preserve">learners to be included in the digital transformation within schools, and to make accessibility for learners with </w:t>
            </w:r>
            <w:r w:rsidR="004B4126">
              <w:t xml:space="preserve">disabilities central to actions in this area. </w:t>
            </w:r>
          </w:p>
          <w:p w14:paraId="1380B4F0" w14:textId="77777777" w:rsidR="00B735F0" w:rsidRDefault="000606B5" w:rsidP="000606B5">
            <w:pPr>
              <w:rPr>
                <w:b/>
                <w:bCs/>
              </w:rPr>
            </w:pPr>
            <w:r w:rsidRPr="00EB20E6">
              <w:rPr>
                <w:b/>
                <w:bCs/>
              </w:rPr>
              <w:t>Negative points:</w:t>
            </w:r>
          </w:p>
          <w:p w14:paraId="4517FD36" w14:textId="06191C4C" w:rsidR="007039D5" w:rsidRPr="007039D5" w:rsidRDefault="00BA183E" w:rsidP="00EA5C76">
            <w:pPr>
              <w:pStyle w:val="ListParagraph"/>
              <w:numPr>
                <w:ilvl w:val="0"/>
                <w:numId w:val="13"/>
              </w:numPr>
            </w:pPr>
            <w:r>
              <w:t>T</w:t>
            </w:r>
            <w:r w:rsidR="007039D5">
              <w:t xml:space="preserve">he announcement of a roadmap does not clarify exactly how the </w:t>
            </w:r>
            <w:r w:rsidR="00A247EE">
              <w:t>Commission plans to do this</w:t>
            </w:r>
            <w:r w:rsidR="00220C51">
              <w:t xml:space="preserve">, </w:t>
            </w:r>
            <w:r w:rsidR="005673F6">
              <w:t xml:space="preserve">particularly </w:t>
            </w:r>
            <w:proofErr w:type="gramStart"/>
            <w:r w:rsidR="005673F6">
              <w:t>taking into account</w:t>
            </w:r>
            <w:proofErr w:type="gramEnd"/>
            <w:r w:rsidR="005673F6">
              <w:t xml:space="preserve"> th</w:t>
            </w:r>
            <w:r w:rsidR="00AF7ECA">
              <w:t xml:space="preserve">at </w:t>
            </w:r>
            <w:r w:rsidR="00815F60">
              <w:t>EU accessibility legislation</w:t>
            </w:r>
            <w:r w:rsidR="00B21A73">
              <w:t xml:space="preserve"> does not comprehensively cover </w:t>
            </w:r>
            <w:r w:rsidR="00CA231E">
              <w:t>digital tools in education settings.</w:t>
            </w:r>
          </w:p>
        </w:tc>
        <w:tc>
          <w:tcPr>
            <w:tcW w:w="5130" w:type="dxa"/>
          </w:tcPr>
          <w:p w14:paraId="4BAD5FBE" w14:textId="77777777" w:rsidR="006D68A2" w:rsidRDefault="00AB75B5" w:rsidP="006D68A2">
            <w:r>
              <w:lastRenderedPageBreak/>
              <w:t>Set aside a clear budget to accompany this roadmap, and to make its aims achievable.</w:t>
            </w:r>
          </w:p>
          <w:p w14:paraId="4459CD92" w14:textId="6765E920" w:rsidR="00CA231E" w:rsidRPr="00CE713D" w:rsidRDefault="005C5228" w:rsidP="006D68A2">
            <w:r>
              <w:lastRenderedPageBreak/>
              <w:t xml:space="preserve">Cover digital technologies used in education in </w:t>
            </w:r>
            <w:r w:rsidR="00A57506">
              <w:t>EU accessibility legislation</w:t>
            </w:r>
            <w:r w:rsidR="00915B74">
              <w:t>.</w:t>
            </w:r>
          </w:p>
        </w:tc>
      </w:tr>
    </w:tbl>
    <w:p w14:paraId="44984D3D" w14:textId="77777777" w:rsidR="00465371" w:rsidRPr="00CE713D" w:rsidRDefault="00465371" w:rsidP="00465371"/>
    <w:p w14:paraId="612F12DC" w14:textId="4BA0B315" w:rsidR="00465371" w:rsidRPr="00CE713D" w:rsidRDefault="00465371" w:rsidP="00002939">
      <w:pPr>
        <w:pStyle w:val="Heading3"/>
      </w:pPr>
      <w:r w:rsidRPr="00CE713D">
        <w:t>Improving access to healthcare</w:t>
      </w:r>
    </w:p>
    <w:tbl>
      <w:tblPr>
        <w:tblStyle w:val="TableGrid"/>
        <w:tblW w:w="0" w:type="auto"/>
        <w:tblLook w:val="04A0" w:firstRow="1" w:lastRow="0" w:firstColumn="1" w:lastColumn="0" w:noHBand="0" w:noVBand="1"/>
      </w:tblPr>
      <w:tblGrid>
        <w:gridCol w:w="5129"/>
        <w:gridCol w:w="5129"/>
        <w:gridCol w:w="5130"/>
      </w:tblGrid>
      <w:tr w:rsidR="00B735F0" w:rsidRPr="00CE713D" w14:paraId="1467F7A7" w14:textId="77777777" w:rsidTr="1140E971">
        <w:trPr>
          <w:tblHeader/>
        </w:trPr>
        <w:tc>
          <w:tcPr>
            <w:tcW w:w="5129" w:type="dxa"/>
          </w:tcPr>
          <w:p w14:paraId="2964BF54" w14:textId="77777777" w:rsidR="00B735F0" w:rsidRPr="00CE713D" w:rsidRDefault="00B735F0">
            <w:pPr>
              <w:rPr>
                <w:b/>
                <w:bCs/>
              </w:rPr>
            </w:pPr>
            <w:r w:rsidRPr="00CE713D">
              <w:rPr>
                <w:b/>
                <w:bCs/>
              </w:rPr>
              <w:t>Action in the Disability Strategy</w:t>
            </w:r>
          </w:p>
        </w:tc>
        <w:tc>
          <w:tcPr>
            <w:tcW w:w="5129" w:type="dxa"/>
          </w:tcPr>
          <w:p w14:paraId="190CCE56" w14:textId="77777777" w:rsidR="00B735F0" w:rsidRPr="00CE713D" w:rsidRDefault="00B735F0">
            <w:pPr>
              <w:rPr>
                <w:b/>
                <w:bCs/>
              </w:rPr>
            </w:pPr>
            <w:r w:rsidRPr="00CE713D">
              <w:rPr>
                <w:b/>
                <w:bCs/>
              </w:rPr>
              <w:t>Evaluation by EDF</w:t>
            </w:r>
          </w:p>
        </w:tc>
        <w:tc>
          <w:tcPr>
            <w:tcW w:w="5130" w:type="dxa"/>
          </w:tcPr>
          <w:p w14:paraId="1B548466" w14:textId="77777777" w:rsidR="00B735F0" w:rsidRPr="00CE713D" w:rsidRDefault="00B735F0">
            <w:pPr>
              <w:rPr>
                <w:b/>
                <w:bCs/>
              </w:rPr>
            </w:pPr>
            <w:r w:rsidRPr="00CE713D">
              <w:rPr>
                <w:b/>
                <w:bCs/>
              </w:rPr>
              <w:t>Priorities for implementation</w:t>
            </w:r>
          </w:p>
        </w:tc>
      </w:tr>
      <w:tr w:rsidR="00B735F0" w:rsidRPr="00CE713D" w14:paraId="25A651C9" w14:textId="77777777" w:rsidTr="1140E971">
        <w:tc>
          <w:tcPr>
            <w:tcW w:w="5129" w:type="dxa"/>
          </w:tcPr>
          <w:p w14:paraId="00EFE170" w14:textId="1E7265DA" w:rsidR="00B735F0" w:rsidRPr="00CE713D" w:rsidRDefault="00B735F0" w:rsidP="00B735F0">
            <w:r w:rsidRPr="00CE713D">
              <w:t>Guidelines on access to healthcare for persons with disabilities to foster a shared understanding of challenges in access to healthcare for persons with disabilities and encourage good practices likely to drive changes at national level</w:t>
            </w:r>
            <w:r w:rsidR="004C0DCD">
              <w:t>.</w:t>
            </w:r>
          </w:p>
          <w:p w14:paraId="739476CA" w14:textId="77777777" w:rsidR="00B735F0" w:rsidRPr="00CE713D" w:rsidRDefault="00B735F0"/>
        </w:tc>
        <w:tc>
          <w:tcPr>
            <w:tcW w:w="5129" w:type="dxa"/>
          </w:tcPr>
          <w:p w14:paraId="5688F76F" w14:textId="77777777" w:rsidR="009C3C71" w:rsidRDefault="00076254">
            <w:pPr>
              <w:rPr>
                <w:b/>
                <w:bCs/>
              </w:rPr>
            </w:pPr>
            <w:r w:rsidRPr="00076254">
              <w:rPr>
                <w:b/>
                <w:bCs/>
              </w:rPr>
              <w:t>Positive</w:t>
            </w:r>
            <w:r w:rsidR="009C3C71">
              <w:rPr>
                <w:b/>
                <w:bCs/>
              </w:rPr>
              <w:t xml:space="preserve"> points</w:t>
            </w:r>
            <w:r w:rsidRPr="00076254">
              <w:rPr>
                <w:b/>
                <w:bCs/>
              </w:rPr>
              <w:t>:</w:t>
            </w:r>
            <w:r w:rsidR="00C04851">
              <w:rPr>
                <w:b/>
                <w:bCs/>
              </w:rPr>
              <w:t xml:space="preserve"> </w:t>
            </w:r>
          </w:p>
          <w:p w14:paraId="7BD95493" w14:textId="77777777" w:rsidR="00631EB8" w:rsidRDefault="00C04851" w:rsidP="00EA5C76">
            <w:pPr>
              <w:pStyle w:val="ListParagraph"/>
              <w:numPr>
                <w:ilvl w:val="0"/>
                <w:numId w:val="13"/>
              </w:numPr>
            </w:pPr>
            <w:r>
              <w:t xml:space="preserve">The guidelines and supporting study activities were conducted with the active </w:t>
            </w:r>
            <w:r w:rsidR="00292E26">
              <w:t xml:space="preserve">involvement and consultation </w:t>
            </w:r>
            <w:r w:rsidR="00043883">
              <w:t xml:space="preserve">of organisations of </w:t>
            </w:r>
            <w:r w:rsidR="00094F68">
              <w:t xml:space="preserve">persons with disabilities. </w:t>
            </w:r>
          </w:p>
          <w:p w14:paraId="0BA71E1E" w14:textId="4F1DB894" w:rsidR="00076254" w:rsidRPr="006D68A2" w:rsidRDefault="009275F4" w:rsidP="00EA5C76">
            <w:pPr>
              <w:pStyle w:val="ListParagraph"/>
              <w:numPr>
                <w:ilvl w:val="0"/>
                <w:numId w:val="13"/>
              </w:numPr>
            </w:pPr>
            <w:r>
              <w:t xml:space="preserve">The guidelines </w:t>
            </w:r>
            <w:r w:rsidR="0094541A">
              <w:t xml:space="preserve">largely reflect </w:t>
            </w:r>
            <w:r w:rsidR="00BF341E">
              <w:t xml:space="preserve">the principles of the </w:t>
            </w:r>
            <w:r w:rsidR="00EC2989">
              <w:t xml:space="preserve">CRPD, encouraging </w:t>
            </w:r>
            <w:r w:rsidR="004341BD">
              <w:t xml:space="preserve">healthcare reform that protects and promotes the rights of persons with disabilities to health, </w:t>
            </w:r>
            <w:r w:rsidR="008D44B0">
              <w:t xml:space="preserve">rehabilitation, </w:t>
            </w:r>
            <w:r w:rsidR="00957885">
              <w:t xml:space="preserve">and </w:t>
            </w:r>
            <w:r w:rsidR="004A30DC">
              <w:t>equal recognition before the law</w:t>
            </w:r>
            <w:r w:rsidR="00957885">
              <w:t>, among other things.</w:t>
            </w:r>
          </w:p>
          <w:p w14:paraId="648E3F72" w14:textId="77777777" w:rsidR="00631EB8" w:rsidRDefault="00076254">
            <w:pPr>
              <w:rPr>
                <w:b/>
                <w:bCs/>
              </w:rPr>
            </w:pPr>
            <w:r w:rsidRPr="00076254">
              <w:rPr>
                <w:b/>
                <w:bCs/>
              </w:rPr>
              <w:lastRenderedPageBreak/>
              <w:t>Negative</w:t>
            </w:r>
            <w:r w:rsidR="00631EB8">
              <w:rPr>
                <w:b/>
                <w:bCs/>
              </w:rPr>
              <w:t xml:space="preserve"> points</w:t>
            </w:r>
            <w:r w:rsidRPr="00076254">
              <w:rPr>
                <w:b/>
                <w:bCs/>
              </w:rPr>
              <w:t>:</w:t>
            </w:r>
            <w:r w:rsidR="00957885">
              <w:rPr>
                <w:b/>
                <w:bCs/>
              </w:rPr>
              <w:t xml:space="preserve"> </w:t>
            </w:r>
          </w:p>
          <w:p w14:paraId="135EA328" w14:textId="77777777" w:rsidR="004332A7" w:rsidRDefault="004332A7" w:rsidP="00EA5C76">
            <w:pPr>
              <w:pStyle w:val="ListParagraph"/>
              <w:numPr>
                <w:ilvl w:val="0"/>
                <w:numId w:val="25"/>
              </w:numPr>
            </w:pPr>
            <w:r>
              <w:t>This action is not new. It refers to an action that has already been done.</w:t>
            </w:r>
          </w:p>
          <w:p w14:paraId="219E1B45" w14:textId="3BDE91DB" w:rsidR="00076254" w:rsidRPr="00CE713D" w:rsidRDefault="0039297A" w:rsidP="00EA5C76">
            <w:pPr>
              <w:pStyle w:val="ListParagraph"/>
              <w:numPr>
                <w:ilvl w:val="0"/>
                <w:numId w:val="25"/>
              </w:numPr>
            </w:pPr>
            <w:r>
              <w:t xml:space="preserve">There </w:t>
            </w:r>
            <w:r w:rsidR="00ED2BA5">
              <w:t>are</w:t>
            </w:r>
            <w:r w:rsidR="00D576A8">
              <w:t xml:space="preserve"> no dedicated </w:t>
            </w:r>
            <w:r w:rsidR="004F2A47">
              <w:t>framework</w:t>
            </w:r>
            <w:r w:rsidR="00ED2BA5">
              <w:t>s</w:t>
            </w:r>
            <w:r w:rsidR="004F2A47">
              <w:t xml:space="preserve"> </w:t>
            </w:r>
            <w:r w:rsidR="008D63B6">
              <w:t>or action</w:t>
            </w:r>
            <w:r w:rsidR="00D576A8">
              <w:t>s</w:t>
            </w:r>
            <w:r w:rsidR="008D63B6">
              <w:t xml:space="preserve"> to support the implementation of the guidelines.</w:t>
            </w:r>
          </w:p>
        </w:tc>
        <w:tc>
          <w:tcPr>
            <w:tcW w:w="5130" w:type="dxa"/>
          </w:tcPr>
          <w:p w14:paraId="4988F185" w14:textId="77E0B7A6" w:rsidR="00B735F0" w:rsidRPr="00CE713D" w:rsidRDefault="00870D59">
            <w:r>
              <w:lastRenderedPageBreak/>
              <w:t xml:space="preserve">Establish a framework to support </w:t>
            </w:r>
            <w:r w:rsidR="00766A2E">
              <w:t>Me</w:t>
            </w:r>
            <w:r>
              <w:t xml:space="preserve">mber </w:t>
            </w:r>
            <w:r w:rsidR="00766A2E">
              <w:t>S</w:t>
            </w:r>
            <w:r>
              <w:t xml:space="preserve">tates </w:t>
            </w:r>
            <w:r w:rsidR="004B7E6F">
              <w:t xml:space="preserve">in the uptake and implementation of the guidelines including awareness raising, </w:t>
            </w:r>
            <w:r w:rsidR="002010C9">
              <w:t xml:space="preserve">exchange of good-practices, and </w:t>
            </w:r>
            <w:r w:rsidR="00B01ABF">
              <w:t xml:space="preserve">dedicated financial support for actions aligned with the guidelines. </w:t>
            </w:r>
          </w:p>
        </w:tc>
      </w:tr>
      <w:tr w:rsidR="00B735F0" w:rsidRPr="00CE713D" w14:paraId="181D10C1" w14:textId="77777777" w:rsidTr="1140E971">
        <w:tc>
          <w:tcPr>
            <w:tcW w:w="5129" w:type="dxa"/>
          </w:tcPr>
          <w:p w14:paraId="789C5705" w14:textId="1CA82461" w:rsidR="00B735F0" w:rsidRPr="00CE713D" w:rsidRDefault="007F33E9">
            <w:r>
              <w:t>R</w:t>
            </w:r>
            <w:r w:rsidR="00B735F0" w:rsidRPr="00CE713D">
              <w:t>evised Pharma Package to help make orphan drugs against rare diseases more accessible</w:t>
            </w:r>
            <w:r w:rsidR="00847C6C">
              <w:t>.</w:t>
            </w:r>
          </w:p>
        </w:tc>
        <w:tc>
          <w:tcPr>
            <w:tcW w:w="5129" w:type="dxa"/>
          </w:tcPr>
          <w:p w14:paraId="563A6B33" w14:textId="77777777" w:rsidR="007B2488" w:rsidRDefault="004F6CF4" w:rsidP="004F6CF4">
            <w:pPr>
              <w:rPr>
                <w:b/>
                <w:bCs/>
              </w:rPr>
            </w:pPr>
            <w:r w:rsidRPr="00076254">
              <w:rPr>
                <w:b/>
                <w:bCs/>
              </w:rPr>
              <w:t>Positive</w:t>
            </w:r>
            <w:r w:rsidR="007B2488">
              <w:rPr>
                <w:b/>
                <w:bCs/>
              </w:rPr>
              <w:t xml:space="preserve"> points</w:t>
            </w:r>
            <w:r w:rsidRPr="00076254">
              <w:rPr>
                <w:b/>
                <w:bCs/>
              </w:rPr>
              <w:t>:</w:t>
            </w:r>
            <w:r w:rsidR="00312B48">
              <w:rPr>
                <w:b/>
                <w:bCs/>
              </w:rPr>
              <w:t xml:space="preserve"> </w:t>
            </w:r>
          </w:p>
          <w:p w14:paraId="720D8189" w14:textId="77777777" w:rsidR="00CC3F68" w:rsidRDefault="00312B48" w:rsidP="00EA5C76">
            <w:pPr>
              <w:pStyle w:val="ListParagraph"/>
              <w:numPr>
                <w:ilvl w:val="0"/>
                <w:numId w:val="26"/>
              </w:numPr>
            </w:pPr>
            <w:r>
              <w:t xml:space="preserve">The revised </w:t>
            </w:r>
            <w:r w:rsidR="006D31CA">
              <w:t xml:space="preserve">rules have the potential to </w:t>
            </w:r>
            <w:r w:rsidR="003D7B7A">
              <w:t xml:space="preserve">improve the availability </w:t>
            </w:r>
            <w:r w:rsidR="006A116F">
              <w:t xml:space="preserve">and affordability </w:t>
            </w:r>
            <w:r w:rsidR="003D7B7A">
              <w:t>of medicines</w:t>
            </w:r>
            <w:r w:rsidR="00F07E9D">
              <w:t xml:space="preserve">, including </w:t>
            </w:r>
            <w:r w:rsidR="00B915FE">
              <w:t>orphan medicines for rare diseases.</w:t>
            </w:r>
            <w:r w:rsidR="00871EC0">
              <w:t xml:space="preserve"> </w:t>
            </w:r>
          </w:p>
          <w:p w14:paraId="5174B4F6" w14:textId="5E4B184F" w:rsidR="004F6CF4" w:rsidRPr="006D68A2" w:rsidRDefault="002367CE" w:rsidP="00EA5C76">
            <w:pPr>
              <w:pStyle w:val="ListParagraph"/>
              <w:numPr>
                <w:ilvl w:val="0"/>
                <w:numId w:val="26"/>
              </w:numPr>
            </w:pPr>
            <w:r>
              <w:t>Basic m</w:t>
            </w:r>
            <w:r w:rsidR="00E14CA0">
              <w:t xml:space="preserve">edicinal product information </w:t>
            </w:r>
            <w:r w:rsidR="004309F4">
              <w:t xml:space="preserve">will be provided on packaging in Braille. </w:t>
            </w:r>
          </w:p>
          <w:p w14:paraId="2CA5C395" w14:textId="77777777" w:rsidR="00CC3F68" w:rsidRDefault="004F6CF4" w:rsidP="004F6CF4">
            <w:pPr>
              <w:rPr>
                <w:b/>
                <w:bCs/>
              </w:rPr>
            </w:pPr>
            <w:r w:rsidRPr="00076254">
              <w:rPr>
                <w:b/>
                <w:bCs/>
              </w:rPr>
              <w:t>Neutral</w:t>
            </w:r>
            <w:r w:rsidR="00CC3F68">
              <w:rPr>
                <w:b/>
                <w:bCs/>
              </w:rPr>
              <w:t xml:space="preserve"> points</w:t>
            </w:r>
            <w:r w:rsidRPr="00076254">
              <w:rPr>
                <w:b/>
                <w:bCs/>
              </w:rPr>
              <w:t>:</w:t>
            </w:r>
            <w:r w:rsidR="00B45010">
              <w:rPr>
                <w:b/>
                <w:bCs/>
              </w:rPr>
              <w:t xml:space="preserve"> </w:t>
            </w:r>
          </w:p>
          <w:p w14:paraId="4771AAD0" w14:textId="7687AAF5" w:rsidR="004F6CF4" w:rsidRPr="006D68A2" w:rsidRDefault="00C63DE5" w:rsidP="00EA5C76">
            <w:pPr>
              <w:pStyle w:val="ListParagraph"/>
              <w:numPr>
                <w:ilvl w:val="0"/>
                <w:numId w:val="27"/>
              </w:numPr>
            </w:pPr>
            <w:r>
              <w:t>Revision of medicine package leaflets shall be revised in consultation with target patient groups. This could improve the accessibility and relevance of information</w:t>
            </w:r>
            <w:r w:rsidR="00514037">
              <w:t xml:space="preserve"> provided persons with disabilities are included in target groups. </w:t>
            </w:r>
          </w:p>
          <w:p w14:paraId="08562595" w14:textId="77777777" w:rsidR="00CC3F68" w:rsidRDefault="004F6CF4" w:rsidP="004F6CF4">
            <w:pPr>
              <w:rPr>
                <w:b/>
                <w:bCs/>
              </w:rPr>
            </w:pPr>
            <w:r w:rsidRPr="00076254">
              <w:rPr>
                <w:b/>
                <w:bCs/>
              </w:rPr>
              <w:t>Negative</w:t>
            </w:r>
            <w:r w:rsidR="00CC3F68">
              <w:rPr>
                <w:b/>
                <w:bCs/>
              </w:rPr>
              <w:t xml:space="preserve"> points</w:t>
            </w:r>
            <w:r w:rsidRPr="00076254">
              <w:rPr>
                <w:b/>
                <w:bCs/>
              </w:rPr>
              <w:t>:</w:t>
            </w:r>
            <w:r w:rsidR="00871EC0">
              <w:rPr>
                <w:b/>
                <w:bCs/>
              </w:rPr>
              <w:t xml:space="preserve"> </w:t>
            </w:r>
          </w:p>
          <w:p w14:paraId="6834159B" w14:textId="2028E07B" w:rsidR="007B44FE" w:rsidRDefault="007B44FE" w:rsidP="00EA5C76">
            <w:pPr>
              <w:pStyle w:val="ListParagraph"/>
              <w:numPr>
                <w:ilvl w:val="0"/>
                <w:numId w:val="27"/>
              </w:numPr>
            </w:pPr>
            <w:r>
              <w:t>This is not a new action</w:t>
            </w:r>
            <w:r w:rsidR="001E2D99">
              <w:t xml:space="preserve"> as it has already taken place.</w:t>
            </w:r>
          </w:p>
          <w:p w14:paraId="13222E1F" w14:textId="612BCBBE" w:rsidR="00B735F0" w:rsidRPr="00DC7FA1" w:rsidRDefault="004A4E63" w:rsidP="00EA5C76">
            <w:pPr>
              <w:pStyle w:val="ListParagraph"/>
              <w:numPr>
                <w:ilvl w:val="0"/>
                <w:numId w:val="27"/>
              </w:numPr>
            </w:pPr>
            <w:r>
              <w:t>Member State</w:t>
            </w:r>
            <w:r w:rsidR="002153CD">
              <w:t xml:space="preserve"> discretion will determine the availability of </w:t>
            </w:r>
            <w:r w:rsidR="00CD04B6">
              <w:t xml:space="preserve">medicine product information in </w:t>
            </w:r>
            <w:r w:rsidR="00E223B8">
              <w:lastRenderedPageBreak/>
              <w:t xml:space="preserve">various formats. </w:t>
            </w:r>
            <w:r w:rsidR="00FC2355">
              <w:t xml:space="preserve">They may enable exclusive electronic provision of </w:t>
            </w:r>
            <w:r w:rsidR="00FF6631">
              <w:t xml:space="preserve">product information </w:t>
            </w:r>
            <w:r w:rsidR="00E65F8C">
              <w:t xml:space="preserve">for some or all medicines. </w:t>
            </w:r>
            <w:r w:rsidR="009E6D45">
              <w:t xml:space="preserve">While paper </w:t>
            </w:r>
            <w:r w:rsidR="00956DEE">
              <w:t xml:space="preserve">versions will remain available upon request, </w:t>
            </w:r>
            <w:r w:rsidR="00A139E4">
              <w:t>th</w:t>
            </w:r>
            <w:r w:rsidR="00812F82">
              <w:t>e process</w:t>
            </w:r>
            <w:r w:rsidR="00A139E4">
              <w:t xml:space="preserve"> </w:t>
            </w:r>
            <w:r w:rsidR="00FF01D1">
              <w:t>constitute</w:t>
            </w:r>
            <w:r w:rsidR="00040AEB">
              <w:t>s</w:t>
            </w:r>
            <w:r w:rsidR="00326ADF">
              <w:t xml:space="preserve"> an </w:t>
            </w:r>
            <w:r w:rsidR="00FF01D1">
              <w:t>additional</w:t>
            </w:r>
            <w:r w:rsidR="00326ADF">
              <w:t xml:space="preserve"> barrier </w:t>
            </w:r>
            <w:r w:rsidR="00DD57A8">
              <w:t xml:space="preserve">to vital information </w:t>
            </w:r>
            <w:r w:rsidR="00326ADF">
              <w:t>for persons with disabilities</w:t>
            </w:r>
            <w:r w:rsidR="007758A9">
              <w:t xml:space="preserve">, especially where it must be requested by a patient </w:t>
            </w:r>
            <w:r w:rsidR="0057196B">
              <w:t>organisation</w:t>
            </w:r>
            <w:r w:rsidR="00326ADF">
              <w:t>.</w:t>
            </w:r>
            <w:r w:rsidR="008556A7">
              <w:t xml:space="preserve"> </w:t>
            </w:r>
            <w:r w:rsidR="0011047B">
              <w:t xml:space="preserve">Similarly, there </w:t>
            </w:r>
            <w:r w:rsidR="002E6E51">
              <w:t>are</w:t>
            </w:r>
            <w:r w:rsidR="0011047B">
              <w:t xml:space="preserve"> </w:t>
            </w:r>
            <w:r w:rsidR="0057196B">
              <w:t>no clear reference</w:t>
            </w:r>
            <w:r w:rsidR="002E6E51">
              <w:t>s</w:t>
            </w:r>
            <w:r w:rsidR="0057196B">
              <w:t xml:space="preserve"> to accessibility </w:t>
            </w:r>
            <w:r w:rsidR="002E6E51">
              <w:t>requirements</w:t>
            </w:r>
            <w:r w:rsidR="00B038DA">
              <w:t xml:space="preserve"> for </w:t>
            </w:r>
            <w:r w:rsidR="00863683">
              <w:t xml:space="preserve">electronic product information or for </w:t>
            </w:r>
            <w:r w:rsidR="000905A5">
              <w:t xml:space="preserve">package elements connecting to electronic information (e.g., QR codes). </w:t>
            </w:r>
          </w:p>
          <w:p w14:paraId="20C35434" w14:textId="6EB2CA79" w:rsidR="00B735F0" w:rsidRPr="00CE713D" w:rsidRDefault="00B735F0" w:rsidP="004F6CF4"/>
        </w:tc>
        <w:tc>
          <w:tcPr>
            <w:tcW w:w="5130" w:type="dxa"/>
          </w:tcPr>
          <w:p w14:paraId="369BC074" w14:textId="4D71EF3F" w:rsidR="00E43682" w:rsidRDefault="2FB02CD9" w:rsidP="00EA5C76">
            <w:pPr>
              <w:pStyle w:val="ListParagraph"/>
              <w:numPr>
                <w:ilvl w:val="0"/>
                <w:numId w:val="43"/>
              </w:numPr>
            </w:pPr>
            <w:r>
              <w:lastRenderedPageBreak/>
              <w:t>Actively include persons with disabilities in target group</w:t>
            </w:r>
            <w:r w:rsidR="30334F67">
              <w:t>s revising medicine package leaflets and a</w:t>
            </w:r>
            <w:r w:rsidR="10E8B65A">
              <w:t>ss</w:t>
            </w:r>
            <w:r w:rsidR="30334F67">
              <w:t xml:space="preserve">essing the appropriateness of exclusive electronic information. </w:t>
            </w:r>
          </w:p>
          <w:p w14:paraId="00820C43" w14:textId="5DC701C5" w:rsidR="00B735F0" w:rsidRPr="00CE713D" w:rsidRDefault="30334F67" w:rsidP="00EA5C76">
            <w:pPr>
              <w:pStyle w:val="ListParagraph"/>
              <w:numPr>
                <w:ilvl w:val="0"/>
                <w:numId w:val="43"/>
              </w:numPr>
            </w:pPr>
            <w:r>
              <w:t xml:space="preserve">Ensure </w:t>
            </w:r>
            <w:r w:rsidR="3944CAE9">
              <w:t xml:space="preserve">that the process to obtain paper product information does not </w:t>
            </w:r>
            <w:r w:rsidR="2D1863F9">
              <w:t>create additional barriers</w:t>
            </w:r>
            <w:r w:rsidR="1411455F">
              <w:t xml:space="preserve"> nor delay access</w:t>
            </w:r>
            <w:r w:rsidR="2D1863F9">
              <w:t xml:space="preserve"> for persons with disabilities</w:t>
            </w:r>
            <w:r w:rsidR="78AF98C5">
              <w:t xml:space="preserve">. </w:t>
            </w:r>
          </w:p>
        </w:tc>
      </w:tr>
      <w:tr w:rsidR="00B735F0" w:rsidRPr="00CE713D" w14:paraId="3D4C2C02" w14:textId="77777777" w:rsidTr="1140E971">
        <w:tc>
          <w:tcPr>
            <w:tcW w:w="5129" w:type="dxa"/>
          </w:tcPr>
          <w:p w14:paraId="7A895986" w14:textId="2B413138" w:rsidR="00B735F0" w:rsidRPr="00CE713D" w:rsidRDefault="007F33E9" w:rsidP="00B735F0">
            <w:r>
              <w:t>R</w:t>
            </w:r>
            <w:r w:rsidR="00B735F0" w:rsidRPr="00CE713D">
              <w:t>evision of the Medical Device and In Vitro Diagnostics Regulations, together with the proposal on the Biotech Act, to foster research and innovation in the field of rare diseases</w:t>
            </w:r>
            <w:r w:rsidR="00847C6C">
              <w:t>.</w:t>
            </w:r>
          </w:p>
          <w:p w14:paraId="2E186840" w14:textId="77777777" w:rsidR="00B735F0" w:rsidRPr="00CE713D" w:rsidRDefault="00B735F0"/>
        </w:tc>
        <w:tc>
          <w:tcPr>
            <w:tcW w:w="5129" w:type="dxa"/>
          </w:tcPr>
          <w:p w14:paraId="0DDA0E3C" w14:textId="77777777" w:rsidR="005E24FC" w:rsidRDefault="005E24FC" w:rsidP="004F6CF4">
            <w:pPr>
              <w:rPr>
                <w:b/>
                <w:bCs/>
              </w:rPr>
            </w:pPr>
            <w:r>
              <w:rPr>
                <w:b/>
                <w:bCs/>
              </w:rPr>
              <w:t>Neutral points:</w:t>
            </w:r>
          </w:p>
          <w:p w14:paraId="53688D90" w14:textId="52418C01" w:rsidR="005E24FC" w:rsidRPr="00F73985" w:rsidRDefault="005E24FC" w:rsidP="00EA5C76">
            <w:pPr>
              <w:pStyle w:val="ListParagraph"/>
              <w:numPr>
                <w:ilvl w:val="0"/>
                <w:numId w:val="29"/>
              </w:numPr>
            </w:pPr>
            <w:r w:rsidRPr="005E24FC">
              <w:t xml:space="preserve">This is not a new action. </w:t>
            </w:r>
          </w:p>
          <w:p w14:paraId="5ED1D4EA" w14:textId="0160D104" w:rsidR="005E24FC" w:rsidRDefault="004F6CF4" w:rsidP="004F6CF4">
            <w:pPr>
              <w:rPr>
                <w:b/>
                <w:bCs/>
              </w:rPr>
            </w:pPr>
            <w:r w:rsidRPr="00076254">
              <w:rPr>
                <w:b/>
                <w:bCs/>
              </w:rPr>
              <w:t>Negative</w:t>
            </w:r>
            <w:r w:rsidR="005E24FC">
              <w:rPr>
                <w:b/>
                <w:bCs/>
              </w:rPr>
              <w:t xml:space="preserve"> points</w:t>
            </w:r>
            <w:r w:rsidRPr="00076254">
              <w:rPr>
                <w:b/>
                <w:bCs/>
              </w:rPr>
              <w:t>:</w:t>
            </w:r>
            <w:r w:rsidR="00A67A21">
              <w:rPr>
                <w:b/>
                <w:bCs/>
              </w:rPr>
              <w:t xml:space="preserve"> </w:t>
            </w:r>
          </w:p>
          <w:p w14:paraId="24FC38A7" w14:textId="77777777" w:rsidR="00B735F0" w:rsidRDefault="00880771" w:rsidP="00EA5C76">
            <w:pPr>
              <w:pStyle w:val="ListParagraph"/>
              <w:numPr>
                <w:ilvl w:val="0"/>
                <w:numId w:val="28"/>
              </w:numPr>
            </w:pPr>
            <w:r w:rsidRPr="00880771">
              <w:t xml:space="preserve">The </w:t>
            </w:r>
            <w:r>
              <w:t xml:space="preserve">revision of the Medical Device and In Vitro Diagnostics Regulations </w:t>
            </w:r>
            <w:r w:rsidRPr="00880771">
              <w:t>d</w:t>
            </w:r>
            <w:r>
              <w:t>id</w:t>
            </w:r>
            <w:r w:rsidRPr="00880771">
              <w:t xml:space="preserve"> not account for the needs of persons with disabilities, with standards and/or requirements for manufacturers on accessibility and adaptability. </w:t>
            </w:r>
            <w:r w:rsidR="00E11293">
              <w:t xml:space="preserve">Lack of accessible </w:t>
            </w:r>
            <w:r w:rsidR="000E1452">
              <w:t xml:space="preserve">medical devices remains a key barrier to care and results in worse health outcomes for persons with disabilities. </w:t>
            </w:r>
          </w:p>
          <w:p w14:paraId="79641DB3" w14:textId="31FB4464" w:rsidR="007C09D4" w:rsidRPr="00CE713D" w:rsidRDefault="007C09D4" w:rsidP="007C09D4">
            <w:pPr>
              <w:pStyle w:val="ListParagraph"/>
            </w:pPr>
          </w:p>
        </w:tc>
        <w:tc>
          <w:tcPr>
            <w:tcW w:w="5130" w:type="dxa"/>
          </w:tcPr>
          <w:p w14:paraId="10D4584D" w14:textId="4CD72D84" w:rsidR="00B735F0" w:rsidRPr="00CE713D" w:rsidRDefault="0458D402">
            <w:r>
              <w:lastRenderedPageBreak/>
              <w:t xml:space="preserve">Establish design criteria for </w:t>
            </w:r>
            <w:r w:rsidR="3F11CD7C">
              <w:t xml:space="preserve">medical diagnostic equipment including </w:t>
            </w:r>
            <w:r w:rsidR="4DD77F1C">
              <w:t xml:space="preserve">examination tables and chairs, weight scales, radiological and mammography equipment, and other diagnostic tools used </w:t>
            </w:r>
            <w:r w:rsidR="72CCC99C">
              <w:t>by</w:t>
            </w:r>
            <w:r w:rsidR="4DD77F1C">
              <w:t xml:space="preserve"> healthcare professionals. </w:t>
            </w:r>
          </w:p>
        </w:tc>
      </w:tr>
      <w:tr w:rsidR="00B735F0" w:rsidRPr="00CE713D" w14:paraId="41C33617" w14:textId="77777777" w:rsidTr="1140E971">
        <w:tc>
          <w:tcPr>
            <w:tcW w:w="5129" w:type="dxa"/>
          </w:tcPr>
          <w:p w14:paraId="2E411EBF" w14:textId="1D4B0075" w:rsidR="00B735F0" w:rsidRPr="00CE713D" w:rsidRDefault="007F33E9">
            <w:r>
              <w:t>S</w:t>
            </w:r>
            <w:r w:rsidR="00B735F0" w:rsidRPr="00CE713D">
              <w:t>tudy on the quality of life of cancer patients and survivors, developing indicators to assess policies implemented across EU countries to monitor and improve quality of life, likely to encompass policies relevant for disabilities acquired following to cancer</w:t>
            </w:r>
            <w:r w:rsidR="00E33CDC">
              <w:t>.</w:t>
            </w:r>
          </w:p>
        </w:tc>
        <w:tc>
          <w:tcPr>
            <w:tcW w:w="5129" w:type="dxa"/>
          </w:tcPr>
          <w:p w14:paraId="1DECC644" w14:textId="77777777" w:rsidR="004D5D17" w:rsidRDefault="007F4DE8" w:rsidP="007F4DE8">
            <w:pPr>
              <w:rPr>
                <w:b/>
                <w:bCs/>
              </w:rPr>
            </w:pPr>
            <w:r w:rsidRPr="00076254">
              <w:rPr>
                <w:b/>
                <w:bCs/>
              </w:rPr>
              <w:t>Positive</w:t>
            </w:r>
            <w:r w:rsidR="004D5D17">
              <w:rPr>
                <w:b/>
                <w:bCs/>
              </w:rPr>
              <w:t xml:space="preserve"> points</w:t>
            </w:r>
            <w:r w:rsidRPr="00076254">
              <w:rPr>
                <w:b/>
                <w:bCs/>
              </w:rPr>
              <w:t>:</w:t>
            </w:r>
            <w:r w:rsidR="00CE5817">
              <w:rPr>
                <w:b/>
                <w:bCs/>
              </w:rPr>
              <w:t xml:space="preserve"> </w:t>
            </w:r>
          </w:p>
          <w:p w14:paraId="1AC2666F" w14:textId="5214F0FE" w:rsidR="007F4DE8" w:rsidRPr="004D5D17" w:rsidRDefault="00AA64BC" w:rsidP="00EA5C76">
            <w:pPr>
              <w:pStyle w:val="ListParagraph"/>
              <w:numPr>
                <w:ilvl w:val="0"/>
                <w:numId w:val="28"/>
              </w:numPr>
            </w:pPr>
            <w:r>
              <w:t>Focus on Patie</w:t>
            </w:r>
            <w:r w:rsidR="00D41E11">
              <w:t>n</w:t>
            </w:r>
            <w:r>
              <w:t>t-Reported Outcome Measures for the assessment of quality of life</w:t>
            </w:r>
            <w:r w:rsidR="00D41E11">
              <w:t xml:space="preserve"> for cancer patients and survivors</w:t>
            </w:r>
            <w:r>
              <w:t xml:space="preserve">. </w:t>
            </w:r>
          </w:p>
          <w:p w14:paraId="37A18C29" w14:textId="77777777" w:rsidR="004D5D17" w:rsidRDefault="0761370D" w:rsidP="1140E971">
            <w:pPr>
              <w:rPr>
                <w:b/>
                <w:bCs/>
              </w:rPr>
            </w:pPr>
            <w:r w:rsidRPr="1140E971">
              <w:rPr>
                <w:b/>
                <w:bCs/>
              </w:rPr>
              <w:t>Negative</w:t>
            </w:r>
            <w:r w:rsidR="004D5D17">
              <w:rPr>
                <w:b/>
                <w:bCs/>
              </w:rPr>
              <w:t xml:space="preserve"> points</w:t>
            </w:r>
            <w:r w:rsidRPr="1140E971">
              <w:rPr>
                <w:b/>
                <w:bCs/>
              </w:rPr>
              <w:t>:</w:t>
            </w:r>
            <w:r w:rsidR="529242F5" w:rsidRPr="1140E971">
              <w:rPr>
                <w:b/>
                <w:bCs/>
              </w:rPr>
              <w:t xml:space="preserve"> </w:t>
            </w:r>
          </w:p>
          <w:p w14:paraId="285B0332" w14:textId="482A338B" w:rsidR="001B43F6" w:rsidRDefault="7CFFA42F" w:rsidP="00EA5C76">
            <w:pPr>
              <w:pStyle w:val="ListParagraph"/>
              <w:numPr>
                <w:ilvl w:val="0"/>
                <w:numId w:val="28"/>
              </w:numPr>
              <w:rPr>
                <w:rFonts w:eastAsia="Calibri" w:cs="Arial"/>
                <w:szCs w:val="24"/>
              </w:rPr>
            </w:pPr>
            <w:r>
              <w:t xml:space="preserve">Not enough information to confirm the action; analysis based on the assumption that the study is represented by the </w:t>
            </w:r>
            <w:hyperlink r:id="rId19" w:history="1">
              <w:proofErr w:type="spellStart"/>
              <w:r w:rsidRPr="00616B10">
                <w:rPr>
                  <w:rStyle w:val="Hyperlink"/>
                  <w:rFonts w:eastAsia="Calibri" w:cs="Arial"/>
                  <w:szCs w:val="24"/>
                </w:rPr>
                <w:t>EUonQoL</w:t>
              </w:r>
              <w:proofErr w:type="spellEnd"/>
              <w:r w:rsidRPr="00616B10">
                <w:rPr>
                  <w:rStyle w:val="Hyperlink"/>
                  <w:rFonts w:eastAsia="Calibri" w:cs="Arial"/>
                  <w:szCs w:val="24"/>
                </w:rPr>
                <w:t xml:space="preserve"> project</w:t>
              </w:r>
            </w:hyperlink>
            <w:r w:rsidRPr="004D5D17">
              <w:rPr>
                <w:rFonts w:eastAsia="Calibri" w:cs="Arial"/>
                <w:szCs w:val="24"/>
              </w:rPr>
              <w:t>.</w:t>
            </w:r>
          </w:p>
          <w:p w14:paraId="505AE2E7" w14:textId="1260D86A" w:rsidR="00B735F0" w:rsidRPr="001B43F6" w:rsidRDefault="7CFFA42F" w:rsidP="00EA5C76">
            <w:pPr>
              <w:pStyle w:val="ListParagraph"/>
              <w:numPr>
                <w:ilvl w:val="0"/>
                <w:numId w:val="28"/>
              </w:numPr>
              <w:rPr>
                <w:rFonts w:eastAsia="Calibri" w:cs="Arial"/>
                <w:szCs w:val="24"/>
              </w:rPr>
            </w:pPr>
            <w:r>
              <w:t xml:space="preserve">Disability and health equity are not distinct </w:t>
            </w:r>
            <w:r w:rsidR="3D443DAA">
              <w:t>research</w:t>
            </w:r>
            <w:r>
              <w:t xml:space="preserve"> priorities. </w:t>
            </w:r>
            <w:r w:rsidR="24DB960B">
              <w:t>Previous research indicates numerous and specific barriers for persons with disabilities in cancer diagnosis, treatment, care and clinical trials</w:t>
            </w:r>
            <w:r w:rsidR="46D5D8B5">
              <w:t>. Without an explicit fo</w:t>
            </w:r>
            <w:r w:rsidR="3DE13CEF">
              <w:t>cus</w:t>
            </w:r>
            <w:r w:rsidR="46D5D8B5">
              <w:t>, it is unclear how or even if persons with disabilities were involved in research development or activities including pilots.</w:t>
            </w:r>
          </w:p>
          <w:p w14:paraId="13454CF2" w14:textId="1DF98E55" w:rsidR="00B735F0" w:rsidRPr="00CE713D" w:rsidRDefault="00B735F0" w:rsidP="1140E971">
            <w:pPr>
              <w:rPr>
                <w:b/>
                <w:bCs/>
              </w:rPr>
            </w:pPr>
          </w:p>
        </w:tc>
        <w:tc>
          <w:tcPr>
            <w:tcW w:w="5130" w:type="dxa"/>
          </w:tcPr>
          <w:p w14:paraId="433F6023" w14:textId="3040BEBF" w:rsidR="00091ECD" w:rsidRDefault="15A7E94A" w:rsidP="00EA5C76">
            <w:pPr>
              <w:pStyle w:val="ListParagraph"/>
              <w:numPr>
                <w:ilvl w:val="0"/>
                <w:numId w:val="44"/>
              </w:numPr>
            </w:pPr>
            <w:r>
              <w:t xml:space="preserve">Evaluate study outcomes against the </w:t>
            </w:r>
            <w:r w:rsidR="00091ECD" w:rsidRPr="00091ECD">
              <w:t>‘</w:t>
            </w:r>
            <w:r w:rsidRPr="00091ECD">
              <w:t>Study report on people with disabilities regarding their access to screening programmes, diagnosis and treatment for cancer, barriers in accessibility and affordability of cancer care for disabled patients</w:t>
            </w:r>
            <w:r w:rsidR="274AA93C" w:rsidRPr="00091ECD">
              <w:t>, and differences in the quality of care they receive</w:t>
            </w:r>
            <w:r w:rsidR="00091ECD" w:rsidRPr="00091ECD">
              <w:t>’</w:t>
            </w:r>
            <w:r w:rsidR="274AA93C" w:rsidRPr="00091ECD">
              <w:t>.</w:t>
            </w:r>
            <w:r w:rsidR="274AA93C">
              <w:t xml:space="preserve"> </w:t>
            </w:r>
          </w:p>
          <w:p w14:paraId="64A5A54C" w14:textId="06B40563" w:rsidR="00B735F0" w:rsidRPr="00CE713D" w:rsidRDefault="003800B8" w:rsidP="00EA5C76">
            <w:pPr>
              <w:pStyle w:val="ListParagraph"/>
              <w:numPr>
                <w:ilvl w:val="0"/>
                <w:numId w:val="44"/>
              </w:numPr>
            </w:pPr>
            <w:r>
              <w:t xml:space="preserve">Ensure subsequent actions </w:t>
            </w:r>
            <w:r w:rsidR="00696FC3">
              <w:t xml:space="preserve">actively involve organisations of persons with disabilities. </w:t>
            </w:r>
            <w:r w:rsidR="0019065F">
              <w:t xml:space="preserve"> </w:t>
            </w:r>
          </w:p>
        </w:tc>
      </w:tr>
    </w:tbl>
    <w:p w14:paraId="188C9A72" w14:textId="0D951F58" w:rsidR="00465371" w:rsidRPr="00CE713D" w:rsidRDefault="00465371" w:rsidP="00002939">
      <w:pPr>
        <w:pStyle w:val="Heading3"/>
      </w:pPr>
      <w:r w:rsidRPr="00CE713D">
        <w:t>Disability at the intersection: boosting voice and choice</w:t>
      </w:r>
    </w:p>
    <w:tbl>
      <w:tblPr>
        <w:tblStyle w:val="TableGrid"/>
        <w:tblW w:w="0" w:type="auto"/>
        <w:tblLook w:val="04A0" w:firstRow="1" w:lastRow="0" w:firstColumn="1" w:lastColumn="0" w:noHBand="0" w:noVBand="1"/>
      </w:tblPr>
      <w:tblGrid>
        <w:gridCol w:w="5129"/>
        <w:gridCol w:w="5129"/>
        <w:gridCol w:w="5130"/>
      </w:tblGrid>
      <w:tr w:rsidR="00B735F0" w:rsidRPr="00CE713D" w14:paraId="42055115" w14:textId="77777777" w:rsidTr="757ADDA4">
        <w:trPr>
          <w:tblHeader/>
        </w:trPr>
        <w:tc>
          <w:tcPr>
            <w:tcW w:w="5129" w:type="dxa"/>
          </w:tcPr>
          <w:p w14:paraId="0202A217" w14:textId="77777777" w:rsidR="00B735F0" w:rsidRPr="00CE713D" w:rsidRDefault="00B735F0">
            <w:pPr>
              <w:rPr>
                <w:b/>
                <w:bCs/>
              </w:rPr>
            </w:pPr>
            <w:r w:rsidRPr="00CE713D">
              <w:rPr>
                <w:b/>
                <w:bCs/>
              </w:rPr>
              <w:t>Action in the Disability Strategy</w:t>
            </w:r>
          </w:p>
        </w:tc>
        <w:tc>
          <w:tcPr>
            <w:tcW w:w="5129" w:type="dxa"/>
          </w:tcPr>
          <w:p w14:paraId="3A10FE7C" w14:textId="77777777" w:rsidR="00B735F0" w:rsidRPr="00CE713D" w:rsidRDefault="00B735F0">
            <w:pPr>
              <w:rPr>
                <w:b/>
                <w:bCs/>
              </w:rPr>
            </w:pPr>
            <w:r w:rsidRPr="00CE713D">
              <w:rPr>
                <w:b/>
                <w:bCs/>
              </w:rPr>
              <w:t>Evaluation by EDF</w:t>
            </w:r>
          </w:p>
        </w:tc>
        <w:tc>
          <w:tcPr>
            <w:tcW w:w="5130" w:type="dxa"/>
          </w:tcPr>
          <w:p w14:paraId="38FFA262" w14:textId="77777777" w:rsidR="00B735F0" w:rsidRPr="00CE713D" w:rsidRDefault="00B735F0">
            <w:pPr>
              <w:rPr>
                <w:b/>
                <w:bCs/>
              </w:rPr>
            </w:pPr>
            <w:r w:rsidRPr="00CE713D">
              <w:rPr>
                <w:b/>
                <w:bCs/>
              </w:rPr>
              <w:t>Priorities for implementation</w:t>
            </w:r>
          </w:p>
        </w:tc>
      </w:tr>
      <w:tr w:rsidR="00B735F0" w:rsidRPr="00CE713D" w14:paraId="186ED78D" w14:textId="77777777" w:rsidTr="757ADDA4">
        <w:tc>
          <w:tcPr>
            <w:tcW w:w="5129" w:type="dxa"/>
          </w:tcPr>
          <w:p w14:paraId="51F32DFF" w14:textId="035AD442" w:rsidR="00B735F0" w:rsidRPr="00CE713D" w:rsidRDefault="00B735F0" w:rsidP="00B735F0">
            <w:r w:rsidRPr="00CE713D">
              <w:t xml:space="preserve">initiative in cooperation with the World Health Organisation </w:t>
            </w:r>
            <w:r w:rsidR="007F33E9">
              <w:t>to</w:t>
            </w:r>
            <w:r w:rsidRPr="00CE713D">
              <w:t xml:space="preserve"> explore ways to improve the quality and accessibility of </w:t>
            </w:r>
            <w:r w:rsidRPr="00CE713D">
              <w:lastRenderedPageBreak/>
              <w:t>women’s healthcare, including for those with disabilities</w:t>
            </w:r>
            <w:r w:rsidR="00E33CDC">
              <w:t>.</w:t>
            </w:r>
          </w:p>
          <w:p w14:paraId="61047768" w14:textId="77777777" w:rsidR="00B735F0" w:rsidRPr="00CE713D" w:rsidRDefault="00B735F0"/>
        </w:tc>
        <w:tc>
          <w:tcPr>
            <w:tcW w:w="5129" w:type="dxa"/>
          </w:tcPr>
          <w:p w14:paraId="225A48CD" w14:textId="77777777" w:rsidR="00D41E37" w:rsidRDefault="00C972D2" w:rsidP="38BE3A47">
            <w:pPr>
              <w:rPr>
                <w:b/>
                <w:bCs/>
              </w:rPr>
            </w:pPr>
            <w:r w:rsidRPr="38BE3A47">
              <w:rPr>
                <w:b/>
                <w:bCs/>
              </w:rPr>
              <w:lastRenderedPageBreak/>
              <w:t>Neutral</w:t>
            </w:r>
            <w:r w:rsidR="00D670E4">
              <w:rPr>
                <w:b/>
                <w:bCs/>
              </w:rPr>
              <w:t>.</w:t>
            </w:r>
            <w:r w:rsidR="088E596B" w:rsidRPr="38BE3A47">
              <w:rPr>
                <w:b/>
                <w:bCs/>
              </w:rPr>
              <w:t xml:space="preserve"> </w:t>
            </w:r>
          </w:p>
          <w:p w14:paraId="0365B663" w14:textId="2B47897D" w:rsidR="00B735F0" w:rsidRPr="00CE713D" w:rsidRDefault="00747078" w:rsidP="00C972D2">
            <w:r w:rsidRPr="00747078">
              <w:t>I</w:t>
            </w:r>
            <w:r w:rsidR="088E596B" w:rsidRPr="00DC7FA1">
              <w:t xml:space="preserve">t is important that the Commission address access to healthcare by women </w:t>
            </w:r>
            <w:r w:rsidR="088E596B" w:rsidRPr="00DC7FA1">
              <w:lastRenderedPageBreak/>
              <w:t xml:space="preserve">with disabilities, however </w:t>
            </w:r>
            <w:r w:rsidR="00A45127">
              <w:t>t</w:t>
            </w:r>
            <w:r w:rsidR="25D5197A">
              <w:t>he action is also not clear.</w:t>
            </w:r>
          </w:p>
        </w:tc>
        <w:tc>
          <w:tcPr>
            <w:tcW w:w="5130" w:type="dxa"/>
          </w:tcPr>
          <w:p w14:paraId="7012B320" w14:textId="56995764" w:rsidR="00B735F0" w:rsidRPr="00CE713D" w:rsidRDefault="00616B10">
            <w:r>
              <w:lastRenderedPageBreak/>
              <w:t>E</w:t>
            </w:r>
            <w:r w:rsidR="37DD3FF5">
              <w:t xml:space="preserve">nsure explicit and targeted actions </w:t>
            </w:r>
            <w:r w:rsidR="009760A4">
              <w:t xml:space="preserve">in </w:t>
            </w:r>
            <w:r w:rsidR="37DD3FF5">
              <w:t xml:space="preserve">relation to women’s health for women with disabilities. It should include access </w:t>
            </w:r>
            <w:r w:rsidR="37DD3FF5">
              <w:lastRenderedPageBreak/>
              <w:t xml:space="preserve">to sexual and reproductive health and rights, based on autonomy and consent. </w:t>
            </w:r>
          </w:p>
        </w:tc>
      </w:tr>
      <w:tr w:rsidR="00B735F0" w:rsidRPr="00CE713D" w14:paraId="76551A2B" w14:textId="77777777" w:rsidTr="757ADDA4">
        <w:tc>
          <w:tcPr>
            <w:tcW w:w="5129" w:type="dxa"/>
          </w:tcPr>
          <w:p w14:paraId="1F745F2B" w14:textId="7656A87E" w:rsidR="00B735F0" w:rsidRPr="00CE713D" w:rsidRDefault="5F758191" w:rsidP="00B735F0">
            <w:r>
              <w:lastRenderedPageBreak/>
              <w:t>S</w:t>
            </w:r>
            <w:r w:rsidR="5007442F">
              <w:t>tudy on violence against women with disabilities in the EU</w:t>
            </w:r>
            <w:r w:rsidR="00E33CDC">
              <w:t>.</w:t>
            </w:r>
          </w:p>
          <w:p w14:paraId="6F4FF8B0" w14:textId="77777777" w:rsidR="00B735F0" w:rsidRPr="00CE713D" w:rsidRDefault="00B735F0"/>
        </w:tc>
        <w:tc>
          <w:tcPr>
            <w:tcW w:w="5129" w:type="dxa"/>
          </w:tcPr>
          <w:p w14:paraId="2B3B83C7" w14:textId="77777777" w:rsidR="001B39D6" w:rsidRDefault="107CB2A4">
            <w:r w:rsidRPr="00DC7FA1">
              <w:rPr>
                <w:b/>
                <w:bCs/>
              </w:rPr>
              <w:t>Positive</w:t>
            </w:r>
            <w:r w:rsidR="001B39D6">
              <w:rPr>
                <w:b/>
                <w:bCs/>
              </w:rPr>
              <w:t xml:space="preserve"> points:</w:t>
            </w:r>
            <w:r>
              <w:t xml:space="preserve"> </w:t>
            </w:r>
          </w:p>
          <w:p w14:paraId="1A24A53F" w14:textId="3C7DA2BB" w:rsidR="00B735F0" w:rsidRPr="00CE713D" w:rsidRDefault="001B39D6" w:rsidP="00EA5C76">
            <w:pPr>
              <w:pStyle w:val="ListParagraph"/>
              <w:numPr>
                <w:ilvl w:val="0"/>
                <w:numId w:val="30"/>
              </w:numPr>
            </w:pPr>
            <w:r>
              <w:t>T</w:t>
            </w:r>
            <w:r w:rsidR="107CB2A4">
              <w:t xml:space="preserve">hat such study will be conducted and adopted. </w:t>
            </w:r>
          </w:p>
          <w:p w14:paraId="10EE6767" w14:textId="1B80F542" w:rsidR="00B735F0" w:rsidRPr="00CE713D" w:rsidRDefault="107CB2A4">
            <w:r w:rsidRPr="00DC7FA1">
              <w:rPr>
                <w:b/>
                <w:bCs/>
              </w:rPr>
              <w:t>Negative</w:t>
            </w:r>
            <w:r>
              <w:t>:</w:t>
            </w:r>
          </w:p>
          <w:p w14:paraId="71F7CEBE" w14:textId="53BA8998" w:rsidR="00B735F0" w:rsidRPr="00CE713D" w:rsidRDefault="032EBACE" w:rsidP="00EA5C76">
            <w:pPr>
              <w:pStyle w:val="ListParagraph"/>
              <w:numPr>
                <w:ilvl w:val="0"/>
                <w:numId w:val="9"/>
              </w:numPr>
              <w:rPr>
                <w:szCs w:val="24"/>
              </w:rPr>
            </w:pPr>
            <w:r>
              <w:t xml:space="preserve">It </w:t>
            </w:r>
            <w:r w:rsidR="107CB2A4">
              <w:t xml:space="preserve">is </w:t>
            </w:r>
            <w:r w:rsidR="6D296A59">
              <w:t>disappointing</w:t>
            </w:r>
            <w:r w:rsidR="107CB2A4">
              <w:t xml:space="preserve"> that no other actions were included, and ther</w:t>
            </w:r>
            <w:r w:rsidR="6E2FE0D8">
              <w:t>e</w:t>
            </w:r>
            <w:r w:rsidR="107CB2A4">
              <w:t xml:space="preserve"> </w:t>
            </w:r>
            <w:r w:rsidR="0B92A6D1">
              <w:t>are</w:t>
            </w:r>
            <w:r w:rsidR="107CB2A4">
              <w:t xml:space="preserve"> no mentions to forced sterilisation, one of the key </w:t>
            </w:r>
            <w:r w:rsidR="00A45127">
              <w:t xml:space="preserve">campaigns </w:t>
            </w:r>
            <w:r w:rsidR="004E35DD">
              <w:t>of</w:t>
            </w:r>
            <w:r w:rsidR="107CB2A4">
              <w:t xml:space="preserve"> EDF</w:t>
            </w:r>
            <w:r w:rsidR="00616B10">
              <w:t>.</w:t>
            </w:r>
          </w:p>
          <w:p w14:paraId="6A04682E" w14:textId="0CF7E0ED" w:rsidR="00B735F0" w:rsidRPr="00CE713D" w:rsidRDefault="23234FFF" w:rsidP="00EA5C76">
            <w:pPr>
              <w:pStyle w:val="ListParagraph"/>
              <w:numPr>
                <w:ilvl w:val="0"/>
                <w:numId w:val="9"/>
              </w:numPr>
              <w:rPr>
                <w:szCs w:val="24"/>
              </w:rPr>
            </w:pPr>
            <w:r>
              <w:t>T</w:t>
            </w:r>
            <w:r w:rsidR="107CB2A4">
              <w:t xml:space="preserve">he Commission fails to ensure the inclusion of </w:t>
            </w:r>
            <w:r w:rsidR="004E35DD">
              <w:t>disability organisations</w:t>
            </w:r>
            <w:r w:rsidR="107CB2A4">
              <w:t xml:space="preserve"> in relevant </w:t>
            </w:r>
            <w:r w:rsidR="008161B7">
              <w:t>fora</w:t>
            </w:r>
            <w:r w:rsidR="107CB2A4">
              <w:t>, such as the network on the Istanbul Convention a</w:t>
            </w:r>
            <w:r w:rsidR="0633EEB5">
              <w:t xml:space="preserve">nd its network on prevention on violence against women. </w:t>
            </w:r>
          </w:p>
        </w:tc>
        <w:tc>
          <w:tcPr>
            <w:tcW w:w="5130" w:type="dxa"/>
          </w:tcPr>
          <w:p w14:paraId="77888EAF" w14:textId="35DE3166" w:rsidR="00B735F0" w:rsidRPr="00CE713D" w:rsidRDefault="107CB2A4" w:rsidP="00EA5C76">
            <w:pPr>
              <w:pStyle w:val="ListParagraph"/>
              <w:numPr>
                <w:ilvl w:val="0"/>
                <w:numId w:val="9"/>
              </w:numPr>
            </w:pPr>
            <w:r>
              <w:t xml:space="preserve">The study should include forced sterilisation of women with disabilities. </w:t>
            </w:r>
          </w:p>
          <w:p w14:paraId="37529B54" w14:textId="0A9EAE0E" w:rsidR="00B735F0" w:rsidRDefault="062FDDEF" w:rsidP="00EA5C76">
            <w:pPr>
              <w:pStyle w:val="ListParagraph"/>
              <w:numPr>
                <w:ilvl w:val="0"/>
                <w:numId w:val="9"/>
              </w:numPr>
            </w:pPr>
            <w:r>
              <w:t xml:space="preserve">It should be used for the implementation of the Directive on violence against women and Istanbul Convention, and for </w:t>
            </w:r>
            <w:r w:rsidR="6A300545">
              <w:t>future</w:t>
            </w:r>
            <w:r>
              <w:t xml:space="preserve"> revision of the Directive. </w:t>
            </w:r>
          </w:p>
          <w:p w14:paraId="461D8A72" w14:textId="5C7FF161" w:rsidR="009E25D9" w:rsidRPr="00CE713D" w:rsidRDefault="003C3879" w:rsidP="00EA5C76">
            <w:pPr>
              <w:pStyle w:val="ListParagraph"/>
              <w:numPr>
                <w:ilvl w:val="0"/>
                <w:numId w:val="9"/>
              </w:numPr>
            </w:pPr>
            <w:r>
              <w:t>Inclusion of</w:t>
            </w:r>
            <w:r w:rsidR="009E25D9">
              <w:t xml:space="preserve"> </w:t>
            </w:r>
            <w:r w:rsidR="00D90889">
              <w:t xml:space="preserve">representative organisations of persons with disabilities in relevant </w:t>
            </w:r>
            <w:r w:rsidR="00BD3A47">
              <w:t xml:space="preserve">expert groups </w:t>
            </w:r>
            <w:r w:rsidR="00E33CDC">
              <w:t>focused on violence against women.</w:t>
            </w:r>
          </w:p>
        </w:tc>
      </w:tr>
    </w:tbl>
    <w:p w14:paraId="3B631091" w14:textId="77777777" w:rsidR="007C5ECD" w:rsidRPr="00CE713D" w:rsidRDefault="007C5ECD" w:rsidP="00465371"/>
    <w:p w14:paraId="6AA6DA3E" w14:textId="77777777" w:rsidR="007C5ECD" w:rsidRPr="00CE713D" w:rsidRDefault="007C5ECD" w:rsidP="00002939">
      <w:pPr>
        <w:pStyle w:val="Heading3"/>
      </w:pPr>
      <w:r w:rsidRPr="00CE713D">
        <w:t>Ensuring equal access to justice, legal protection and safety</w:t>
      </w:r>
    </w:p>
    <w:tbl>
      <w:tblPr>
        <w:tblStyle w:val="TableGrid"/>
        <w:tblW w:w="0" w:type="auto"/>
        <w:tblLook w:val="04A0" w:firstRow="1" w:lastRow="0" w:firstColumn="1" w:lastColumn="0" w:noHBand="0" w:noVBand="1"/>
      </w:tblPr>
      <w:tblGrid>
        <w:gridCol w:w="5129"/>
        <w:gridCol w:w="5129"/>
        <w:gridCol w:w="5130"/>
      </w:tblGrid>
      <w:tr w:rsidR="00B735F0" w:rsidRPr="00CE713D" w14:paraId="08895D3E" w14:textId="77777777" w:rsidTr="757ADDA4">
        <w:trPr>
          <w:tblHeader/>
        </w:trPr>
        <w:tc>
          <w:tcPr>
            <w:tcW w:w="5129" w:type="dxa"/>
          </w:tcPr>
          <w:p w14:paraId="5B8E841E" w14:textId="77777777" w:rsidR="00B735F0" w:rsidRPr="00CE713D" w:rsidRDefault="00B735F0">
            <w:pPr>
              <w:rPr>
                <w:b/>
                <w:bCs/>
              </w:rPr>
            </w:pPr>
            <w:r w:rsidRPr="00CE713D">
              <w:rPr>
                <w:b/>
                <w:bCs/>
              </w:rPr>
              <w:t>Action in the Disability Strategy</w:t>
            </w:r>
          </w:p>
        </w:tc>
        <w:tc>
          <w:tcPr>
            <w:tcW w:w="5129" w:type="dxa"/>
          </w:tcPr>
          <w:p w14:paraId="056F5030" w14:textId="77777777" w:rsidR="00B735F0" w:rsidRPr="00CE713D" w:rsidRDefault="00B735F0">
            <w:pPr>
              <w:rPr>
                <w:b/>
                <w:bCs/>
              </w:rPr>
            </w:pPr>
            <w:r w:rsidRPr="00CE713D">
              <w:rPr>
                <w:b/>
                <w:bCs/>
              </w:rPr>
              <w:t>Evaluation by EDF</w:t>
            </w:r>
          </w:p>
        </w:tc>
        <w:tc>
          <w:tcPr>
            <w:tcW w:w="5130" w:type="dxa"/>
          </w:tcPr>
          <w:p w14:paraId="1A63FA63" w14:textId="77777777" w:rsidR="00B735F0" w:rsidRPr="00CE713D" w:rsidRDefault="00B735F0">
            <w:pPr>
              <w:rPr>
                <w:b/>
                <w:bCs/>
              </w:rPr>
            </w:pPr>
            <w:r w:rsidRPr="00CE713D">
              <w:rPr>
                <w:b/>
                <w:bCs/>
              </w:rPr>
              <w:t>Priorities for implementation</w:t>
            </w:r>
          </w:p>
        </w:tc>
      </w:tr>
      <w:tr w:rsidR="00B735F0" w:rsidRPr="00CE713D" w14:paraId="39F69DCF" w14:textId="77777777" w:rsidTr="757ADDA4">
        <w:tc>
          <w:tcPr>
            <w:tcW w:w="5129" w:type="dxa"/>
          </w:tcPr>
          <w:p w14:paraId="2EAE76FD" w14:textId="7BA16FE3" w:rsidR="00B735F0" w:rsidRPr="00CE713D" w:rsidRDefault="00B735F0" w:rsidP="00B735F0">
            <w:r w:rsidRPr="00CE713D">
              <w:t xml:space="preserve">Victims with disabilities </w:t>
            </w:r>
            <w:r w:rsidR="007F33E9">
              <w:t>to</w:t>
            </w:r>
            <w:r w:rsidRPr="00CE713D">
              <w:t xml:space="preserve"> be further protected and supported through </w:t>
            </w:r>
            <w:r w:rsidR="00AA7CD8">
              <w:t xml:space="preserve">(…) </w:t>
            </w:r>
            <w:r w:rsidR="00AA7CD8" w:rsidRPr="00AA7CD8">
              <w:t>the upcoming EU strategy on victims’ rights</w:t>
            </w:r>
            <w:r w:rsidR="00616B10">
              <w:t>.</w:t>
            </w:r>
          </w:p>
          <w:p w14:paraId="18CACC9F" w14:textId="77777777" w:rsidR="00B735F0" w:rsidRPr="00CE713D" w:rsidRDefault="00B735F0"/>
        </w:tc>
        <w:tc>
          <w:tcPr>
            <w:tcW w:w="5129" w:type="dxa"/>
          </w:tcPr>
          <w:p w14:paraId="72D947A3" w14:textId="77777777" w:rsidR="00D41E37" w:rsidRDefault="007E7F4E">
            <w:r>
              <w:rPr>
                <w:b/>
                <w:bCs/>
              </w:rPr>
              <w:t>Neutral</w:t>
            </w:r>
            <w:r w:rsidR="00B73564">
              <w:rPr>
                <w:b/>
                <w:bCs/>
              </w:rPr>
              <w:t>.</w:t>
            </w:r>
            <w:r w:rsidR="76B84F70">
              <w:t xml:space="preserve"> </w:t>
            </w:r>
          </w:p>
          <w:p w14:paraId="3718B2F9" w14:textId="149E2F0E" w:rsidR="00B735F0" w:rsidRPr="00CE713D" w:rsidRDefault="00D41E37">
            <w:r>
              <w:t>N</w:t>
            </w:r>
            <w:r w:rsidR="007E7F4E">
              <w:t>ot new. A</w:t>
            </w:r>
            <w:r w:rsidR="4BD18716">
              <w:t xml:space="preserve"> new Victims’ rights strategy is needed for the implementation of the revised directive, and to address remaining gaps in protection of victims’ rights in the EU. </w:t>
            </w:r>
          </w:p>
        </w:tc>
        <w:tc>
          <w:tcPr>
            <w:tcW w:w="5130" w:type="dxa"/>
          </w:tcPr>
          <w:p w14:paraId="6DE169B6" w14:textId="77777777" w:rsidR="00616B10" w:rsidRDefault="76B84F70">
            <w:r>
              <w:t>EDF will provide more details demands in the preparation of the new victims’ rights strategy. The focus should be on the implementation of the revised Directive, and furthering aw</w:t>
            </w:r>
            <w:r w:rsidR="14AA504F">
              <w:t>areness raising and training of professionals.</w:t>
            </w:r>
          </w:p>
          <w:p w14:paraId="4996D1AC" w14:textId="335C1013" w:rsidR="00B735F0" w:rsidRPr="00CE713D" w:rsidRDefault="14AA504F">
            <w:r>
              <w:t xml:space="preserve"> </w:t>
            </w:r>
          </w:p>
        </w:tc>
      </w:tr>
      <w:tr w:rsidR="00B735F0" w:rsidRPr="00CE713D" w14:paraId="6497DCDF" w14:textId="77777777" w:rsidTr="757ADDA4">
        <w:tc>
          <w:tcPr>
            <w:tcW w:w="5129" w:type="dxa"/>
          </w:tcPr>
          <w:p w14:paraId="76F5F0D2" w14:textId="5F8B1DA4" w:rsidR="00B735F0" w:rsidRPr="00CE713D" w:rsidRDefault="007F33E9" w:rsidP="00B735F0">
            <w:r>
              <w:lastRenderedPageBreak/>
              <w:t>G</w:t>
            </w:r>
            <w:r w:rsidR="00B735F0" w:rsidRPr="00CE713D">
              <w:t>uidelines on procedural accommodation for all victims with disabilities</w:t>
            </w:r>
            <w:r w:rsidR="00AB4C9D">
              <w:t>.</w:t>
            </w:r>
          </w:p>
          <w:p w14:paraId="6FB13E42" w14:textId="77777777" w:rsidR="00B735F0" w:rsidRPr="00CE713D" w:rsidRDefault="00B735F0"/>
        </w:tc>
        <w:tc>
          <w:tcPr>
            <w:tcW w:w="5129" w:type="dxa"/>
          </w:tcPr>
          <w:p w14:paraId="385A2BEE" w14:textId="77777777" w:rsidR="00866216" w:rsidRDefault="1187F6D0">
            <w:r w:rsidRPr="00DC7FA1">
              <w:rPr>
                <w:b/>
                <w:bCs/>
              </w:rPr>
              <w:t>Very positive</w:t>
            </w:r>
            <w:r w:rsidR="00FB4B8F">
              <w:rPr>
                <w:b/>
                <w:bCs/>
              </w:rPr>
              <w:t>.</w:t>
            </w:r>
            <w:r>
              <w:t xml:space="preserve"> </w:t>
            </w:r>
          </w:p>
          <w:p w14:paraId="7DAE677A" w14:textId="701D8A93" w:rsidR="00B735F0" w:rsidRPr="00CE713D" w:rsidRDefault="00866216">
            <w:r>
              <w:t>A</w:t>
            </w:r>
            <w:r w:rsidR="1187F6D0">
              <w:t xml:space="preserve"> demand from EDF. </w:t>
            </w:r>
          </w:p>
        </w:tc>
        <w:tc>
          <w:tcPr>
            <w:tcW w:w="5130" w:type="dxa"/>
          </w:tcPr>
          <w:p w14:paraId="06C295AA" w14:textId="77777777" w:rsidR="00616B10" w:rsidRDefault="1187F6D0">
            <w:r>
              <w:t>Adoption of detailed guidelines on procedural accommodations to support EU</w:t>
            </w:r>
            <w:r w:rsidR="00AB4C9D">
              <w:t xml:space="preserve"> Member States</w:t>
            </w:r>
            <w:r>
              <w:t xml:space="preserve"> in transposing</w:t>
            </w:r>
            <w:r w:rsidR="00AB4C9D">
              <w:t xml:space="preserve"> and implementing</w:t>
            </w:r>
            <w:r>
              <w:t xml:space="preserve"> the revised Victims’ Rights Directive.</w:t>
            </w:r>
          </w:p>
          <w:p w14:paraId="26C4BD1E" w14:textId="7B4E5292" w:rsidR="00B735F0" w:rsidRPr="00CE713D" w:rsidRDefault="1187F6D0">
            <w:r>
              <w:t xml:space="preserve"> </w:t>
            </w:r>
          </w:p>
        </w:tc>
      </w:tr>
      <w:tr w:rsidR="00B735F0" w:rsidRPr="00CE713D" w14:paraId="7A22DB73" w14:textId="77777777" w:rsidTr="757ADDA4">
        <w:tc>
          <w:tcPr>
            <w:tcW w:w="5129" w:type="dxa"/>
          </w:tcPr>
          <w:p w14:paraId="75F37020" w14:textId="77777777" w:rsidR="00B735F0" w:rsidRPr="00CE713D" w:rsidRDefault="00B735F0" w:rsidP="00B735F0">
            <w:r w:rsidRPr="00CE713D">
              <w:t>Review of the European Investigation Order Directive to seek to enable remote participation in criminal court hearings, including of persons with disabilities, from another Member State via accessible videoconference technology, ensuring the necessary procedural safeguards.</w:t>
            </w:r>
          </w:p>
          <w:p w14:paraId="310140F6" w14:textId="77777777" w:rsidR="00B735F0" w:rsidRPr="00CE713D" w:rsidRDefault="00B735F0"/>
        </w:tc>
        <w:tc>
          <w:tcPr>
            <w:tcW w:w="5129" w:type="dxa"/>
          </w:tcPr>
          <w:p w14:paraId="118838EE" w14:textId="66639F4E" w:rsidR="00866216" w:rsidRDefault="00B75F32">
            <w:r>
              <w:rPr>
                <w:b/>
                <w:bCs/>
              </w:rPr>
              <w:t>Positive</w:t>
            </w:r>
            <w:r w:rsidR="00FB4B8F">
              <w:rPr>
                <w:b/>
                <w:bCs/>
              </w:rPr>
              <w:t>.</w:t>
            </w:r>
            <w:r w:rsidR="0136196D">
              <w:t xml:space="preserve"> </w:t>
            </w:r>
          </w:p>
          <w:p w14:paraId="7A3028E7" w14:textId="76540D1E" w:rsidR="00B735F0" w:rsidRDefault="00FB4B8F">
            <w:r>
              <w:t>T</w:t>
            </w:r>
            <w:r w:rsidR="004D2F79">
              <w:t xml:space="preserve">he revision of this Directive </w:t>
            </w:r>
            <w:r w:rsidR="0136196D">
              <w:t>could positively impact persons with disabilities.</w:t>
            </w:r>
          </w:p>
          <w:p w14:paraId="1825F111" w14:textId="587EAA06" w:rsidR="00BE794E" w:rsidRPr="00CE713D" w:rsidRDefault="00BE794E"/>
        </w:tc>
        <w:tc>
          <w:tcPr>
            <w:tcW w:w="5130" w:type="dxa"/>
          </w:tcPr>
          <w:p w14:paraId="116AE20E" w14:textId="677E8939" w:rsidR="00B735F0" w:rsidRPr="00CE713D" w:rsidRDefault="003C3879">
            <w:r>
              <w:t xml:space="preserve">Include a </w:t>
            </w:r>
            <w:r w:rsidR="00224A4E">
              <w:t xml:space="preserve">binding provision of </w:t>
            </w:r>
            <w:r w:rsidR="0136196D">
              <w:t>accessibility for remote participation</w:t>
            </w:r>
            <w:r w:rsidR="00224A4E">
              <w:t xml:space="preserve"> of persons </w:t>
            </w:r>
            <w:proofErr w:type="spellStart"/>
            <w:r w:rsidR="00224A4E">
              <w:t>ith</w:t>
            </w:r>
            <w:proofErr w:type="spellEnd"/>
            <w:r w:rsidR="00224A4E">
              <w:t xml:space="preserve"> disabilities</w:t>
            </w:r>
            <w:r w:rsidR="76960540">
              <w:t xml:space="preserve">, and safeguards to ensure </w:t>
            </w:r>
            <w:r w:rsidR="35A0CCAB">
              <w:t>fundamental</w:t>
            </w:r>
            <w:r w:rsidR="76960540">
              <w:t xml:space="preserve"> rights</w:t>
            </w:r>
            <w:r w:rsidR="003D7C8D">
              <w:t xml:space="preserve"> in the Directive</w:t>
            </w:r>
            <w:r w:rsidR="76960540">
              <w:t xml:space="preserve">. </w:t>
            </w:r>
          </w:p>
          <w:p w14:paraId="6AD1899F" w14:textId="6A260E55" w:rsidR="00B735F0" w:rsidRPr="00CE713D" w:rsidRDefault="00B735F0"/>
          <w:p w14:paraId="029DC889" w14:textId="2C99FEC5" w:rsidR="00B735F0" w:rsidRPr="00CE713D" w:rsidRDefault="00B735F0"/>
        </w:tc>
      </w:tr>
      <w:tr w:rsidR="00B735F0" w:rsidRPr="00CE713D" w14:paraId="4AFE1614" w14:textId="77777777" w:rsidTr="757ADDA4">
        <w:tc>
          <w:tcPr>
            <w:tcW w:w="5129" w:type="dxa"/>
          </w:tcPr>
          <w:p w14:paraId="2649C703" w14:textId="3B9E7D32" w:rsidR="00B735F0" w:rsidRPr="00CE713D" w:rsidRDefault="00EB20E6">
            <w:r>
              <w:t>I</w:t>
            </w:r>
            <w:r w:rsidR="00B735F0" w:rsidRPr="00CE713D">
              <w:t>ncrease the frequency of reporting on disability issues in the EU Justice Scoreboard</w:t>
            </w:r>
            <w:r w:rsidR="00A42BE0">
              <w:t>.</w:t>
            </w:r>
          </w:p>
        </w:tc>
        <w:tc>
          <w:tcPr>
            <w:tcW w:w="5129" w:type="dxa"/>
          </w:tcPr>
          <w:p w14:paraId="20BABE33" w14:textId="77777777" w:rsidR="00866216" w:rsidRDefault="7A32FB11">
            <w:r w:rsidRPr="00DC7FA1">
              <w:rPr>
                <w:b/>
                <w:bCs/>
              </w:rPr>
              <w:t>Positive</w:t>
            </w:r>
            <w:r w:rsidR="00FB4B8F">
              <w:rPr>
                <w:b/>
                <w:bCs/>
              </w:rPr>
              <w:t>.</w:t>
            </w:r>
            <w:r>
              <w:t xml:space="preserve"> </w:t>
            </w:r>
          </w:p>
          <w:p w14:paraId="77648EC9" w14:textId="2D333666" w:rsidR="00B735F0" w:rsidRPr="00CE713D" w:rsidRDefault="00866216">
            <w:r>
              <w:t>T</w:t>
            </w:r>
            <w:r w:rsidR="7A32FB11">
              <w:t xml:space="preserve">his </w:t>
            </w:r>
            <w:r w:rsidR="008124D8">
              <w:t>will facilitate monitoring of inclusion in the national justice systems</w:t>
            </w:r>
            <w:r w:rsidR="7A32FB11">
              <w:t xml:space="preserve">. </w:t>
            </w:r>
          </w:p>
        </w:tc>
        <w:tc>
          <w:tcPr>
            <w:tcW w:w="5130" w:type="dxa"/>
          </w:tcPr>
          <w:p w14:paraId="67C6A6E9" w14:textId="7657CE82" w:rsidR="00B735F0" w:rsidRPr="00CE713D" w:rsidRDefault="008124D8">
            <w:r>
              <w:t>Advocate for y</w:t>
            </w:r>
            <w:r w:rsidR="7A32FB11">
              <w:t xml:space="preserve">early reporting on disability issues in access to justice through the Scorecard. It could for example look at procedural accommodation available for persons with disabilities. </w:t>
            </w:r>
          </w:p>
        </w:tc>
      </w:tr>
      <w:tr w:rsidR="00B735F0" w:rsidRPr="00CE713D" w14:paraId="46FB277B" w14:textId="77777777" w:rsidTr="757ADDA4">
        <w:tc>
          <w:tcPr>
            <w:tcW w:w="5129" w:type="dxa"/>
          </w:tcPr>
          <w:p w14:paraId="03D21412" w14:textId="4DF84D2B" w:rsidR="00B735F0" w:rsidRPr="00CE713D" w:rsidRDefault="00EB20E6" w:rsidP="00B735F0">
            <w:r>
              <w:t>S</w:t>
            </w:r>
            <w:r w:rsidR="00B735F0" w:rsidRPr="00CE713D">
              <w:t>upport Member States’ implementation of the upcoming Regulation on cross-border protection of vulnerable adults, promoting application in full compliance with the UNCRPD</w:t>
            </w:r>
          </w:p>
          <w:p w14:paraId="36196528" w14:textId="77777777" w:rsidR="00B735F0" w:rsidRPr="00CE713D" w:rsidRDefault="00B735F0" w:rsidP="00B735F0"/>
        </w:tc>
        <w:tc>
          <w:tcPr>
            <w:tcW w:w="5129" w:type="dxa"/>
          </w:tcPr>
          <w:p w14:paraId="4AD32D9C" w14:textId="77777777" w:rsidR="00866216" w:rsidRDefault="00EC28C3">
            <w:r>
              <w:rPr>
                <w:b/>
                <w:bCs/>
              </w:rPr>
              <w:t>Neutral</w:t>
            </w:r>
            <w:r w:rsidR="00FB4B8F">
              <w:rPr>
                <w:b/>
                <w:bCs/>
              </w:rPr>
              <w:t>.</w:t>
            </w:r>
            <w:r w:rsidR="3DA1E7FB">
              <w:t xml:space="preserve"> </w:t>
            </w:r>
          </w:p>
          <w:p w14:paraId="074A6DF3" w14:textId="371F6785" w:rsidR="00B735F0" w:rsidRPr="00CE713D" w:rsidRDefault="001A2F38">
            <w:r>
              <w:t xml:space="preserve">It is not clear how the Commission will support </w:t>
            </w:r>
            <w:r w:rsidR="000B1DBD">
              <w:t>the application of the Directive in line with the CRPD</w:t>
            </w:r>
            <w:r w:rsidR="3DA1E7FB">
              <w:t xml:space="preserve">. </w:t>
            </w:r>
          </w:p>
        </w:tc>
        <w:tc>
          <w:tcPr>
            <w:tcW w:w="5130" w:type="dxa"/>
          </w:tcPr>
          <w:p w14:paraId="60E6F7DC" w14:textId="77777777" w:rsidR="00B75F32" w:rsidRDefault="00C923B4">
            <w:r>
              <w:t xml:space="preserve">Monitor </w:t>
            </w:r>
            <w:r w:rsidR="3DA1E7FB">
              <w:t>that the European Commission only promote measures that comply with the CRPD</w:t>
            </w:r>
            <w:r>
              <w:t xml:space="preserve">, as there is the risk that some measures that do not comply with the Convention, will be presented as such, </w:t>
            </w:r>
            <w:r w:rsidR="00922411">
              <w:t xml:space="preserve">in which case </w:t>
            </w:r>
            <w:r w:rsidR="00E32983">
              <w:t>an infringement procedure should be launched</w:t>
            </w:r>
            <w:r w:rsidR="00B75F32">
              <w:t xml:space="preserve"> by the Commission</w:t>
            </w:r>
            <w:r>
              <w:t>.</w:t>
            </w:r>
          </w:p>
          <w:p w14:paraId="4D68C284" w14:textId="1CED912C" w:rsidR="00B735F0" w:rsidRPr="00CE713D" w:rsidRDefault="00C923B4">
            <w:r>
              <w:t xml:space="preserve">  </w:t>
            </w:r>
            <w:r w:rsidR="3DA1E7FB">
              <w:t xml:space="preserve"> </w:t>
            </w:r>
          </w:p>
        </w:tc>
      </w:tr>
      <w:tr w:rsidR="00B735F0" w:rsidRPr="00CE713D" w14:paraId="0C67E9FF" w14:textId="77777777" w:rsidTr="757ADDA4">
        <w:tc>
          <w:tcPr>
            <w:tcW w:w="5129" w:type="dxa"/>
          </w:tcPr>
          <w:p w14:paraId="6C7CC9F9" w14:textId="49A01995" w:rsidR="00B735F0" w:rsidRPr="00CE713D" w:rsidRDefault="00EB20E6" w:rsidP="00B735F0">
            <w:r>
              <w:t>P</w:t>
            </w:r>
            <w:r w:rsidR="00B735F0" w:rsidRPr="00CE713D">
              <w:t xml:space="preserve">ublish a study on decision-making regimes and legal capacity legislation in </w:t>
            </w:r>
            <w:r w:rsidR="00B735F0" w:rsidRPr="00CE713D">
              <w:lastRenderedPageBreak/>
              <w:t>the Member States, showcasing supported decision-making approaches to encourage self-determination of persons with intellectual, mental and psycho-social disabilities.</w:t>
            </w:r>
          </w:p>
          <w:p w14:paraId="2C26783F" w14:textId="77777777" w:rsidR="00B735F0" w:rsidRPr="00CE713D" w:rsidRDefault="00B735F0" w:rsidP="00B735F0"/>
        </w:tc>
        <w:tc>
          <w:tcPr>
            <w:tcW w:w="5129" w:type="dxa"/>
          </w:tcPr>
          <w:p w14:paraId="14C1C140" w14:textId="17BF9994" w:rsidR="00DC527B" w:rsidRDefault="00BA18D8">
            <w:r>
              <w:rPr>
                <w:b/>
                <w:bCs/>
              </w:rPr>
              <w:lastRenderedPageBreak/>
              <w:t>Very p</w:t>
            </w:r>
            <w:r w:rsidR="66611AD9" w:rsidRPr="00DC7FA1">
              <w:rPr>
                <w:b/>
                <w:bCs/>
              </w:rPr>
              <w:t>ositive</w:t>
            </w:r>
            <w:r w:rsidR="00DC527B">
              <w:rPr>
                <w:b/>
                <w:bCs/>
              </w:rPr>
              <w:t>:</w:t>
            </w:r>
            <w:r w:rsidR="66611AD9">
              <w:t xml:space="preserve"> </w:t>
            </w:r>
          </w:p>
          <w:p w14:paraId="2977833A" w14:textId="0330A65F" w:rsidR="00B735F0" w:rsidRPr="00CE713D" w:rsidRDefault="66611AD9" w:rsidP="00EA5C76">
            <w:pPr>
              <w:pStyle w:val="ListParagraph"/>
              <w:numPr>
                <w:ilvl w:val="0"/>
                <w:numId w:val="30"/>
              </w:numPr>
            </w:pPr>
            <w:r>
              <w:lastRenderedPageBreak/>
              <w:t xml:space="preserve">EDF has been called for </w:t>
            </w:r>
            <w:r w:rsidR="224E5E01">
              <w:t xml:space="preserve">the adoption of </w:t>
            </w:r>
            <w:r>
              <w:t>such study</w:t>
            </w:r>
            <w:r w:rsidR="00BA18D8">
              <w:t xml:space="preserve"> which could support </w:t>
            </w:r>
            <w:r w:rsidR="00A64CF2">
              <w:t xml:space="preserve">implementation of </w:t>
            </w:r>
            <w:r w:rsidR="00B958D3">
              <w:t>legal reforms in support of legal capacity</w:t>
            </w:r>
            <w:r>
              <w:t xml:space="preserve">. </w:t>
            </w:r>
          </w:p>
          <w:p w14:paraId="6959558C" w14:textId="4E496E66" w:rsidR="00B735F0" w:rsidRPr="00CE713D" w:rsidRDefault="3658C2BD">
            <w:r w:rsidRPr="00DC7FA1">
              <w:rPr>
                <w:b/>
                <w:bCs/>
              </w:rPr>
              <w:t>Negative</w:t>
            </w:r>
            <w:r w:rsidR="10D4CD44" w:rsidRPr="757ADDA4">
              <w:rPr>
                <w:b/>
                <w:bCs/>
              </w:rPr>
              <w:t xml:space="preserve"> points</w:t>
            </w:r>
            <w:r>
              <w:t xml:space="preserve">: </w:t>
            </w:r>
          </w:p>
          <w:p w14:paraId="3F01155E" w14:textId="4FB9D578" w:rsidR="00B735F0" w:rsidRPr="00CE713D" w:rsidRDefault="00F60D38" w:rsidP="00EA5C76">
            <w:pPr>
              <w:pStyle w:val="ListParagraph"/>
              <w:numPr>
                <w:ilvl w:val="0"/>
                <w:numId w:val="8"/>
              </w:numPr>
            </w:pPr>
            <w:r>
              <w:t>Not a strong political instrument.</w:t>
            </w:r>
          </w:p>
          <w:p w14:paraId="19A6976B" w14:textId="77777777" w:rsidR="00B735F0" w:rsidRDefault="09F59E88" w:rsidP="00EA5C76">
            <w:pPr>
              <w:pStyle w:val="ListParagraph"/>
              <w:numPr>
                <w:ilvl w:val="0"/>
                <w:numId w:val="8"/>
              </w:numPr>
            </w:pPr>
            <w:r>
              <w:t>T</w:t>
            </w:r>
            <w:r w:rsidR="3658C2BD">
              <w:t xml:space="preserve">he reference to “mental” disability. Not clear which group the </w:t>
            </w:r>
            <w:r w:rsidR="00F60D38">
              <w:t>C</w:t>
            </w:r>
            <w:r w:rsidR="3658C2BD">
              <w:t xml:space="preserve">ommission </w:t>
            </w:r>
            <w:r w:rsidR="00F60D38">
              <w:t>refers</w:t>
            </w:r>
            <w:r w:rsidR="3658C2BD">
              <w:t xml:space="preserve">. </w:t>
            </w:r>
          </w:p>
          <w:p w14:paraId="5ADFC534" w14:textId="3E041E69" w:rsidR="00CF040B" w:rsidRPr="00CE713D" w:rsidRDefault="00CF040B" w:rsidP="00CF040B">
            <w:pPr>
              <w:pStyle w:val="ListParagraph"/>
            </w:pPr>
          </w:p>
        </w:tc>
        <w:tc>
          <w:tcPr>
            <w:tcW w:w="5130" w:type="dxa"/>
          </w:tcPr>
          <w:p w14:paraId="559D3E32" w14:textId="3F0F8786" w:rsidR="00B735F0" w:rsidRPr="00CE713D" w:rsidRDefault="66611AD9">
            <w:r>
              <w:lastRenderedPageBreak/>
              <w:t xml:space="preserve">The study should be conducted by, or with active involvements of </w:t>
            </w:r>
            <w:r>
              <w:lastRenderedPageBreak/>
              <w:t xml:space="preserve">organisations of persons with disabilities and services providers. It should lead to presentation and peer exchange with </w:t>
            </w:r>
            <w:r w:rsidR="00F16630">
              <w:t xml:space="preserve">Member States </w:t>
            </w:r>
            <w:r>
              <w:t>and pave the way to the adoption of an EU Rec</w:t>
            </w:r>
            <w:r w:rsidR="1C22DB34">
              <w:t xml:space="preserve">ommendation on the topic. </w:t>
            </w:r>
          </w:p>
        </w:tc>
      </w:tr>
      <w:tr w:rsidR="00B735F0" w:rsidRPr="00CE713D" w14:paraId="08998F8F" w14:textId="77777777" w:rsidTr="757ADDA4">
        <w:tc>
          <w:tcPr>
            <w:tcW w:w="5129" w:type="dxa"/>
          </w:tcPr>
          <w:p w14:paraId="248F78A4" w14:textId="72D250C9" w:rsidR="00B735F0" w:rsidRPr="00CE713D" w:rsidRDefault="00B735F0" w:rsidP="00B735F0">
            <w:r w:rsidRPr="00CE713D">
              <w:lastRenderedPageBreak/>
              <w:t>Consider legislation based on the existing areas of crime covered by Article 83(1) of TFEU to harmonise the definition of hate offences committed online and possibly include public incitement to violence or hatred online on grounds not currently covered by EU law, such as disability.</w:t>
            </w:r>
          </w:p>
          <w:p w14:paraId="09888959" w14:textId="77777777" w:rsidR="00B735F0" w:rsidRPr="00CE713D" w:rsidRDefault="00B735F0" w:rsidP="00B735F0"/>
        </w:tc>
        <w:tc>
          <w:tcPr>
            <w:tcW w:w="5129" w:type="dxa"/>
          </w:tcPr>
          <w:p w14:paraId="03EE119F" w14:textId="77777777" w:rsidR="00DC527B" w:rsidRDefault="1920C884" w:rsidP="38BE3A47">
            <w:r w:rsidRPr="00DC7FA1">
              <w:rPr>
                <w:b/>
                <w:bCs/>
              </w:rPr>
              <w:t>Positive</w:t>
            </w:r>
            <w:r w:rsidR="00DC527B">
              <w:rPr>
                <w:b/>
                <w:bCs/>
              </w:rPr>
              <w:t xml:space="preserve"> points.</w:t>
            </w:r>
            <w:r>
              <w:t xml:space="preserve"> </w:t>
            </w:r>
          </w:p>
          <w:p w14:paraId="21E20CB3" w14:textId="68F1D883" w:rsidR="38BE3A47" w:rsidRDefault="1920C884" w:rsidP="00EA5C76">
            <w:pPr>
              <w:pStyle w:val="ListParagraph"/>
              <w:numPr>
                <w:ilvl w:val="0"/>
                <w:numId w:val="30"/>
              </w:numPr>
            </w:pPr>
            <w:r>
              <w:t xml:space="preserve">EDF has been calling for further action to address hate speech and hate crime faced by persons with disabilities. </w:t>
            </w:r>
          </w:p>
          <w:p w14:paraId="0FFB68A0" w14:textId="77777777" w:rsidR="00DC527B" w:rsidRDefault="00F16630" w:rsidP="757ADDA4">
            <w:pPr>
              <w:rPr>
                <w:b/>
                <w:bCs/>
              </w:rPr>
            </w:pPr>
            <w:r>
              <w:rPr>
                <w:b/>
                <w:bCs/>
              </w:rPr>
              <w:t>Neutral</w:t>
            </w:r>
            <w:r w:rsidR="00DC527B">
              <w:rPr>
                <w:b/>
                <w:bCs/>
              </w:rPr>
              <w:t xml:space="preserve"> points</w:t>
            </w:r>
            <w:r>
              <w:rPr>
                <w:b/>
                <w:bCs/>
              </w:rPr>
              <w:t xml:space="preserve">: </w:t>
            </w:r>
          </w:p>
          <w:p w14:paraId="04B9ABFD" w14:textId="77777777" w:rsidR="00CF040B" w:rsidRDefault="00DC527B" w:rsidP="00EA5C76">
            <w:pPr>
              <w:pStyle w:val="ListParagraph"/>
              <w:numPr>
                <w:ilvl w:val="0"/>
                <w:numId w:val="30"/>
              </w:numPr>
              <w:rPr>
                <w:rFonts w:eastAsia="Verdana" w:cs="Verdana"/>
              </w:rPr>
            </w:pPr>
            <w:r>
              <w:t>N</w:t>
            </w:r>
            <w:r w:rsidR="00F16630">
              <w:t>ot new</w:t>
            </w:r>
            <w:r w:rsidR="00F16630" w:rsidRPr="00DC527B">
              <w:rPr>
                <w:rFonts w:eastAsia="Verdana" w:cs="Verdana"/>
              </w:rPr>
              <w:t>.</w:t>
            </w:r>
            <w:r w:rsidR="1920C884" w:rsidRPr="00DC527B">
              <w:rPr>
                <w:rFonts w:eastAsia="Verdana" w:cs="Verdana"/>
              </w:rPr>
              <w:t xml:space="preserve"> </w:t>
            </w:r>
            <w:r w:rsidR="00F16630" w:rsidRPr="00DC527B">
              <w:rPr>
                <w:rFonts w:eastAsia="Verdana" w:cs="Verdana"/>
              </w:rPr>
              <w:t>I</w:t>
            </w:r>
            <w:r w:rsidR="717AE000" w:rsidRPr="00DC527B">
              <w:rPr>
                <w:rFonts w:eastAsia="Verdana" w:cs="Verdana"/>
              </w:rPr>
              <w:t xml:space="preserve">t </w:t>
            </w:r>
            <w:r w:rsidR="1920C884" w:rsidRPr="00DC527B">
              <w:rPr>
                <w:rFonts w:eastAsia="Verdana" w:cs="Verdana"/>
              </w:rPr>
              <w:t xml:space="preserve">was already included in the </w:t>
            </w:r>
            <w:hyperlink r:id="rId20" w:history="1">
              <w:r w:rsidR="6AAA63C4" w:rsidRPr="757ADDA4">
                <w:rPr>
                  <w:rStyle w:val="Hyperlink"/>
                </w:rPr>
                <w:t>LGBTIQ</w:t>
              </w:r>
              <w:r w:rsidR="6617750E" w:rsidRPr="757ADDA4">
                <w:rPr>
                  <w:rStyle w:val="Hyperlink"/>
                </w:rPr>
                <w:t>+</w:t>
              </w:r>
              <w:r w:rsidR="6AAA63C4" w:rsidRPr="757ADDA4">
                <w:rPr>
                  <w:rStyle w:val="Hyperlink"/>
                </w:rPr>
                <w:t xml:space="preserve"> Equality Strategy 2026-2030</w:t>
              </w:r>
            </w:hyperlink>
            <w:r w:rsidR="6AAA63C4" w:rsidRPr="00DC527B">
              <w:rPr>
                <w:rFonts w:eastAsia="Verdana" w:cs="Verdana"/>
              </w:rPr>
              <w:t>.</w:t>
            </w:r>
          </w:p>
          <w:p w14:paraId="5609C72A" w14:textId="270BA4B0" w:rsidR="00B735F0" w:rsidRPr="00DC527B" w:rsidRDefault="6AAA63C4" w:rsidP="00CF040B">
            <w:pPr>
              <w:pStyle w:val="ListParagraph"/>
              <w:rPr>
                <w:rFonts w:eastAsia="Verdana" w:cs="Verdana"/>
              </w:rPr>
            </w:pPr>
            <w:r w:rsidRPr="00DC527B">
              <w:rPr>
                <w:rFonts w:eastAsia="Verdana" w:cs="Verdana"/>
              </w:rPr>
              <w:t xml:space="preserve"> </w:t>
            </w:r>
          </w:p>
        </w:tc>
        <w:tc>
          <w:tcPr>
            <w:tcW w:w="5130" w:type="dxa"/>
          </w:tcPr>
          <w:p w14:paraId="24E0DA0E" w14:textId="57AAA558" w:rsidR="00B735F0" w:rsidRPr="00CE713D" w:rsidRDefault="1920C884" w:rsidP="00EA5C76">
            <w:pPr>
              <w:pStyle w:val="ListParagraph"/>
              <w:numPr>
                <w:ilvl w:val="0"/>
                <w:numId w:val="45"/>
              </w:numPr>
            </w:pPr>
            <w:r>
              <w:t xml:space="preserve">The Commission </w:t>
            </w:r>
            <w:r w:rsidR="00F16630">
              <w:t xml:space="preserve">should launch a </w:t>
            </w:r>
            <w:r>
              <w:t>legisl</w:t>
            </w:r>
            <w:r w:rsidR="4672CCFB">
              <w:t xml:space="preserve">ative initiative to combat hate speech and hate crime against persons with disabilities and on a variety of grounds. </w:t>
            </w:r>
          </w:p>
          <w:p w14:paraId="502A7A10" w14:textId="2D7A7BA5" w:rsidR="00B735F0" w:rsidRPr="00CE713D" w:rsidRDefault="4672CCFB" w:rsidP="00EA5C76">
            <w:pPr>
              <w:pStyle w:val="ListParagraph"/>
              <w:numPr>
                <w:ilvl w:val="0"/>
                <w:numId w:val="45"/>
              </w:numPr>
            </w:pPr>
            <w:r>
              <w:t xml:space="preserve">Further discussion among </w:t>
            </w:r>
            <w:r w:rsidR="00F16630">
              <w:t xml:space="preserve">EU countries </w:t>
            </w:r>
            <w:r>
              <w:t xml:space="preserve">should be organised. </w:t>
            </w:r>
          </w:p>
        </w:tc>
      </w:tr>
      <w:tr w:rsidR="00B735F0" w:rsidRPr="00CE713D" w14:paraId="6616DAB4" w14:textId="77777777" w:rsidTr="757ADDA4">
        <w:tc>
          <w:tcPr>
            <w:tcW w:w="5129" w:type="dxa"/>
          </w:tcPr>
          <w:p w14:paraId="062508F7" w14:textId="179EE9D4" w:rsidR="00B735F0" w:rsidRPr="00CE713D" w:rsidRDefault="00B735F0" w:rsidP="00B735F0">
            <w:r>
              <w:t xml:space="preserve">Disability </w:t>
            </w:r>
            <w:r w:rsidR="00EB20E6">
              <w:t xml:space="preserve">to be </w:t>
            </w:r>
            <w:r>
              <w:t>mainstreamed in the forthcoming action plan on the protection of children against crime and strategy on combating trafficking in human beings, as well as in the pact on asylum and migration.</w:t>
            </w:r>
          </w:p>
        </w:tc>
        <w:tc>
          <w:tcPr>
            <w:tcW w:w="5129" w:type="dxa"/>
          </w:tcPr>
          <w:p w14:paraId="55D59F0E" w14:textId="43AED46D" w:rsidR="00B735F0" w:rsidRPr="00CE713D" w:rsidRDefault="00F16630">
            <w:r w:rsidRPr="00107374">
              <w:rPr>
                <w:b/>
                <w:bCs/>
              </w:rPr>
              <w:t>Neutral</w:t>
            </w:r>
            <w:r w:rsidR="00107374" w:rsidRPr="00107374">
              <w:rPr>
                <w:b/>
                <w:bCs/>
              </w:rPr>
              <w:t>.</w:t>
            </w:r>
            <w:r w:rsidR="2C796657">
              <w:t xml:space="preserve"> </w:t>
            </w:r>
            <w:r w:rsidR="00380A7B">
              <w:t>no clear action</w:t>
            </w:r>
            <w:r w:rsidR="2C796657">
              <w:t xml:space="preserve">. </w:t>
            </w:r>
          </w:p>
        </w:tc>
        <w:tc>
          <w:tcPr>
            <w:tcW w:w="5130" w:type="dxa"/>
          </w:tcPr>
          <w:p w14:paraId="7F43C62E" w14:textId="1DBB1D1C" w:rsidR="00B735F0" w:rsidRPr="00CE713D" w:rsidRDefault="00380A7B">
            <w:r>
              <w:t>Advocate for c</w:t>
            </w:r>
            <w:r w:rsidR="2C796657">
              <w:t xml:space="preserve">oncrete actions to better ensure the rights of migrants with disabilities in the Pact on asylum and migration, </w:t>
            </w:r>
            <w:r w:rsidR="009E0447">
              <w:t xml:space="preserve">as well as the involvement of </w:t>
            </w:r>
            <w:r w:rsidR="2C796657">
              <w:t xml:space="preserve">the EU Asylum Agency. </w:t>
            </w:r>
          </w:p>
        </w:tc>
      </w:tr>
    </w:tbl>
    <w:p w14:paraId="48D83CF1" w14:textId="77777777" w:rsidR="007C5ECD" w:rsidRPr="00CE713D" w:rsidRDefault="007C5ECD" w:rsidP="00465371"/>
    <w:p w14:paraId="730A356B" w14:textId="77777777" w:rsidR="007C5ECD" w:rsidRPr="00CE713D" w:rsidRDefault="007C5ECD" w:rsidP="00002939">
      <w:pPr>
        <w:pStyle w:val="Heading3"/>
      </w:pPr>
      <w:r w:rsidRPr="00CE713D">
        <w:lastRenderedPageBreak/>
        <w:t>Preparedness and emergency management</w:t>
      </w:r>
    </w:p>
    <w:tbl>
      <w:tblPr>
        <w:tblStyle w:val="TableGrid"/>
        <w:tblW w:w="0" w:type="auto"/>
        <w:tblLook w:val="04A0" w:firstRow="1" w:lastRow="0" w:firstColumn="1" w:lastColumn="0" w:noHBand="0" w:noVBand="1"/>
      </w:tblPr>
      <w:tblGrid>
        <w:gridCol w:w="5129"/>
        <w:gridCol w:w="5129"/>
        <w:gridCol w:w="5130"/>
      </w:tblGrid>
      <w:tr w:rsidR="00B735F0" w:rsidRPr="00CE713D" w14:paraId="40D30B93" w14:textId="77777777" w:rsidTr="00DC7FA1">
        <w:trPr>
          <w:trHeight w:val="300"/>
          <w:tblHeader/>
        </w:trPr>
        <w:tc>
          <w:tcPr>
            <w:tcW w:w="5129" w:type="dxa"/>
          </w:tcPr>
          <w:p w14:paraId="6E223C48" w14:textId="77777777" w:rsidR="00B735F0" w:rsidRPr="00CE713D" w:rsidRDefault="00B735F0">
            <w:pPr>
              <w:rPr>
                <w:b/>
                <w:bCs/>
              </w:rPr>
            </w:pPr>
            <w:r w:rsidRPr="00CE713D">
              <w:rPr>
                <w:b/>
                <w:bCs/>
              </w:rPr>
              <w:t>Action in the Disability Strategy</w:t>
            </w:r>
          </w:p>
        </w:tc>
        <w:tc>
          <w:tcPr>
            <w:tcW w:w="5129" w:type="dxa"/>
          </w:tcPr>
          <w:p w14:paraId="326F814E" w14:textId="77777777" w:rsidR="00B735F0" w:rsidRPr="00CE713D" w:rsidRDefault="00B735F0">
            <w:pPr>
              <w:rPr>
                <w:b/>
                <w:bCs/>
              </w:rPr>
            </w:pPr>
            <w:r w:rsidRPr="00CE713D">
              <w:rPr>
                <w:b/>
                <w:bCs/>
              </w:rPr>
              <w:t>Evaluation by EDF</w:t>
            </w:r>
          </w:p>
        </w:tc>
        <w:tc>
          <w:tcPr>
            <w:tcW w:w="5130" w:type="dxa"/>
          </w:tcPr>
          <w:p w14:paraId="7AC05D95" w14:textId="77777777" w:rsidR="00B735F0" w:rsidRPr="00CE713D" w:rsidRDefault="00B735F0">
            <w:pPr>
              <w:rPr>
                <w:b/>
                <w:bCs/>
              </w:rPr>
            </w:pPr>
            <w:r w:rsidRPr="00CE713D">
              <w:rPr>
                <w:b/>
                <w:bCs/>
              </w:rPr>
              <w:t>Priorities for implementation</w:t>
            </w:r>
          </w:p>
        </w:tc>
      </w:tr>
      <w:tr w:rsidR="00B735F0" w:rsidRPr="00CE713D" w14:paraId="2E5371CA" w14:textId="77777777" w:rsidTr="004F06DA">
        <w:tc>
          <w:tcPr>
            <w:tcW w:w="5129" w:type="dxa"/>
          </w:tcPr>
          <w:p w14:paraId="4C58951F" w14:textId="216562FE" w:rsidR="004F06DA" w:rsidRDefault="004F06DA" w:rsidP="00B735F0">
            <w:pPr>
              <w:rPr>
                <w:bCs/>
              </w:rPr>
            </w:pPr>
            <w:r w:rsidRPr="004F06DA">
              <w:rPr>
                <w:b/>
                <w:bCs/>
              </w:rPr>
              <w:t>Flagship Initiative</w:t>
            </w:r>
            <w:r w:rsidR="00B735F0" w:rsidRPr="00CE713D">
              <w:t xml:space="preserve"> – </w:t>
            </w:r>
            <w:r w:rsidR="00B735F0" w:rsidRPr="00CF040B">
              <w:rPr>
                <w:bCs/>
              </w:rPr>
              <w:t>Prepared for anything, prepared for everyone</w:t>
            </w:r>
            <w:r>
              <w:rPr>
                <w:bCs/>
              </w:rPr>
              <w:t>.</w:t>
            </w:r>
          </w:p>
          <w:p w14:paraId="6CEE6CCE" w14:textId="267E0A29" w:rsidR="00B735F0" w:rsidRPr="00CE713D" w:rsidRDefault="00B735F0" w:rsidP="00B735F0">
            <w:r w:rsidRPr="00CE713D">
              <w:t xml:space="preserve"> The Commission will seek to make preparedness and crisis management more disability inclusive. The initiative will include: (</w:t>
            </w:r>
            <w:proofErr w:type="spellStart"/>
            <w:r w:rsidRPr="00CE713D">
              <w:t>i</w:t>
            </w:r>
            <w:proofErr w:type="spellEnd"/>
            <w:r w:rsidRPr="00CE713D">
              <w:t>) gaps analysis and stakeholder mapping of the situation of persons with disabilities in terms of disaster response and preparedness; (ii) guidelines for first responders, including emergency number 112 operators, and for persons with disabilities and their carers on how to act in an emergency; (iii) training curricula for first responders on how to recognise a type of disability and determine the appropriate course of action; and (iv) awarding a civil protection medal at the Civil Protection Forum for ‘extraordinary contribution to the UCPM in the field of disability inclusion’ in 2026.</w:t>
            </w:r>
          </w:p>
          <w:p w14:paraId="7B6FD659" w14:textId="77777777" w:rsidR="00B735F0" w:rsidRPr="00CE713D" w:rsidRDefault="00B735F0"/>
        </w:tc>
        <w:tc>
          <w:tcPr>
            <w:tcW w:w="5129" w:type="dxa"/>
          </w:tcPr>
          <w:p w14:paraId="5E5BAA5D" w14:textId="77777777" w:rsidR="002A6E4E" w:rsidRPr="002A6E4E" w:rsidRDefault="1D4454AE" w:rsidP="4B8B95E8">
            <w:pPr>
              <w:rPr>
                <w:b/>
                <w:bCs/>
              </w:rPr>
            </w:pPr>
            <w:r w:rsidRPr="002A6E4E">
              <w:rPr>
                <w:b/>
                <w:bCs/>
              </w:rPr>
              <w:t>Positive</w:t>
            </w:r>
            <w:r w:rsidR="002A6E4E" w:rsidRPr="002A6E4E">
              <w:rPr>
                <w:b/>
                <w:bCs/>
              </w:rPr>
              <w:t xml:space="preserve"> points</w:t>
            </w:r>
            <w:r w:rsidRPr="002A6E4E">
              <w:rPr>
                <w:b/>
                <w:bCs/>
              </w:rPr>
              <w:t>:</w:t>
            </w:r>
            <w:r w:rsidR="18F553A7" w:rsidRPr="002A6E4E">
              <w:rPr>
                <w:b/>
                <w:bCs/>
              </w:rPr>
              <w:t xml:space="preserve"> </w:t>
            </w:r>
          </w:p>
          <w:p w14:paraId="5F6DA8C5" w14:textId="44C7810D" w:rsidR="00B735F0" w:rsidRPr="004F06DA" w:rsidRDefault="18F553A7" w:rsidP="00EA5C76">
            <w:pPr>
              <w:pStyle w:val="ListParagraph"/>
              <w:numPr>
                <w:ilvl w:val="0"/>
                <w:numId w:val="30"/>
              </w:numPr>
            </w:pPr>
            <w:r>
              <w:t>EDF welcomes this</w:t>
            </w:r>
            <w:r w:rsidRPr="002A6E4E">
              <w:rPr>
                <w:rFonts w:eastAsia="Verdana" w:cs="Verdana"/>
              </w:rPr>
              <w:t xml:space="preserve"> flagship initiative that recognises the need for disability-inclusive preparedness and emergency management. We have contributed to the development of the gap analysis and stakeholder mapping, and EDF members and partners were actively consulted during the development of the guidelines.</w:t>
            </w:r>
          </w:p>
          <w:p w14:paraId="3BEC8ACA" w14:textId="2270A0B6" w:rsidR="00B735F0" w:rsidRPr="002A6E4E" w:rsidRDefault="559059B6">
            <w:pPr>
              <w:rPr>
                <w:b/>
                <w:bCs/>
              </w:rPr>
            </w:pPr>
            <w:r w:rsidRPr="002A6E4E">
              <w:rPr>
                <w:b/>
                <w:bCs/>
              </w:rPr>
              <w:t>Negative</w:t>
            </w:r>
            <w:r w:rsidR="002A6E4E" w:rsidRPr="002A6E4E">
              <w:rPr>
                <w:b/>
                <w:bCs/>
              </w:rPr>
              <w:t xml:space="preserve"> points</w:t>
            </w:r>
            <w:r w:rsidRPr="002A6E4E">
              <w:rPr>
                <w:b/>
                <w:bCs/>
              </w:rPr>
              <w:t>:</w:t>
            </w:r>
          </w:p>
          <w:p w14:paraId="77F51CE1" w14:textId="4FC78C21" w:rsidR="5385867B" w:rsidRDefault="5385867B" w:rsidP="00EA5C76">
            <w:pPr>
              <w:pStyle w:val="ListParagraph"/>
              <w:numPr>
                <w:ilvl w:val="0"/>
                <w:numId w:val="18"/>
              </w:numPr>
              <w:rPr>
                <w:rFonts w:eastAsia="Verdana" w:cs="Verdana"/>
              </w:rPr>
            </w:pPr>
            <w:r w:rsidRPr="5FAE15F5">
              <w:rPr>
                <w:rFonts w:eastAsia="Verdana" w:cs="Verdana"/>
              </w:rPr>
              <w:t xml:space="preserve">The three main operational initiatives (gap analysis and stakeholder mapping, guidelines, and training curricula) were already foreseen in the Action 33 of the </w:t>
            </w:r>
            <w:hyperlink r:id="rId21" w:history="1">
              <w:r w:rsidRPr="00B35E08">
                <w:rPr>
                  <w:rStyle w:val="Hyperlink"/>
                  <w:rFonts w:eastAsia="Verdana" w:cs="Verdana"/>
                </w:rPr>
                <w:t>Preparedness Union Strategy (2025)</w:t>
              </w:r>
            </w:hyperlink>
            <w:r w:rsidRPr="5FAE15F5">
              <w:rPr>
                <w:rFonts w:eastAsia="Verdana" w:cs="Verdana"/>
              </w:rPr>
              <w:t>. The Disability Strategy therefore appears to repackage existing commitments rather than introducing new disability-specific actions, funding or accountability mechanisms.</w:t>
            </w:r>
          </w:p>
          <w:p w14:paraId="16ECD623" w14:textId="0B035828" w:rsidR="00B735F0" w:rsidRPr="00CE713D" w:rsidRDefault="6D296CDB" w:rsidP="00EA5C76">
            <w:pPr>
              <w:pStyle w:val="ListParagraph"/>
              <w:numPr>
                <w:ilvl w:val="0"/>
                <w:numId w:val="18"/>
              </w:numPr>
            </w:pPr>
            <w:r w:rsidRPr="77D8443D">
              <w:rPr>
                <w:rFonts w:eastAsia="Verdana" w:cs="Verdana"/>
              </w:rPr>
              <w:t xml:space="preserve">The initiative focuses on guidance, training and mapping and does not establish binding requirements or minimum accessibility standards for </w:t>
            </w:r>
            <w:r w:rsidRPr="77D8443D">
              <w:rPr>
                <w:rFonts w:eastAsia="Verdana" w:cs="Verdana"/>
              </w:rPr>
              <w:lastRenderedPageBreak/>
              <w:t xml:space="preserve">emergency preparedness and disaster response across Member States. </w:t>
            </w:r>
          </w:p>
          <w:p w14:paraId="05A50415" w14:textId="010DE289" w:rsidR="00B735F0" w:rsidRPr="00CE713D" w:rsidRDefault="509D3048" w:rsidP="00EA5C76">
            <w:pPr>
              <w:numPr>
                <w:ilvl w:val="0"/>
                <w:numId w:val="18"/>
              </w:numPr>
              <w:rPr>
                <w:rFonts w:eastAsia="Verdana" w:cs="Verdana"/>
              </w:rPr>
            </w:pPr>
            <w:r w:rsidRPr="48B05848">
              <w:rPr>
                <w:rFonts w:eastAsia="Verdana" w:cs="Verdana"/>
              </w:rPr>
              <w:t>No information on how the guidelines and training curricula will be implemented, promoted or monitored</w:t>
            </w:r>
            <w:r w:rsidR="0DBD9712" w:rsidRPr="48B05848">
              <w:rPr>
                <w:rFonts w:eastAsia="Verdana" w:cs="Verdana"/>
              </w:rPr>
              <w:t xml:space="preserve"> after 2026</w:t>
            </w:r>
            <w:r w:rsidRPr="48B05848">
              <w:rPr>
                <w:rFonts w:eastAsia="Verdana" w:cs="Verdana"/>
              </w:rPr>
              <w:t>.</w:t>
            </w:r>
          </w:p>
          <w:p w14:paraId="37E68B78" w14:textId="62087FDF" w:rsidR="00B735F0" w:rsidRPr="00CE713D" w:rsidRDefault="6D296CDB" w:rsidP="00EA5C76">
            <w:pPr>
              <w:pStyle w:val="ListParagraph"/>
              <w:numPr>
                <w:ilvl w:val="0"/>
                <w:numId w:val="18"/>
              </w:numPr>
            </w:pPr>
            <w:r w:rsidRPr="4B8B95E8">
              <w:t>No explicit commitment to dedicated funding or to systematically involving OPDs in the implementation and evaluation of the initiative.</w:t>
            </w:r>
          </w:p>
          <w:p w14:paraId="0C7F0D45" w14:textId="30361AF7" w:rsidR="00B735F0" w:rsidRPr="00CE713D" w:rsidRDefault="00B735F0"/>
        </w:tc>
        <w:tc>
          <w:tcPr>
            <w:tcW w:w="5130" w:type="dxa"/>
          </w:tcPr>
          <w:p w14:paraId="04612606" w14:textId="24606A0E" w:rsidR="00707481" w:rsidRPr="004F06DA" w:rsidRDefault="6D296CDB" w:rsidP="00EA5C76">
            <w:pPr>
              <w:pStyle w:val="ListParagraph"/>
              <w:numPr>
                <w:ilvl w:val="0"/>
                <w:numId w:val="46"/>
              </w:numPr>
              <w:rPr>
                <w:rFonts w:eastAsia="Verdana" w:cs="Verdana"/>
              </w:rPr>
            </w:pPr>
            <w:r w:rsidRPr="004F06DA">
              <w:rPr>
                <w:rFonts w:eastAsia="Verdana" w:cs="Verdana"/>
              </w:rPr>
              <w:lastRenderedPageBreak/>
              <w:t xml:space="preserve">Ensure the guidelines and training are systematically implemented across Member States, with the meaningful involvement of organisations of persons with disabilities. </w:t>
            </w:r>
          </w:p>
          <w:p w14:paraId="4AD5BA49" w14:textId="1463DE86" w:rsidR="00E34665" w:rsidRPr="004F06DA" w:rsidRDefault="6D296CDB" w:rsidP="00EA5C76">
            <w:pPr>
              <w:pStyle w:val="ListParagraph"/>
              <w:numPr>
                <w:ilvl w:val="0"/>
                <w:numId w:val="46"/>
              </w:numPr>
              <w:rPr>
                <w:rFonts w:eastAsia="Verdana" w:cs="Verdana"/>
              </w:rPr>
            </w:pPr>
            <w:r w:rsidRPr="004F06DA">
              <w:rPr>
                <w:rFonts w:eastAsia="Verdana" w:cs="Verdana"/>
              </w:rPr>
              <w:t xml:space="preserve">Develop clear monitoring and follow-up mechanisms to assess implementation and impact. </w:t>
            </w:r>
          </w:p>
          <w:p w14:paraId="167F11A1" w14:textId="14931DE9" w:rsidR="00E34665" w:rsidRPr="004F06DA" w:rsidRDefault="6D296CDB" w:rsidP="00EA5C76">
            <w:pPr>
              <w:pStyle w:val="ListParagraph"/>
              <w:numPr>
                <w:ilvl w:val="0"/>
                <w:numId w:val="46"/>
              </w:numPr>
              <w:rPr>
                <w:rFonts w:eastAsia="Verdana" w:cs="Verdana"/>
              </w:rPr>
            </w:pPr>
            <w:r w:rsidRPr="004F06DA">
              <w:rPr>
                <w:rFonts w:eastAsia="Verdana" w:cs="Verdana"/>
              </w:rPr>
              <w:t>Promote accessibility and inclusion as core requirements in all EU preparedness and emergency response measures.</w:t>
            </w:r>
          </w:p>
          <w:p w14:paraId="1BDCBF09" w14:textId="0C8A96E1" w:rsidR="0F93BD7C" w:rsidRPr="004F06DA" w:rsidRDefault="00FC5162" w:rsidP="00EA5C76">
            <w:pPr>
              <w:pStyle w:val="ListParagraph"/>
              <w:numPr>
                <w:ilvl w:val="0"/>
                <w:numId w:val="46"/>
              </w:numPr>
              <w:rPr>
                <w:rFonts w:eastAsia="Verdana" w:cs="Verdana"/>
              </w:rPr>
            </w:pPr>
            <w:r w:rsidRPr="004F06DA">
              <w:rPr>
                <w:rFonts w:eastAsia="Verdana" w:cs="Verdana"/>
              </w:rPr>
              <w:t>Involve disability organisations in the assessment of candidates to the civil protection medal in the field of disability inclusion.</w:t>
            </w:r>
          </w:p>
          <w:p w14:paraId="31F9AFEA" w14:textId="22908ABE" w:rsidR="0F93BD7C" w:rsidRDefault="0F93BD7C" w:rsidP="6BF08200">
            <w:pPr>
              <w:rPr>
                <w:rFonts w:eastAsia="Verdana" w:cs="Verdana"/>
              </w:rPr>
            </w:pPr>
          </w:p>
          <w:p w14:paraId="7A4990EB" w14:textId="790B46CF" w:rsidR="0F93BD7C" w:rsidRDefault="00854739" w:rsidP="6BF08200">
            <w:pPr>
              <w:rPr>
                <w:rFonts w:ascii="Arial" w:eastAsia="Arial" w:hAnsi="Arial" w:cs="Arial"/>
                <w:color w:val="26324B"/>
              </w:rPr>
            </w:pPr>
            <w:r>
              <w:rPr>
                <w:rFonts w:eastAsia="Verdana" w:cs="Verdana"/>
              </w:rPr>
              <w:t xml:space="preserve">Other actions </w:t>
            </w:r>
            <w:r w:rsidR="00EF4C6B">
              <w:rPr>
                <w:rFonts w:eastAsia="Verdana" w:cs="Verdana"/>
              </w:rPr>
              <w:t>to be considered</w:t>
            </w:r>
            <w:r w:rsidR="0F93BD7C" w:rsidRPr="70C18911">
              <w:rPr>
                <w:rFonts w:eastAsia="Verdana" w:cs="Verdana"/>
              </w:rPr>
              <w:t xml:space="preserve">: </w:t>
            </w:r>
          </w:p>
          <w:p w14:paraId="769DE57E" w14:textId="64BFA87D" w:rsidR="08802A09" w:rsidRPr="00E34665" w:rsidRDefault="00EF4C6B" w:rsidP="00EA5C76">
            <w:pPr>
              <w:pStyle w:val="ListParagraph"/>
              <w:numPr>
                <w:ilvl w:val="0"/>
                <w:numId w:val="18"/>
              </w:numPr>
              <w:rPr>
                <w:rFonts w:eastAsia="Arial" w:cs="Arial"/>
                <w:szCs w:val="24"/>
              </w:rPr>
            </w:pPr>
            <w:r>
              <w:rPr>
                <w:rFonts w:eastAsia="Arial" w:cs="Arial"/>
                <w:szCs w:val="24"/>
              </w:rPr>
              <w:t xml:space="preserve">Request </w:t>
            </w:r>
            <w:r w:rsidR="00CE5E4B">
              <w:rPr>
                <w:rFonts w:eastAsia="Arial" w:cs="Arial"/>
                <w:szCs w:val="24"/>
              </w:rPr>
              <w:t xml:space="preserve">Member States </w:t>
            </w:r>
            <w:r w:rsidR="000B0E1C">
              <w:rPr>
                <w:rFonts w:eastAsia="Arial" w:cs="Arial"/>
                <w:szCs w:val="24"/>
              </w:rPr>
              <w:t>s</w:t>
            </w:r>
            <w:r w:rsidR="0F93BD7C" w:rsidRPr="00E34665">
              <w:rPr>
                <w:rFonts w:eastAsia="Arial" w:cs="Arial"/>
                <w:szCs w:val="24"/>
              </w:rPr>
              <w:t>tockpiling of critical equipment and materials</w:t>
            </w:r>
            <w:r w:rsidR="41353E28" w:rsidRPr="00E34665">
              <w:rPr>
                <w:rFonts w:eastAsia="Arial" w:cs="Arial"/>
                <w:szCs w:val="24"/>
              </w:rPr>
              <w:t xml:space="preserve"> specific to persons with </w:t>
            </w:r>
            <w:r w:rsidR="69479BDC" w:rsidRPr="00E34665">
              <w:rPr>
                <w:rFonts w:eastAsia="Arial" w:cs="Arial"/>
                <w:szCs w:val="24"/>
              </w:rPr>
              <w:t>disabilities</w:t>
            </w:r>
            <w:r w:rsidR="0F93BD7C" w:rsidRPr="00E34665">
              <w:rPr>
                <w:rFonts w:eastAsia="Arial" w:cs="Arial"/>
                <w:szCs w:val="24"/>
              </w:rPr>
              <w:t xml:space="preserve">; </w:t>
            </w:r>
          </w:p>
          <w:p w14:paraId="47195AF3" w14:textId="187DE2EC" w:rsidR="0F93BD7C" w:rsidRPr="00E34665" w:rsidRDefault="003B5D05" w:rsidP="00EA5C76">
            <w:pPr>
              <w:pStyle w:val="ListParagraph"/>
              <w:numPr>
                <w:ilvl w:val="0"/>
                <w:numId w:val="18"/>
              </w:numPr>
              <w:rPr>
                <w:rFonts w:eastAsia="Arial" w:cs="Arial"/>
                <w:szCs w:val="24"/>
              </w:rPr>
            </w:pPr>
            <w:r>
              <w:rPr>
                <w:rFonts w:eastAsia="Arial" w:cs="Arial"/>
                <w:szCs w:val="24"/>
              </w:rPr>
              <w:t>Promote that</w:t>
            </w:r>
            <w:r w:rsidR="5F0E3478" w:rsidRPr="00E34665">
              <w:rPr>
                <w:rFonts w:eastAsia="Arial" w:cs="Arial"/>
                <w:szCs w:val="24"/>
              </w:rPr>
              <w:t xml:space="preserve"> persons with disabilities have Personal Emergency Plans.</w:t>
            </w:r>
          </w:p>
          <w:p w14:paraId="3CB98F25" w14:textId="5384B883" w:rsidR="56B7A5A9" w:rsidRPr="00E34665" w:rsidRDefault="56B7A5A9" w:rsidP="00EA5C76">
            <w:pPr>
              <w:pStyle w:val="ListParagraph"/>
              <w:numPr>
                <w:ilvl w:val="0"/>
                <w:numId w:val="18"/>
              </w:numPr>
              <w:rPr>
                <w:rFonts w:eastAsia="Arial" w:cs="Arial"/>
                <w:szCs w:val="24"/>
              </w:rPr>
            </w:pPr>
            <w:r w:rsidRPr="00E34665">
              <w:rPr>
                <w:rFonts w:eastAsia="Arial" w:cs="Arial"/>
                <w:szCs w:val="24"/>
              </w:rPr>
              <w:t xml:space="preserve">Include persons with disabilities in regular EU-wide preparedness exercises, uniting armed forces, civil protection, police, security, </w:t>
            </w:r>
            <w:r w:rsidRPr="00E34665">
              <w:rPr>
                <w:rFonts w:eastAsia="Arial" w:cs="Arial"/>
                <w:szCs w:val="24"/>
              </w:rPr>
              <w:lastRenderedPageBreak/>
              <w:t>healthcare workers, and firefighters.</w:t>
            </w:r>
          </w:p>
          <w:p w14:paraId="7056DEE5" w14:textId="566C4093" w:rsidR="70C18911" w:rsidRPr="00E34665" w:rsidRDefault="354B0EC1" w:rsidP="00EA5C76">
            <w:pPr>
              <w:pStyle w:val="ListParagraph"/>
              <w:numPr>
                <w:ilvl w:val="0"/>
                <w:numId w:val="18"/>
              </w:numPr>
              <w:rPr>
                <w:rFonts w:eastAsia="Arial" w:cs="Arial"/>
                <w:szCs w:val="24"/>
              </w:rPr>
            </w:pPr>
            <w:r w:rsidRPr="00E34665">
              <w:rPr>
                <w:rFonts w:eastAsia="Arial" w:cs="Arial"/>
              </w:rPr>
              <w:t>Work with OPD</w:t>
            </w:r>
            <w:r w:rsidR="00E34665">
              <w:rPr>
                <w:rFonts w:eastAsia="Arial" w:cs="Arial"/>
              </w:rPr>
              <w:t>s</w:t>
            </w:r>
            <w:r w:rsidRPr="00E34665">
              <w:rPr>
                <w:rFonts w:eastAsia="Arial" w:cs="Arial"/>
              </w:rPr>
              <w:t xml:space="preserve"> beyond the development of guidelines, and as permanent preparedness partners, involving OPD</w:t>
            </w:r>
            <w:r w:rsidR="00E34665">
              <w:rPr>
                <w:rFonts w:eastAsia="Arial" w:cs="Arial"/>
              </w:rPr>
              <w:t>s</w:t>
            </w:r>
            <w:r w:rsidRPr="00E34665">
              <w:rPr>
                <w:rFonts w:eastAsia="Arial" w:cs="Arial"/>
              </w:rPr>
              <w:t xml:space="preserve"> in risk assessments, community contingency p</w:t>
            </w:r>
            <w:r w:rsidRPr="00E34665">
              <w:rPr>
                <w:rFonts w:eastAsia="Arial" w:cs="Arial"/>
                <w:szCs w:val="24"/>
              </w:rPr>
              <w:t>lanning, preparedness exercises, evaluations etc.</w:t>
            </w:r>
          </w:p>
          <w:p w14:paraId="012CCA24" w14:textId="70C8B2BB" w:rsidR="00B735F0" w:rsidRPr="00CE713D" w:rsidRDefault="00B735F0"/>
        </w:tc>
      </w:tr>
      <w:tr w:rsidR="00B735F0" w:rsidRPr="00CE713D" w14:paraId="093F1EBD" w14:textId="77777777" w:rsidTr="6870A085">
        <w:tc>
          <w:tcPr>
            <w:tcW w:w="5129" w:type="dxa"/>
          </w:tcPr>
          <w:p w14:paraId="213CFB2A" w14:textId="655F8B9F" w:rsidR="00B735F0" w:rsidRPr="00CE713D" w:rsidRDefault="00EB20E6" w:rsidP="00B735F0">
            <w:r>
              <w:lastRenderedPageBreak/>
              <w:t>P</w:t>
            </w:r>
            <w:r w:rsidR="00B735F0" w:rsidRPr="00CE713D">
              <w:t>romote a stronger and more inclusive culture of preparedness in line with the Preparedness Union Strategy and making use of the Union Civil Protection Mechanism (UCPM).</w:t>
            </w:r>
          </w:p>
          <w:p w14:paraId="52411A64" w14:textId="77777777" w:rsidR="00B735F0" w:rsidRPr="00CE713D" w:rsidRDefault="00B735F0"/>
        </w:tc>
        <w:tc>
          <w:tcPr>
            <w:tcW w:w="5129" w:type="dxa"/>
          </w:tcPr>
          <w:p w14:paraId="2A106D4A" w14:textId="7BF5624E" w:rsidR="00740410" w:rsidRPr="002A6E4E" w:rsidRDefault="00AA12A9" w:rsidP="00DC7FA1">
            <w:pPr>
              <w:rPr>
                <w:b/>
                <w:bCs/>
              </w:rPr>
            </w:pPr>
            <w:r w:rsidRPr="002A6E4E">
              <w:rPr>
                <w:b/>
                <w:bCs/>
              </w:rPr>
              <w:t>Neutral</w:t>
            </w:r>
            <w:r w:rsidR="002A6E4E" w:rsidRPr="002A6E4E">
              <w:rPr>
                <w:b/>
                <w:bCs/>
              </w:rPr>
              <w:t>.</w:t>
            </w:r>
          </w:p>
          <w:p w14:paraId="5F87C506" w14:textId="68DD0C46" w:rsidR="2FC45064" w:rsidRPr="002A6E4E" w:rsidRDefault="00DD5ACB" w:rsidP="00EA5C76">
            <w:pPr>
              <w:pStyle w:val="ListParagraph"/>
              <w:numPr>
                <w:ilvl w:val="0"/>
                <w:numId w:val="7"/>
              </w:numPr>
            </w:pPr>
            <w:r>
              <w:t xml:space="preserve">No new actions. </w:t>
            </w:r>
            <w:r w:rsidR="2888176B">
              <w:t>It remains unclear how a “culture of preparedness” will translate into tangible improvements for persons with disabilities</w:t>
            </w:r>
            <w:r w:rsidR="00AA12A9">
              <w:t>, and how the Union Civil Protection Mechanism will be used</w:t>
            </w:r>
            <w:r w:rsidR="2888176B">
              <w:t>.</w:t>
            </w:r>
          </w:p>
          <w:p w14:paraId="269E42A9" w14:textId="2420CCAF" w:rsidR="00B735F0" w:rsidRPr="00CE713D" w:rsidRDefault="00B735F0"/>
        </w:tc>
        <w:tc>
          <w:tcPr>
            <w:tcW w:w="5130" w:type="dxa"/>
          </w:tcPr>
          <w:p w14:paraId="33F153E7" w14:textId="45E24AB0" w:rsidR="00707481" w:rsidRDefault="2888176B" w:rsidP="00EA5C76">
            <w:pPr>
              <w:pStyle w:val="ListParagraph"/>
              <w:numPr>
                <w:ilvl w:val="0"/>
                <w:numId w:val="47"/>
              </w:numPr>
            </w:pPr>
            <w:r>
              <w:t xml:space="preserve">Ensure disability inclusion is systematically integrated into all preparedness activities </w:t>
            </w:r>
            <w:r w:rsidR="00316D9D">
              <w:t xml:space="preserve">and related funding </w:t>
            </w:r>
            <w:r>
              <w:t>under the Preparedness Union Strategy and the UCPM.</w:t>
            </w:r>
          </w:p>
          <w:p w14:paraId="0D98B746" w14:textId="3B86D525" w:rsidR="00707481" w:rsidRPr="004F06DA" w:rsidRDefault="28352863" w:rsidP="00EA5C76">
            <w:pPr>
              <w:pStyle w:val="ListParagraph"/>
              <w:numPr>
                <w:ilvl w:val="0"/>
                <w:numId w:val="47"/>
              </w:numPr>
            </w:pPr>
            <w:r>
              <w:t>Set minimum standards for the involvement of</w:t>
            </w:r>
            <w:r w:rsidR="00395B28">
              <w:t xml:space="preserve"> </w:t>
            </w:r>
            <w:r w:rsidR="2888176B">
              <w:t>organisations of persons with disabilities in preparedness planning, exercises and evaluations.</w:t>
            </w:r>
          </w:p>
          <w:p w14:paraId="0233F8F5" w14:textId="5BCA0664" w:rsidR="00B735F0" w:rsidRPr="004F06DA" w:rsidRDefault="3EE0B44B" w:rsidP="00EA5C76">
            <w:pPr>
              <w:pStyle w:val="ListParagraph"/>
              <w:numPr>
                <w:ilvl w:val="0"/>
                <w:numId w:val="47"/>
              </w:numPr>
              <w:rPr>
                <w:rFonts w:eastAsia="Verdana" w:cs="Verdana"/>
                <w:szCs w:val="24"/>
              </w:rPr>
            </w:pPr>
            <w:r w:rsidRPr="004F06DA">
              <w:rPr>
                <w:rFonts w:eastAsia="Verdana" w:cs="Verdana"/>
                <w:szCs w:val="24"/>
              </w:rPr>
              <w:t>Prioritise the c</w:t>
            </w:r>
            <w:r w:rsidR="4DBB3235" w:rsidRPr="004F06DA">
              <w:rPr>
                <w:rFonts w:eastAsia="Verdana" w:cs="Verdana"/>
                <w:szCs w:val="24"/>
              </w:rPr>
              <w:t>ollect</w:t>
            </w:r>
            <w:r w:rsidR="456D128F" w:rsidRPr="004F06DA">
              <w:rPr>
                <w:rFonts w:eastAsia="Verdana" w:cs="Verdana"/>
                <w:szCs w:val="24"/>
              </w:rPr>
              <w:t>ion and analysis of</w:t>
            </w:r>
            <w:r w:rsidR="4DBB3235" w:rsidRPr="004F06DA">
              <w:rPr>
                <w:rFonts w:eastAsia="Verdana" w:cs="Verdana"/>
                <w:szCs w:val="24"/>
              </w:rPr>
              <w:t xml:space="preserve"> disability-disaggregated </w:t>
            </w:r>
            <w:r w:rsidR="7049FFCB" w:rsidRPr="004F06DA">
              <w:rPr>
                <w:rFonts w:eastAsia="Verdana" w:cs="Verdana"/>
                <w:szCs w:val="24"/>
              </w:rPr>
              <w:t xml:space="preserve">indicators and data </w:t>
            </w:r>
            <w:r w:rsidR="032BE12D" w:rsidRPr="004F06DA">
              <w:rPr>
                <w:rFonts w:eastAsia="Verdana" w:cs="Verdana"/>
                <w:szCs w:val="24"/>
              </w:rPr>
              <w:t xml:space="preserve">within member state reporting </w:t>
            </w:r>
            <w:r w:rsidR="4DBB3235" w:rsidRPr="004F06DA">
              <w:rPr>
                <w:rFonts w:eastAsia="Verdana" w:cs="Verdana"/>
                <w:szCs w:val="24"/>
              </w:rPr>
              <w:t>during emergencies to monitor outcomes and improve future preparedness planning.</w:t>
            </w:r>
          </w:p>
          <w:p w14:paraId="1A0A9B64" w14:textId="151BC3AD" w:rsidR="00B735F0" w:rsidRPr="00CE713D" w:rsidRDefault="0DA5E27F" w:rsidP="00EA5C76">
            <w:pPr>
              <w:pStyle w:val="ListParagraph"/>
              <w:numPr>
                <w:ilvl w:val="0"/>
                <w:numId w:val="47"/>
              </w:numPr>
            </w:pPr>
            <w:r w:rsidRPr="004F06DA">
              <w:rPr>
                <w:rFonts w:eastAsia="Verdana" w:cs="Verdana"/>
                <w:szCs w:val="24"/>
              </w:rPr>
              <w:lastRenderedPageBreak/>
              <w:t>Ring-fence EU preparedness funding for disability-inclusive preparedness measures and capacity-building of OPDs.</w:t>
            </w:r>
          </w:p>
          <w:p w14:paraId="730444BB" w14:textId="6C338F3D" w:rsidR="70C18911" w:rsidRDefault="2D29A0A5" w:rsidP="00EA5C76">
            <w:pPr>
              <w:pStyle w:val="ListParagraph"/>
              <w:numPr>
                <w:ilvl w:val="0"/>
                <w:numId w:val="47"/>
              </w:numPr>
            </w:pPr>
            <w:r>
              <w:t>Embed disability inclusion as a key part of the minimum preparedness criteria for essential services such as hospitals, schools, transport, and telecommunications</w:t>
            </w:r>
            <w:r w:rsidR="40DCC6D0">
              <w:t>.</w:t>
            </w:r>
          </w:p>
          <w:p w14:paraId="207024C3" w14:textId="6512A955" w:rsidR="00B735F0" w:rsidRPr="00CE713D" w:rsidRDefault="00B735F0"/>
        </w:tc>
      </w:tr>
    </w:tbl>
    <w:p w14:paraId="7289ABFE" w14:textId="77777777" w:rsidR="007C5ECD" w:rsidRPr="00CE713D" w:rsidRDefault="007C5ECD" w:rsidP="00465371"/>
    <w:p w14:paraId="0AD7CD5F" w14:textId="77777777" w:rsidR="007C5ECD" w:rsidRPr="00CE713D" w:rsidRDefault="007C5ECD" w:rsidP="00002939">
      <w:pPr>
        <w:pStyle w:val="Heading3"/>
      </w:pPr>
      <w:r w:rsidRPr="00CE713D">
        <w:t>Participation in cultural life, sport, travel and leisure</w:t>
      </w:r>
    </w:p>
    <w:tbl>
      <w:tblPr>
        <w:tblStyle w:val="TableGrid"/>
        <w:tblW w:w="0" w:type="auto"/>
        <w:tblLook w:val="04A0" w:firstRow="1" w:lastRow="0" w:firstColumn="1" w:lastColumn="0" w:noHBand="0" w:noVBand="1"/>
      </w:tblPr>
      <w:tblGrid>
        <w:gridCol w:w="5129"/>
        <w:gridCol w:w="5129"/>
        <w:gridCol w:w="5130"/>
      </w:tblGrid>
      <w:tr w:rsidR="00B735F0" w:rsidRPr="00CE713D" w14:paraId="4E9C507B" w14:textId="77777777">
        <w:trPr>
          <w:tblHeader/>
        </w:trPr>
        <w:tc>
          <w:tcPr>
            <w:tcW w:w="5129" w:type="dxa"/>
          </w:tcPr>
          <w:p w14:paraId="4844B1A2" w14:textId="77777777" w:rsidR="00B735F0" w:rsidRPr="00CE713D" w:rsidRDefault="00B735F0">
            <w:pPr>
              <w:rPr>
                <w:b/>
                <w:bCs/>
              </w:rPr>
            </w:pPr>
            <w:r w:rsidRPr="00CE713D">
              <w:rPr>
                <w:b/>
                <w:bCs/>
              </w:rPr>
              <w:t>Action in the Disability Strategy</w:t>
            </w:r>
          </w:p>
        </w:tc>
        <w:tc>
          <w:tcPr>
            <w:tcW w:w="5129" w:type="dxa"/>
          </w:tcPr>
          <w:p w14:paraId="0E5F7F14" w14:textId="77777777" w:rsidR="00B735F0" w:rsidRPr="00CE713D" w:rsidRDefault="00B735F0">
            <w:pPr>
              <w:rPr>
                <w:b/>
                <w:bCs/>
              </w:rPr>
            </w:pPr>
            <w:r w:rsidRPr="00CE713D">
              <w:rPr>
                <w:b/>
                <w:bCs/>
              </w:rPr>
              <w:t>Evaluation by EDF</w:t>
            </w:r>
          </w:p>
        </w:tc>
        <w:tc>
          <w:tcPr>
            <w:tcW w:w="5130" w:type="dxa"/>
          </w:tcPr>
          <w:p w14:paraId="009AD2F9" w14:textId="77777777" w:rsidR="00B735F0" w:rsidRPr="00CE713D" w:rsidRDefault="00B735F0">
            <w:pPr>
              <w:rPr>
                <w:b/>
                <w:bCs/>
              </w:rPr>
            </w:pPr>
            <w:r w:rsidRPr="00CE713D">
              <w:rPr>
                <w:b/>
                <w:bCs/>
              </w:rPr>
              <w:t>Priorities for implementation</w:t>
            </w:r>
          </w:p>
        </w:tc>
      </w:tr>
      <w:tr w:rsidR="00B735F0" w:rsidRPr="00CE713D" w14:paraId="181CFBA4" w14:textId="77777777">
        <w:tc>
          <w:tcPr>
            <w:tcW w:w="5129" w:type="dxa"/>
          </w:tcPr>
          <w:p w14:paraId="0222A75F" w14:textId="6706B4F6" w:rsidR="00B735F0" w:rsidRPr="00CE713D" w:rsidRDefault="00A25CB0" w:rsidP="00B735F0">
            <w:r>
              <w:t>By 2028, r</w:t>
            </w:r>
            <w:r w:rsidR="00B735F0" w:rsidRPr="00CE713D">
              <w:t xml:space="preserve">eport to support Member States in increasing the participation of persons with disabilities in culture. </w:t>
            </w:r>
          </w:p>
          <w:p w14:paraId="5DC85719" w14:textId="77777777" w:rsidR="00B735F0" w:rsidRPr="00CE713D" w:rsidRDefault="00B735F0"/>
        </w:tc>
        <w:tc>
          <w:tcPr>
            <w:tcW w:w="5129" w:type="dxa"/>
          </w:tcPr>
          <w:p w14:paraId="301152A0" w14:textId="77777777" w:rsidR="008A14B1" w:rsidRDefault="00DD5ACB" w:rsidP="002A6E4E">
            <w:pPr>
              <w:rPr>
                <w:b/>
                <w:bCs/>
              </w:rPr>
            </w:pPr>
            <w:r>
              <w:rPr>
                <w:b/>
                <w:bCs/>
              </w:rPr>
              <w:t>Neutral</w:t>
            </w:r>
            <w:r w:rsidR="002A6E4E">
              <w:rPr>
                <w:b/>
                <w:bCs/>
              </w:rPr>
              <w:t xml:space="preserve">. </w:t>
            </w:r>
          </w:p>
          <w:p w14:paraId="69C24C45" w14:textId="6C37B46B" w:rsidR="0063786B" w:rsidRPr="002A6E4E" w:rsidRDefault="00654FB2" w:rsidP="002A6E4E">
            <w:pPr>
              <w:rPr>
                <w:b/>
                <w:bCs/>
              </w:rPr>
            </w:pPr>
            <w:r>
              <w:t xml:space="preserve">New action, although </w:t>
            </w:r>
            <w:r w:rsidR="00B34BC3">
              <w:t>non-binding and soft measure.</w:t>
            </w:r>
          </w:p>
        </w:tc>
        <w:tc>
          <w:tcPr>
            <w:tcW w:w="5130" w:type="dxa"/>
          </w:tcPr>
          <w:p w14:paraId="55982209" w14:textId="77777777" w:rsidR="00B735F0" w:rsidRDefault="00F469A8">
            <w:r w:rsidRPr="00F469A8">
              <w:t xml:space="preserve">Advocate for </w:t>
            </w:r>
            <w:r w:rsidR="002A75FE">
              <w:t xml:space="preserve">stronger measures, including legislative initiatives and funding programmes, which facilitate the access and participation of persons with disabilities in </w:t>
            </w:r>
            <w:r w:rsidR="00512A9A">
              <w:t>culture.</w:t>
            </w:r>
          </w:p>
          <w:p w14:paraId="5DF4EC60" w14:textId="42D16FB1" w:rsidR="00485E45" w:rsidRPr="00CE713D" w:rsidRDefault="00485E45"/>
        </w:tc>
      </w:tr>
      <w:tr w:rsidR="00B735F0" w:rsidRPr="00CE713D" w14:paraId="14EDCC7E" w14:textId="77777777">
        <w:tc>
          <w:tcPr>
            <w:tcW w:w="5129" w:type="dxa"/>
          </w:tcPr>
          <w:p w14:paraId="7720985A" w14:textId="5E61286D" w:rsidR="00B735F0" w:rsidRPr="00CE713D" w:rsidRDefault="00B735F0" w:rsidP="00B735F0">
            <w:r w:rsidRPr="00CE713D">
              <w:t xml:space="preserve">Organisations representing persons with disabilities </w:t>
            </w:r>
            <w:r w:rsidR="00EB20E6">
              <w:t>to</w:t>
            </w:r>
            <w:r w:rsidRPr="00CE713D">
              <w:t xml:space="preserve"> be consulted on the forthcoming EU Artists Charter.</w:t>
            </w:r>
          </w:p>
          <w:p w14:paraId="2AEE711C" w14:textId="77777777" w:rsidR="00B735F0" w:rsidRPr="00CE713D" w:rsidRDefault="00B735F0"/>
        </w:tc>
        <w:tc>
          <w:tcPr>
            <w:tcW w:w="5129" w:type="dxa"/>
          </w:tcPr>
          <w:p w14:paraId="22B96E76" w14:textId="485EA370" w:rsidR="009224D9" w:rsidRDefault="009224D9" w:rsidP="009224D9">
            <w:pPr>
              <w:rPr>
                <w:b/>
                <w:bCs/>
              </w:rPr>
            </w:pPr>
            <w:r w:rsidRPr="00EB20E6">
              <w:rPr>
                <w:b/>
                <w:bCs/>
              </w:rPr>
              <w:t>Positive point:</w:t>
            </w:r>
          </w:p>
          <w:p w14:paraId="3ECF7A36" w14:textId="00569EED" w:rsidR="009224D9" w:rsidRDefault="00751FAE" w:rsidP="00EA5C76">
            <w:pPr>
              <w:pStyle w:val="ListParagraph"/>
              <w:numPr>
                <w:ilvl w:val="0"/>
                <w:numId w:val="13"/>
              </w:numPr>
            </w:pPr>
            <w:r>
              <w:t xml:space="preserve">It is </w:t>
            </w:r>
            <w:r w:rsidR="00EA5CEA">
              <w:t>positive that organisations of persons with disabilities will be involved in this.</w:t>
            </w:r>
          </w:p>
          <w:p w14:paraId="009C6098" w14:textId="71B0D64D" w:rsidR="00B735F0" w:rsidRDefault="00845D56" w:rsidP="009224D9">
            <w:pPr>
              <w:rPr>
                <w:b/>
                <w:bCs/>
              </w:rPr>
            </w:pPr>
            <w:r>
              <w:rPr>
                <w:b/>
                <w:bCs/>
              </w:rPr>
              <w:t xml:space="preserve">Neutral </w:t>
            </w:r>
            <w:r w:rsidR="009224D9" w:rsidRPr="00EB20E6">
              <w:rPr>
                <w:b/>
                <w:bCs/>
              </w:rPr>
              <w:t>point:</w:t>
            </w:r>
          </w:p>
          <w:p w14:paraId="49095A63" w14:textId="77777777" w:rsidR="00485E45" w:rsidRDefault="00EA5CEA" w:rsidP="00EA5C76">
            <w:pPr>
              <w:pStyle w:val="ListParagraph"/>
              <w:numPr>
                <w:ilvl w:val="0"/>
                <w:numId w:val="13"/>
              </w:numPr>
            </w:pPr>
            <w:r>
              <w:t>Unclear at what stages the consultation will happen and if the consultation will allow for substantial changes</w:t>
            </w:r>
            <w:r w:rsidR="00485E45">
              <w:t>.</w:t>
            </w:r>
          </w:p>
          <w:p w14:paraId="1876114C" w14:textId="132D39A6" w:rsidR="00EA5CEA" w:rsidRPr="00CE713D" w:rsidRDefault="00EA5CEA" w:rsidP="00485E45">
            <w:pPr>
              <w:pStyle w:val="ListParagraph"/>
            </w:pPr>
            <w:r>
              <w:t xml:space="preserve"> </w:t>
            </w:r>
          </w:p>
        </w:tc>
        <w:tc>
          <w:tcPr>
            <w:tcW w:w="5130" w:type="dxa"/>
          </w:tcPr>
          <w:p w14:paraId="04824716" w14:textId="6A573447" w:rsidR="00B735F0" w:rsidRPr="00CE713D" w:rsidRDefault="00FE296D">
            <w:r>
              <w:t xml:space="preserve">Make sure that consultation is meaningful, that it happens at stages in the process that will allow for consultation to </w:t>
            </w:r>
            <w:proofErr w:type="gramStart"/>
            <w:r>
              <w:t>actually have</w:t>
            </w:r>
            <w:proofErr w:type="gramEnd"/>
            <w:r>
              <w:t xml:space="preserve"> an impact on the final product</w:t>
            </w:r>
            <w:r w:rsidR="00833832">
              <w:t>.</w:t>
            </w:r>
          </w:p>
        </w:tc>
      </w:tr>
      <w:tr w:rsidR="00B735F0" w:rsidRPr="00CE713D" w14:paraId="60E3B0A1" w14:textId="77777777">
        <w:tc>
          <w:tcPr>
            <w:tcW w:w="5129" w:type="dxa"/>
          </w:tcPr>
          <w:p w14:paraId="78B58E35" w14:textId="77777777" w:rsidR="00B735F0" w:rsidRDefault="00EB20E6" w:rsidP="00EB20E6">
            <w:r>
              <w:lastRenderedPageBreak/>
              <w:t xml:space="preserve">Support of </w:t>
            </w:r>
            <w:r w:rsidRPr="00CE713D">
              <w:t xml:space="preserve">young persons with disabilities </w:t>
            </w:r>
            <w:r w:rsidR="00B735F0" w:rsidRPr="00CE713D">
              <w:t xml:space="preserve">through the </w:t>
            </w:r>
            <w:proofErr w:type="spellStart"/>
            <w:r w:rsidR="00B735F0" w:rsidRPr="00CE713D">
              <w:t>DiscoverEU</w:t>
            </w:r>
            <w:proofErr w:type="spellEnd"/>
            <w:r w:rsidR="00B735F0" w:rsidRPr="00CE713D">
              <w:t xml:space="preserve"> Inclusion Action</w:t>
            </w:r>
            <w:r w:rsidR="00CF5885">
              <w:t>.</w:t>
            </w:r>
          </w:p>
          <w:p w14:paraId="01CACBC7" w14:textId="54C41137" w:rsidR="00485E45" w:rsidRPr="00CE713D" w:rsidRDefault="00485E45" w:rsidP="00EB20E6"/>
        </w:tc>
        <w:tc>
          <w:tcPr>
            <w:tcW w:w="5129" w:type="dxa"/>
          </w:tcPr>
          <w:p w14:paraId="2224F422" w14:textId="77777777" w:rsidR="008A14B1" w:rsidRDefault="008D6572" w:rsidP="002A6E4E">
            <w:pPr>
              <w:rPr>
                <w:b/>
                <w:bCs/>
              </w:rPr>
            </w:pPr>
            <w:r>
              <w:rPr>
                <w:b/>
                <w:bCs/>
              </w:rPr>
              <w:t>Neutral</w:t>
            </w:r>
            <w:r w:rsidR="002A6E4E">
              <w:rPr>
                <w:b/>
                <w:bCs/>
              </w:rPr>
              <w:t xml:space="preserve">. </w:t>
            </w:r>
          </w:p>
          <w:p w14:paraId="5BF84824" w14:textId="239B9161" w:rsidR="00FD507D" w:rsidRPr="002A6E4E" w:rsidRDefault="008D6572" w:rsidP="002A6E4E">
            <w:pPr>
              <w:rPr>
                <w:b/>
                <w:bCs/>
              </w:rPr>
            </w:pPr>
            <w:r>
              <w:t>Not</w:t>
            </w:r>
            <w:r w:rsidR="002A6E4E">
              <w:t xml:space="preserve"> a</w:t>
            </w:r>
            <w:r>
              <w:t xml:space="preserve"> new action.</w:t>
            </w:r>
          </w:p>
        </w:tc>
        <w:tc>
          <w:tcPr>
            <w:tcW w:w="5130" w:type="dxa"/>
          </w:tcPr>
          <w:p w14:paraId="5EF4656B" w14:textId="27788A51" w:rsidR="00B735F0" w:rsidRPr="00CE713D" w:rsidRDefault="00927A5F">
            <w:r>
              <w:t>Promote this initiative among young persons with disabilities</w:t>
            </w:r>
            <w:r w:rsidR="008120AD">
              <w:t>.</w:t>
            </w:r>
          </w:p>
        </w:tc>
      </w:tr>
      <w:tr w:rsidR="00B735F0" w:rsidRPr="00CE713D" w14:paraId="2AD2DCDE" w14:textId="77777777">
        <w:tc>
          <w:tcPr>
            <w:tcW w:w="5129" w:type="dxa"/>
          </w:tcPr>
          <w:p w14:paraId="0712BFBD" w14:textId="7FDAAE96" w:rsidR="00B735F0" w:rsidRPr="00CE713D" w:rsidRDefault="00EB20E6" w:rsidP="00B735F0">
            <w:r>
              <w:t>Promoting</w:t>
            </w:r>
            <w:r w:rsidR="00B735F0" w:rsidRPr="00CE713D">
              <w:t xml:space="preserve"> inclusion and accessibility in sport, including through the #BeActive EU Sport Awards “Inclusion” category and the European Week of Sports campaign.</w:t>
            </w:r>
          </w:p>
          <w:p w14:paraId="19FC0CDF" w14:textId="77777777" w:rsidR="00B735F0" w:rsidRPr="00CE713D" w:rsidRDefault="00B735F0"/>
        </w:tc>
        <w:tc>
          <w:tcPr>
            <w:tcW w:w="5129" w:type="dxa"/>
          </w:tcPr>
          <w:p w14:paraId="44A8612C" w14:textId="77777777" w:rsidR="00B749A5" w:rsidRDefault="00AD0A04" w:rsidP="00E80A15">
            <w:pPr>
              <w:rPr>
                <w:b/>
                <w:bCs/>
              </w:rPr>
            </w:pPr>
            <w:r>
              <w:rPr>
                <w:b/>
                <w:bCs/>
              </w:rPr>
              <w:t>Neutral</w:t>
            </w:r>
            <w:r w:rsidR="00E80A15">
              <w:rPr>
                <w:b/>
                <w:bCs/>
              </w:rPr>
              <w:t xml:space="preserve">. </w:t>
            </w:r>
          </w:p>
          <w:p w14:paraId="75868E91" w14:textId="6ACDE695" w:rsidR="00F62A7F" w:rsidRPr="00E80A15" w:rsidRDefault="00955BF1" w:rsidP="00E80A15">
            <w:pPr>
              <w:rPr>
                <w:b/>
                <w:bCs/>
              </w:rPr>
            </w:pPr>
            <w:r>
              <w:t xml:space="preserve">Not </w:t>
            </w:r>
            <w:r w:rsidR="00B749A5">
              <w:t xml:space="preserve">a </w:t>
            </w:r>
            <w:r>
              <w:t>new action, although</w:t>
            </w:r>
            <w:r w:rsidR="001E73D0">
              <w:t xml:space="preserve"> it is positive to </w:t>
            </w:r>
            <w:r w:rsidR="000E27D2">
              <w:t>sports</w:t>
            </w:r>
          </w:p>
        </w:tc>
        <w:tc>
          <w:tcPr>
            <w:tcW w:w="5130" w:type="dxa"/>
          </w:tcPr>
          <w:p w14:paraId="73C302F4" w14:textId="77777777" w:rsidR="00B735F0" w:rsidRDefault="00832632">
            <w:r>
              <w:t xml:space="preserve">Avoid </w:t>
            </w:r>
            <w:r w:rsidR="0064692B">
              <w:t xml:space="preserve">examples of sports inclusion that are </w:t>
            </w:r>
            <w:r w:rsidR="002A6B8F">
              <w:t xml:space="preserve">too charitable or </w:t>
            </w:r>
            <w:r w:rsidR="00EC1957">
              <w:t xml:space="preserve">‘inspirational’ and focus instead on </w:t>
            </w:r>
            <w:r w:rsidR="00221274">
              <w:t>genuine</w:t>
            </w:r>
            <w:r w:rsidR="007B1891">
              <w:t xml:space="preserve"> inclusion in sports that facilitates </w:t>
            </w:r>
            <w:r w:rsidR="009C4234">
              <w:t xml:space="preserve">meaningful and respectful community inclusion at the same time. </w:t>
            </w:r>
          </w:p>
          <w:p w14:paraId="46183C6C" w14:textId="5895DE55" w:rsidR="005E7D23" w:rsidRPr="00CE713D" w:rsidRDefault="005E7D23"/>
        </w:tc>
      </w:tr>
    </w:tbl>
    <w:p w14:paraId="760CA482" w14:textId="77777777" w:rsidR="00F60C29" w:rsidRPr="00CE713D" w:rsidRDefault="00F60C29" w:rsidP="00465371"/>
    <w:p w14:paraId="263EDAD2" w14:textId="77777777" w:rsidR="00F60C29" w:rsidRPr="00CE713D" w:rsidRDefault="00F60C29" w:rsidP="00002939">
      <w:pPr>
        <w:pStyle w:val="Heading2"/>
      </w:pPr>
      <w:bookmarkStart w:id="47" w:name="_Toc235203125"/>
      <w:r w:rsidRPr="00CE713D">
        <w:t>5. Promoting the rights of persons with disabilities globally</w:t>
      </w:r>
      <w:bookmarkEnd w:id="47"/>
    </w:p>
    <w:p w14:paraId="2633E19C" w14:textId="162E9737" w:rsidR="00F60C29" w:rsidRPr="00CE713D" w:rsidRDefault="00F60C29" w:rsidP="00002939">
      <w:pPr>
        <w:pStyle w:val="Heading3"/>
      </w:pPr>
      <w:r w:rsidRPr="00CE713D">
        <w:t>External action</w:t>
      </w:r>
    </w:p>
    <w:tbl>
      <w:tblPr>
        <w:tblStyle w:val="TableGrid"/>
        <w:tblW w:w="0" w:type="auto"/>
        <w:tblLook w:val="04A0" w:firstRow="1" w:lastRow="0" w:firstColumn="1" w:lastColumn="0" w:noHBand="0" w:noVBand="1"/>
      </w:tblPr>
      <w:tblGrid>
        <w:gridCol w:w="5129"/>
        <w:gridCol w:w="5129"/>
        <w:gridCol w:w="5130"/>
      </w:tblGrid>
      <w:tr w:rsidR="00CE713D" w:rsidRPr="00CE713D" w14:paraId="0896211E" w14:textId="77777777" w:rsidTr="6870A085">
        <w:trPr>
          <w:tblHeader/>
        </w:trPr>
        <w:tc>
          <w:tcPr>
            <w:tcW w:w="5129" w:type="dxa"/>
          </w:tcPr>
          <w:p w14:paraId="24A1405B" w14:textId="77777777" w:rsidR="00CE713D" w:rsidRPr="00CE713D" w:rsidRDefault="00CE713D">
            <w:pPr>
              <w:rPr>
                <w:b/>
                <w:bCs/>
              </w:rPr>
            </w:pPr>
            <w:r w:rsidRPr="00CE713D">
              <w:rPr>
                <w:b/>
                <w:bCs/>
              </w:rPr>
              <w:t>Action in the Disability Strategy</w:t>
            </w:r>
          </w:p>
        </w:tc>
        <w:tc>
          <w:tcPr>
            <w:tcW w:w="5129" w:type="dxa"/>
          </w:tcPr>
          <w:p w14:paraId="592E96C2" w14:textId="77777777" w:rsidR="00CE713D" w:rsidRPr="00CE713D" w:rsidRDefault="00CE713D">
            <w:pPr>
              <w:rPr>
                <w:b/>
                <w:bCs/>
              </w:rPr>
            </w:pPr>
            <w:r w:rsidRPr="00CE713D">
              <w:rPr>
                <w:b/>
                <w:bCs/>
              </w:rPr>
              <w:t>Evaluation by EDF</w:t>
            </w:r>
          </w:p>
        </w:tc>
        <w:tc>
          <w:tcPr>
            <w:tcW w:w="5130" w:type="dxa"/>
          </w:tcPr>
          <w:p w14:paraId="6B5A770D" w14:textId="77777777" w:rsidR="00CE713D" w:rsidRPr="00CE713D" w:rsidRDefault="00CE713D">
            <w:pPr>
              <w:rPr>
                <w:b/>
                <w:bCs/>
              </w:rPr>
            </w:pPr>
            <w:r w:rsidRPr="00CE713D">
              <w:rPr>
                <w:b/>
                <w:bCs/>
              </w:rPr>
              <w:t>Priorities for implementation</w:t>
            </w:r>
          </w:p>
        </w:tc>
      </w:tr>
      <w:tr w:rsidR="00EE290F" w:rsidRPr="00CE713D" w14:paraId="068C063A" w14:textId="77777777" w:rsidTr="6870A085">
        <w:tc>
          <w:tcPr>
            <w:tcW w:w="5129" w:type="dxa"/>
          </w:tcPr>
          <w:p w14:paraId="19E981A8" w14:textId="7865AB32" w:rsidR="00EE290F" w:rsidRDefault="00EE290F" w:rsidP="00CE713D">
            <w:r w:rsidRPr="00EE290F">
              <w:t>The Commission will also continue to cooperate with the UNCRPD Committee including by supporting membership of EU experts in the Committee.</w:t>
            </w:r>
          </w:p>
        </w:tc>
        <w:tc>
          <w:tcPr>
            <w:tcW w:w="5129" w:type="dxa"/>
          </w:tcPr>
          <w:p w14:paraId="2949DD64" w14:textId="77777777" w:rsidR="00B749A5" w:rsidRDefault="005E3C26" w:rsidP="4B8B95E8">
            <w:r>
              <w:rPr>
                <w:b/>
                <w:bCs/>
              </w:rPr>
              <w:t>Neutral</w:t>
            </w:r>
            <w:r w:rsidR="00E80A15" w:rsidRPr="00E80A15">
              <w:rPr>
                <w:b/>
                <w:bCs/>
              </w:rPr>
              <w:t>.</w:t>
            </w:r>
            <w:r w:rsidR="00780573">
              <w:t xml:space="preserve"> </w:t>
            </w:r>
          </w:p>
          <w:p w14:paraId="2E1FD75C" w14:textId="6C1B864A" w:rsidR="00EE290F" w:rsidRDefault="005E3C26" w:rsidP="4B8B95E8">
            <w:r>
              <w:t>N</w:t>
            </w:r>
            <w:r w:rsidR="00780573">
              <w:t xml:space="preserve">ot new </w:t>
            </w:r>
            <w:r w:rsidR="0082623A">
              <w:t>action.</w:t>
            </w:r>
          </w:p>
        </w:tc>
        <w:tc>
          <w:tcPr>
            <w:tcW w:w="5130" w:type="dxa"/>
          </w:tcPr>
          <w:p w14:paraId="692DFAC7" w14:textId="161B9CAD" w:rsidR="00EE290F" w:rsidRDefault="005F7E43" w:rsidP="00E80A15">
            <w:pPr>
              <w:rPr>
                <w:rFonts w:eastAsia="Verdana" w:cs="Verdana"/>
                <w:szCs w:val="24"/>
              </w:rPr>
            </w:pPr>
            <w:r w:rsidRPr="00E80A15">
              <w:rPr>
                <w:rFonts w:eastAsia="Verdana" w:cs="Verdana"/>
                <w:szCs w:val="24"/>
              </w:rPr>
              <w:t>Whereas it is positive that the E</w:t>
            </w:r>
            <w:r w:rsidR="00193117" w:rsidRPr="00E80A15">
              <w:rPr>
                <w:rFonts w:eastAsia="Verdana" w:cs="Verdana"/>
                <w:szCs w:val="24"/>
              </w:rPr>
              <w:t>U as CRPD state party presents candidate member</w:t>
            </w:r>
            <w:r w:rsidR="004F06DA">
              <w:rPr>
                <w:rFonts w:eastAsia="Verdana" w:cs="Verdana"/>
                <w:szCs w:val="24"/>
              </w:rPr>
              <w:t>s</w:t>
            </w:r>
            <w:r w:rsidR="00193117" w:rsidRPr="00E80A15">
              <w:rPr>
                <w:rFonts w:eastAsia="Verdana" w:cs="Verdana"/>
                <w:szCs w:val="24"/>
              </w:rPr>
              <w:t xml:space="preserve"> to the CRPD committee, </w:t>
            </w:r>
            <w:r w:rsidR="001F4BD0" w:rsidRPr="00E80A15">
              <w:rPr>
                <w:rFonts w:eastAsia="Verdana" w:cs="Verdana"/>
                <w:szCs w:val="24"/>
              </w:rPr>
              <w:t>the selection proc</w:t>
            </w:r>
            <w:r w:rsidR="00645919" w:rsidRPr="00E80A15">
              <w:rPr>
                <w:rFonts w:eastAsia="Verdana" w:cs="Verdana"/>
                <w:szCs w:val="24"/>
              </w:rPr>
              <w:t xml:space="preserve">ess should </w:t>
            </w:r>
            <w:r w:rsidR="002B14F6" w:rsidRPr="00E80A15">
              <w:rPr>
                <w:rFonts w:eastAsia="Verdana" w:cs="Verdana"/>
                <w:szCs w:val="24"/>
              </w:rPr>
              <w:t>involve and include the European disability movement.</w:t>
            </w:r>
          </w:p>
          <w:p w14:paraId="1695A949" w14:textId="758F3A8D" w:rsidR="005E3C26" w:rsidRPr="00E80A15" w:rsidRDefault="005E3C26" w:rsidP="00E80A15">
            <w:pPr>
              <w:rPr>
                <w:rFonts w:eastAsia="Verdana" w:cs="Verdana"/>
                <w:szCs w:val="24"/>
              </w:rPr>
            </w:pPr>
          </w:p>
        </w:tc>
      </w:tr>
      <w:tr w:rsidR="00CE713D" w:rsidRPr="00CE713D" w14:paraId="0E1A6318" w14:textId="77777777" w:rsidTr="6870A085">
        <w:tc>
          <w:tcPr>
            <w:tcW w:w="5129" w:type="dxa"/>
          </w:tcPr>
          <w:p w14:paraId="5470EF30" w14:textId="15231EE4" w:rsidR="00CE713D" w:rsidRPr="00CE713D" w:rsidRDefault="00EB20E6" w:rsidP="00CE713D">
            <w:r>
              <w:t>R</w:t>
            </w:r>
            <w:r w:rsidR="00CE713D" w:rsidRPr="00CE713D">
              <w:t>eview of the EU action plan on human rights and democracy 2020- 2027 to place a stronger emphasis on disability.</w:t>
            </w:r>
          </w:p>
          <w:p w14:paraId="028124E3" w14:textId="77777777" w:rsidR="00CE713D" w:rsidRPr="00CE713D" w:rsidRDefault="00CE713D"/>
        </w:tc>
        <w:tc>
          <w:tcPr>
            <w:tcW w:w="5129" w:type="dxa"/>
          </w:tcPr>
          <w:p w14:paraId="0C01F1E0" w14:textId="7603627A" w:rsidR="00E80A15" w:rsidRPr="00E80A15" w:rsidRDefault="3952E99B" w:rsidP="4B8B95E8">
            <w:pPr>
              <w:rPr>
                <w:b/>
                <w:bCs/>
              </w:rPr>
            </w:pPr>
            <w:r w:rsidRPr="00E80A15">
              <w:rPr>
                <w:b/>
                <w:bCs/>
              </w:rPr>
              <w:t>Positive</w:t>
            </w:r>
            <w:r w:rsidR="00E80A15" w:rsidRPr="00E80A15">
              <w:rPr>
                <w:b/>
                <w:bCs/>
              </w:rPr>
              <w:t xml:space="preserve"> point</w:t>
            </w:r>
            <w:r w:rsidRPr="00E80A15">
              <w:rPr>
                <w:b/>
                <w:bCs/>
              </w:rPr>
              <w:t xml:space="preserve">: </w:t>
            </w:r>
          </w:p>
          <w:p w14:paraId="4ECDEDD0" w14:textId="1E3B4222" w:rsidR="6870A085" w:rsidRPr="004F06DA" w:rsidRDefault="3CE596BD" w:rsidP="00EA5C76">
            <w:pPr>
              <w:pStyle w:val="ListParagraph"/>
              <w:numPr>
                <w:ilvl w:val="0"/>
                <w:numId w:val="13"/>
              </w:numPr>
            </w:pPr>
            <w:r>
              <w:t>S</w:t>
            </w:r>
            <w:r w:rsidR="3952E99B" w:rsidRPr="00E80A15">
              <w:rPr>
                <w:rFonts w:eastAsia="Verdana" w:cs="Verdana"/>
                <w:szCs w:val="24"/>
              </w:rPr>
              <w:t>tronger disability mainstreaming in EU external action.</w:t>
            </w:r>
          </w:p>
          <w:p w14:paraId="301F6751" w14:textId="7AE5DEA0" w:rsidR="00E80A15" w:rsidRPr="00E80A15" w:rsidRDefault="3952E99B" w:rsidP="6870A085">
            <w:pPr>
              <w:rPr>
                <w:rFonts w:eastAsia="Verdana" w:cs="Verdana"/>
                <w:b/>
                <w:bCs/>
                <w:szCs w:val="24"/>
              </w:rPr>
            </w:pPr>
            <w:r w:rsidRPr="00E80A15">
              <w:rPr>
                <w:rFonts w:eastAsia="Verdana" w:cs="Verdana"/>
                <w:b/>
                <w:bCs/>
                <w:szCs w:val="24"/>
              </w:rPr>
              <w:t>Negative</w:t>
            </w:r>
            <w:r w:rsidR="00E80A15" w:rsidRPr="00E80A15">
              <w:rPr>
                <w:rFonts w:eastAsia="Verdana" w:cs="Verdana"/>
                <w:b/>
                <w:bCs/>
                <w:szCs w:val="24"/>
              </w:rPr>
              <w:t xml:space="preserve"> point</w:t>
            </w:r>
            <w:r w:rsidRPr="00E80A15">
              <w:rPr>
                <w:rFonts w:eastAsia="Verdana" w:cs="Verdana"/>
                <w:b/>
                <w:bCs/>
                <w:szCs w:val="24"/>
              </w:rPr>
              <w:t xml:space="preserve">: </w:t>
            </w:r>
            <w:r w:rsidR="5508501C" w:rsidRPr="00E80A15">
              <w:rPr>
                <w:rFonts w:eastAsia="Verdana" w:cs="Verdana"/>
                <w:b/>
                <w:bCs/>
                <w:szCs w:val="24"/>
              </w:rPr>
              <w:t xml:space="preserve"> </w:t>
            </w:r>
          </w:p>
          <w:p w14:paraId="744BA657" w14:textId="7EB2E59B" w:rsidR="00CE713D" w:rsidRPr="00E80A15" w:rsidRDefault="5508501C" w:rsidP="00EA5C76">
            <w:pPr>
              <w:pStyle w:val="ListParagraph"/>
              <w:numPr>
                <w:ilvl w:val="0"/>
                <w:numId w:val="13"/>
              </w:numPr>
              <w:rPr>
                <w:rFonts w:eastAsia="Verdana" w:cs="Verdana"/>
                <w:szCs w:val="24"/>
              </w:rPr>
            </w:pPr>
            <w:r w:rsidRPr="00E80A15">
              <w:rPr>
                <w:rFonts w:eastAsia="Verdana" w:cs="Verdana"/>
                <w:szCs w:val="24"/>
              </w:rPr>
              <w:t xml:space="preserve">While stronger disability mainstreaming is welcome, there </w:t>
            </w:r>
            <w:r w:rsidRPr="00E80A15">
              <w:rPr>
                <w:rFonts w:eastAsia="Verdana" w:cs="Verdana"/>
                <w:szCs w:val="24"/>
              </w:rPr>
              <w:lastRenderedPageBreak/>
              <w:t>is a risk that disability becomes diluted within broader human rights and equality objectives if it is not accompanied by specific commitments, targets and dedicated actions. The strategy does not clarify how disability rights will be systematically prioritised and monitored within the revised Action Plan.</w:t>
            </w:r>
          </w:p>
          <w:p w14:paraId="2F70D9A7" w14:textId="569E5BD9" w:rsidR="00CE713D" w:rsidRPr="00CE713D" w:rsidRDefault="00CE713D" w:rsidP="6870A085">
            <w:pPr>
              <w:rPr>
                <w:rFonts w:eastAsia="Verdana" w:cs="Verdana"/>
                <w:szCs w:val="24"/>
              </w:rPr>
            </w:pPr>
          </w:p>
        </w:tc>
        <w:tc>
          <w:tcPr>
            <w:tcW w:w="5130" w:type="dxa"/>
          </w:tcPr>
          <w:p w14:paraId="1588D2C3" w14:textId="74EF4083" w:rsidR="00CE713D" w:rsidRPr="004F06DA" w:rsidRDefault="605E3E98" w:rsidP="00EA5C76">
            <w:pPr>
              <w:pStyle w:val="ListParagraph"/>
              <w:numPr>
                <w:ilvl w:val="0"/>
                <w:numId w:val="48"/>
              </w:numPr>
              <w:rPr>
                <w:rFonts w:eastAsia="Verdana" w:cs="Verdana"/>
                <w:szCs w:val="24"/>
              </w:rPr>
            </w:pPr>
            <w:r w:rsidRPr="004F06DA">
              <w:rPr>
                <w:rFonts w:eastAsia="Verdana" w:cs="Verdana"/>
                <w:szCs w:val="24"/>
              </w:rPr>
              <w:lastRenderedPageBreak/>
              <w:t xml:space="preserve">Ensure the revised Action Plan adopts a CRPD-compliant human rights-based approach, combining disability mainstreaming with targeted actions. </w:t>
            </w:r>
          </w:p>
          <w:p w14:paraId="488314A7" w14:textId="77777777" w:rsidR="00E80A15" w:rsidRDefault="00E80A15" w:rsidP="00E80A15">
            <w:pPr>
              <w:rPr>
                <w:rFonts w:eastAsia="Verdana" w:cs="Verdana"/>
                <w:szCs w:val="24"/>
              </w:rPr>
            </w:pPr>
          </w:p>
          <w:p w14:paraId="23019915" w14:textId="126FFB8E" w:rsidR="00E80A15" w:rsidRPr="004F06DA" w:rsidRDefault="605E3E98" w:rsidP="00EA5C76">
            <w:pPr>
              <w:pStyle w:val="ListParagraph"/>
              <w:numPr>
                <w:ilvl w:val="0"/>
                <w:numId w:val="48"/>
              </w:numPr>
              <w:rPr>
                <w:rFonts w:eastAsia="Verdana" w:cs="Verdana"/>
                <w:szCs w:val="24"/>
              </w:rPr>
            </w:pPr>
            <w:r w:rsidRPr="004F06DA">
              <w:rPr>
                <w:rFonts w:eastAsia="Verdana" w:cs="Verdana"/>
                <w:szCs w:val="24"/>
              </w:rPr>
              <w:lastRenderedPageBreak/>
              <w:t xml:space="preserve">Integrate disability rights across programming, human rights dialogues and cooperation frameworks, with meaningful participation of OPDs. </w:t>
            </w:r>
          </w:p>
          <w:p w14:paraId="4FB2E215" w14:textId="7BEC7291" w:rsidR="00E80A15" w:rsidRPr="004F06DA" w:rsidRDefault="605E3E98" w:rsidP="00EA5C76">
            <w:pPr>
              <w:pStyle w:val="ListParagraph"/>
              <w:numPr>
                <w:ilvl w:val="0"/>
                <w:numId w:val="48"/>
              </w:numPr>
              <w:rPr>
                <w:rFonts w:eastAsia="Verdana" w:cs="Verdana"/>
                <w:szCs w:val="24"/>
              </w:rPr>
            </w:pPr>
            <w:r w:rsidRPr="004F06DA">
              <w:rPr>
                <w:rFonts w:eastAsia="Verdana" w:cs="Verdana"/>
                <w:szCs w:val="24"/>
              </w:rPr>
              <w:t xml:space="preserve">Back commitments with dedicated funding and clear monitoring and accountability mechanisms, including support for OPDs. </w:t>
            </w:r>
          </w:p>
          <w:p w14:paraId="5AC298B8" w14:textId="4F92364E" w:rsidR="00E80A15" w:rsidRPr="004F06DA" w:rsidRDefault="394837CF" w:rsidP="00EA5C76">
            <w:pPr>
              <w:pStyle w:val="ListParagraph"/>
              <w:numPr>
                <w:ilvl w:val="0"/>
                <w:numId w:val="48"/>
              </w:numPr>
              <w:rPr>
                <w:rFonts w:eastAsia="Verdana" w:cs="Verdana"/>
                <w:szCs w:val="24"/>
              </w:rPr>
            </w:pPr>
            <w:r w:rsidRPr="004F06DA">
              <w:rPr>
                <w:rFonts w:eastAsia="Verdana" w:cs="Verdana"/>
                <w:szCs w:val="24"/>
              </w:rPr>
              <w:t>Ensure accessibility and disability inclusion are systematically integrated across EU external action, including through disability focal points in EU Delegations</w:t>
            </w:r>
            <w:r w:rsidR="0D956780" w:rsidRPr="004F06DA">
              <w:rPr>
                <w:rFonts w:eastAsia="Verdana" w:cs="Verdana"/>
                <w:szCs w:val="24"/>
              </w:rPr>
              <w:t>.</w:t>
            </w:r>
          </w:p>
          <w:p w14:paraId="154C62CC" w14:textId="319D7826" w:rsidR="6870A085" w:rsidRPr="004F06DA" w:rsidRDefault="0D956780" w:rsidP="00EA5C76">
            <w:pPr>
              <w:pStyle w:val="ListParagraph"/>
              <w:numPr>
                <w:ilvl w:val="0"/>
                <w:numId w:val="48"/>
              </w:numPr>
              <w:rPr>
                <w:rFonts w:eastAsia="Verdana" w:cs="Verdana"/>
                <w:szCs w:val="24"/>
              </w:rPr>
            </w:pPr>
            <w:r w:rsidRPr="004F06DA">
              <w:rPr>
                <w:rFonts w:eastAsia="Verdana" w:cs="Verdana"/>
                <w:szCs w:val="24"/>
              </w:rPr>
              <w:t xml:space="preserve">Ensure the meaningful participation and </w:t>
            </w:r>
            <w:r w:rsidR="16316784" w:rsidRPr="004F06DA">
              <w:rPr>
                <w:rFonts w:eastAsia="Verdana" w:cs="Verdana"/>
                <w:szCs w:val="24"/>
              </w:rPr>
              <w:t xml:space="preserve">adequate </w:t>
            </w:r>
            <w:r w:rsidRPr="004F06DA">
              <w:rPr>
                <w:rFonts w:eastAsia="Verdana" w:cs="Verdana"/>
                <w:szCs w:val="24"/>
              </w:rPr>
              <w:t xml:space="preserve">resourcing of local organisations of persons with disabilities </w:t>
            </w:r>
            <w:r w:rsidR="15F23A8B" w:rsidRPr="004F06DA">
              <w:rPr>
                <w:rFonts w:eastAsia="Verdana" w:cs="Verdana"/>
                <w:szCs w:val="24"/>
              </w:rPr>
              <w:t>throughout the design, implementation and monitoring of EU external action.</w:t>
            </w:r>
          </w:p>
          <w:p w14:paraId="175AB690" w14:textId="12A313FC" w:rsidR="00CE713D" w:rsidRPr="00CE713D" w:rsidRDefault="00CE713D"/>
        </w:tc>
      </w:tr>
      <w:tr w:rsidR="00CE713D" w:rsidRPr="00CE713D" w14:paraId="62776554" w14:textId="77777777" w:rsidTr="6870A085">
        <w:tc>
          <w:tcPr>
            <w:tcW w:w="5129" w:type="dxa"/>
          </w:tcPr>
          <w:p w14:paraId="6EA3715E" w14:textId="62B7BFE8" w:rsidR="00CE713D" w:rsidRPr="00CE713D" w:rsidRDefault="00EB20E6" w:rsidP="00CE713D">
            <w:r>
              <w:lastRenderedPageBreak/>
              <w:t>E</w:t>
            </w:r>
            <w:r w:rsidR="00CE713D" w:rsidRPr="00CE713D">
              <w:t xml:space="preserve">nhance disability inclusion in </w:t>
            </w:r>
            <w:r w:rsidR="004E6B3D">
              <w:t>G</w:t>
            </w:r>
            <w:r w:rsidR="00CE713D" w:rsidRPr="00CE713D">
              <w:t xml:space="preserve">lobal </w:t>
            </w:r>
            <w:r w:rsidR="004E6B3D">
              <w:t>G</w:t>
            </w:r>
            <w:r w:rsidR="00CE713D" w:rsidRPr="00CE713D">
              <w:t>ateway investments and promote accessibility in infrastructure programmes, including in post-conflict reconstruction and recovery</w:t>
            </w:r>
            <w:r w:rsidR="004E6B3D">
              <w:t>.</w:t>
            </w:r>
          </w:p>
          <w:p w14:paraId="25584CB6" w14:textId="77777777" w:rsidR="00CE713D" w:rsidRPr="00CE713D" w:rsidRDefault="00CE713D"/>
        </w:tc>
        <w:tc>
          <w:tcPr>
            <w:tcW w:w="5129" w:type="dxa"/>
          </w:tcPr>
          <w:p w14:paraId="41CE0651" w14:textId="133E8507" w:rsidR="00B731C7" w:rsidRPr="00F0592A" w:rsidRDefault="51F80308" w:rsidP="4B8B95E8">
            <w:pPr>
              <w:rPr>
                <w:rFonts w:eastAsia="Verdana" w:cs="Verdana"/>
                <w:b/>
                <w:bCs/>
                <w:szCs w:val="24"/>
              </w:rPr>
            </w:pPr>
            <w:r w:rsidRPr="00F0592A">
              <w:rPr>
                <w:rFonts w:eastAsia="Verdana" w:cs="Verdana"/>
                <w:b/>
                <w:bCs/>
                <w:szCs w:val="24"/>
              </w:rPr>
              <w:t>Positive</w:t>
            </w:r>
            <w:r w:rsidR="00FD3B68" w:rsidRPr="00F0592A">
              <w:rPr>
                <w:rFonts w:eastAsia="Verdana" w:cs="Verdana"/>
                <w:b/>
                <w:bCs/>
                <w:szCs w:val="24"/>
              </w:rPr>
              <w:t xml:space="preserve"> point</w:t>
            </w:r>
            <w:r w:rsidRPr="00F0592A">
              <w:rPr>
                <w:rFonts w:eastAsia="Verdana" w:cs="Verdana"/>
                <w:b/>
                <w:bCs/>
                <w:szCs w:val="24"/>
              </w:rPr>
              <w:t xml:space="preserve">: </w:t>
            </w:r>
          </w:p>
          <w:p w14:paraId="5D193E43" w14:textId="2807C8F6" w:rsidR="00CE713D" w:rsidRPr="004F06DA" w:rsidRDefault="004F668A" w:rsidP="00EA5C76">
            <w:pPr>
              <w:pStyle w:val="ListParagraph"/>
              <w:numPr>
                <w:ilvl w:val="0"/>
                <w:numId w:val="13"/>
              </w:numPr>
            </w:pPr>
            <w:r>
              <w:rPr>
                <w:rFonts w:eastAsia="Verdana" w:cs="Verdana"/>
                <w:szCs w:val="24"/>
              </w:rPr>
              <w:t>It s</w:t>
            </w:r>
            <w:r w:rsidR="51F80308" w:rsidRPr="00B731C7">
              <w:rPr>
                <w:rFonts w:eastAsia="Verdana" w:cs="Verdana"/>
                <w:szCs w:val="24"/>
              </w:rPr>
              <w:t>tep</w:t>
            </w:r>
            <w:r>
              <w:rPr>
                <w:rFonts w:eastAsia="Verdana" w:cs="Verdana"/>
                <w:szCs w:val="24"/>
              </w:rPr>
              <w:t>s</w:t>
            </w:r>
            <w:r w:rsidR="51F80308" w:rsidRPr="00B731C7">
              <w:rPr>
                <w:rFonts w:eastAsia="Verdana" w:cs="Verdana"/>
                <w:szCs w:val="24"/>
              </w:rPr>
              <w:t xml:space="preserve"> forward the demand to strengthening disability inclusion and accessibility in EU external investments, and the focus on post-conflict reconstruction and recovery.</w:t>
            </w:r>
          </w:p>
          <w:p w14:paraId="49722FDF" w14:textId="15041AB9" w:rsidR="00F0592A" w:rsidRPr="00324796" w:rsidRDefault="295D97C5" w:rsidP="6870A085">
            <w:pPr>
              <w:rPr>
                <w:rFonts w:eastAsia="Verdana" w:cs="Verdana"/>
                <w:b/>
                <w:bCs/>
                <w:szCs w:val="24"/>
              </w:rPr>
            </w:pPr>
            <w:r w:rsidRPr="00324796">
              <w:rPr>
                <w:rFonts w:eastAsia="Verdana" w:cs="Verdana"/>
                <w:b/>
                <w:bCs/>
                <w:szCs w:val="24"/>
              </w:rPr>
              <w:t>Negative</w:t>
            </w:r>
            <w:r w:rsidR="00F0592A" w:rsidRPr="00324796">
              <w:rPr>
                <w:rFonts w:eastAsia="Verdana" w:cs="Verdana"/>
                <w:b/>
                <w:bCs/>
                <w:szCs w:val="24"/>
              </w:rPr>
              <w:t xml:space="preserve"> point</w:t>
            </w:r>
            <w:r w:rsidRPr="00324796">
              <w:rPr>
                <w:rFonts w:eastAsia="Verdana" w:cs="Verdana"/>
                <w:b/>
                <w:bCs/>
                <w:szCs w:val="24"/>
              </w:rPr>
              <w:t xml:space="preserve">: </w:t>
            </w:r>
          </w:p>
          <w:p w14:paraId="698CFC8D" w14:textId="131FE3C8" w:rsidR="00CE713D" w:rsidRPr="00F0592A" w:rsidRDefault="1D4FC9C0" w:rsidP="00EA5C76">
            <w:pPr>
              <w:pStyle w:val="ListParagraph"/>
              <w:numPr>
                <w:ilvl w:val="0"/>
                <w:numId w:val="13"/>
              </w:numPr>
              <w:rPr>
                <w:rFonts w:eastAsia="Verdana" w:cs="Verdana"/>
                <w:szCs w:val="24"/>
              </w:rPr>
            </w:pPr>
            <w:r w:rsidRPr="00F0592A">
              <w:rPr>
                <w:rFonts w:eastAsia="Verdana" w:cs="Verdana"/>
                <w:szCs w:val="24"/>
              </w:rPr>
              <w:t xml:space="preserve">There is no commitment to systematically apply accessibility </w:t>
            </w:r>
            <w:r w:rsidRPr="00F0592A">
              <w:rPr>
                <w:rFonts w:eastAsia="Verdana" w:cs="Verdana"/>
                <w:szCs w:val="24"/>
              </w:rPr>
              <w:lastRenderedPageBreak/>
              <w:t xml:space="preserve">and disability inclusion requirements throughout the project cycle, including procurement, monitoring and evaluation. </w:t>
            </w:r>
          </w:p>
          <w:p w14:paraId="4783B669" w14:textId="7C0D0ED2" w:rsidR="00CE713D" w:rsidRPr="00CE713D" w:rsidRDefault="00CE713D" w:rsidP="4B8B95E8"/>
        </w:tc>
        <w:tc>
          <w:tcPr>
            <w:tcW w:w="5130" w:type="dxa"/>
          </w:tcPr>
          <w:p w14:paraId="351FCEBC" w14:textId="54B30131" w:rsidR="00324796" w:rsidRPr="004F06DA" w:rsidRDefault="51F80308" w:rsidP="00EA5C76">
            <w:pPr>
              <w:pStyle w:val="ListParagraph"/>
              <w:numPr>
                <w:ilvl w:val="0"/>
                <w:numId w:val="49"/>
              </w:numPr>
              <w:rPr>
                <w:rFonts w:eastAsia="Verdana" w:cs="Verdana"/>
                <w:szCs w:val="24"/>
              </w:rPr>
            </w:pPr>
            <w:r w:rsidRPr="004F06DA">
              <w:rPr>
                <w:rFonts w:eastAsia="Verdana" w:cs="Verdana"/>
                <w:szCs w:val="24"/>
              </w:rPr>
              <w:lastRenderedPageBreak/>
              <w:t>Ensure accessibility and disability inclusion are mandatory requirements throughout the Global Gateway investment cycle.</w:t>
            </w:r>
          </w:p>
          <w:p w14:paraId="22F9C13F" w14:textId="27630FDF" w:rsidR="00CE713D" w:rsidRPr="004F06DA" w:rsidRDefault="2F1ADEB6" w:rsidP="00EA5C76">
            <w:pPr>
              <w:pStyle w:val="ListParagraph"/>
              <w:numPr>
                <w:ilvl w:val="0"/>
                <w:numId w:val="49"/>
              </w:numPr>
              <w:rPr>
                <w:rFonts w:eastAsia="Verdana" w:cs="Verdana"/>
                <w:szCs w:val="24"/>
              </w:rPr>
            </w:pPr>
            <w:r w:rsidRPr="004F06DA">
              <w:rPr>
                <w:rFonts w:eastAsia="Verdana" w:cs="Verdana"/>
                <w:szCs w:val="24"/>
              </w:rPr>
              <w:t xml:space="preserve">Ensure the meaningful participation and adequate resourcing of local organisations of persons with disabilities throughout the planning, </w:t>
            </w:r>
            <w:r w:rsidRPr="004F06DA">
              <w:rPr>
                <w:rFonts w:eastAsia="Verdana" w:cs="Verdana"/>
                <w:szCs w:val="24"/>
              </w:rPr>
              <w:lastRenderedPageBreak/>
              <w:t>implementation and monitoring of Global Gateway investments.</w:t>
            </w:r>
          </w:p>
        </w:tc>
      </w:tr>
      <w:tr w:rsidR="00CE713D" w:rsidRPr="00CE713D" w14:paraId="7EB0E7BD" w14:textId="77777777" w:rsidTr="6870A085">
        <w:tc>
          <w:tcPr>
            <w:tcW w:w="5129" w:type="dxa"/>
          </w:tcPr>
          <w:p w14:paraId="5FC498A2" w14:textId="4A54EC25" w:rsidR="00CE713D" w:rsidRPr="00CE713D" w:rsidRDefault="00CE713D" w:rsidP="00CE713D">
            <w:r w:rsidRPr="00CE713D">
              <w:lastRenderedPageBreak/>
              <w:t>Reporting on disability mainstreaming and targeted actions, using the OECD Development Assistance Committee disability marker to track disability inclusive funded operations</w:t>
            </w:r>
            <w:r w:rsidR="004E6B3D">
              <w:t>.</w:t>
            </w:r>
          </w:p>
          <w:p w14:paraId="19772062" w14:textId="77777777" w:rsidR="00CE713D" w:rsidRPr="00CE713D" w:rsidRDefault="00CE713D"/>
        </w:tc>
        <w:tc>
          <w:tcPr>
            <w:tcW w:w="5129" w:type="dxa"/>
          </w:tcPr>
          <w:p w14:paraId="2D82674F" w14:textId="57D54B3F" w:rsidR="00324796" w:rsidRPr="00324796" w:rsidRDefault="0B493A8C">
            <w:pPr>
              <w:rPr>
                <w:b/>
                <w:bCs/>
              </w:rPr>
            </w:pPr>
            <w:r w:rsidRPr="00324796">
              <w:rPr>
                <w:b/>
                <w:bCs/>
              </w:rPr>
              <w:t>Positive</w:t>
            </w:r>
            <w:r w:rsidR="00324796" w:rsidRPr="00324796">
              <w:rPr>
                <w:b/>
                <w:bCs/>
              </w:rPr>
              <w:t xml:space="preserve"> point</w:t>
            </w:r>
            <w:r w:rsidRPr="00324796">
              <w:rPr>
                <w:b/>
                <w:bCs/>
              </w:rPr>
              <w:t xml:space="preserve">: </w:t>
            </w:r>
          </w:p>
          <w:p w14:paraId="4E475A86" w14:textId="6D57A9D8" w:rsidR="00CE713D" w:rsidRPr="004F06DA" w:rsidRDefault="70206DBE" w:rsidP="00EA5C76">
            <w:pPr>
              <w:pStyle w:val="ListParagraph"/>
              <w:numPr>
                <w:ilvl w:val="0"/>
                <w:numId w:val="13"/>
              </w:numPr>
            </w:pPr>
            <w:r>
              <w:t>I</w:t>
            </w:r>
            <w:r w:rsidR="0B493A8C" w:rsidRPr="00324796">
              <w:rPr>
                <w:rFonts w:eastAsia="Verdana" w:cs="Verdana"/>
                <w:szCs w:val="24"/>
              </w:rPr>
              <w:t>ntroduction of the OECD DAC disability marker is a positive step towards improved monitoring and transparency of disability-inclusive EU external action.</w:t>
            </w:r>
          </w:p>
          <w:p w14:paraId="2B5009F8" w14:textId="77777777" w:rsidR="00324796" w:rsidRPr="00324796" w:rsidRDefault="0B493A8C" w:rsidP="4B8B95E8">
            <w:pPr>
              <w:rPr>
                <w:rFonts w:eastAsia="Verdana" w:cs="Verdana"/>
                <w:b/>
                <w:bCs/>
                <w:szCs w:val="24"/>
              </w:rPr>
            </w:pPr>
            <w:r w:rsidRPr="00324796">
              <w:rPr>
                <w:rFonts w:eastAsia="Verdana" w:cs="Verdana"/>
                <w:b/>
                <w:bCs/>
                <w:szCs w:val="24"/>
              </w:rPr>
              <w:t>Negative</w:t>
            </w:r>
            <w:r w:rsidR="00324796" w:rsidRPr="00324796">
              <w:rPr>
                <w:rFonts w:eastAsia="Verdana" w:cs="Verdana"/>
                <w:b/>
                <w:bCs/>
                <w:szCs w:val="24"/>
              </w:rPr>
              <w:t xml:space="preserve"> points</w:t>
            </w:r>
            <w:r w:rsidRPr="00324796">
              <w:rPr>
                <w:rFonts w:eastAsia="Verdana" w:cs="Verdana"/>
                <w:b/>
                <w:bCs/>
                <w:szCs w:val="24"/>
              </w:rPr>
              <w:t xml:space="preserve">: </w:t>
            </w:r>
            <w:r w:rsidR="5378AC45" w:rsidRPr="00324796">
              <w:rPr>
                <w:rFonts w:eastAsia="Verdana" w:cs="Verdana"/>
                <w:b/>
                <w:bCs/>
                <w:szCs w:val="24"/>
              </w:rPr>
              <w:t xml:space="preserve"> </w:t>
            </w:r>
          </w:p>
          <w:p w14:paraId="0993FA81" w14:textId="7CCB2263" w:rsidR="00CE713D" w:rsidRPr="00CE713D" w:rsidRDefault="000C3315" w:rsidP="00EA5C76">
            <w:pPr>
              <w:pStyle w:val="ListParagraph"/>
              <w:numPr>
                <w:ilvl w:val="0"/>
                <w:numId w:val="13"/>
              </w:numPr>
            </w:pPr>
            <w:r>
              <w:rPr>
                <w:rFonts w:eastAsia="Verdana" w:cs="Verdana"/>
                <w:szCs w:val="24"/>
              </w:rPr>
              <w:t xml:space="preserve">The action </w:t>
            </w:r>
            <w:r w:rsidR="5378AC45" w:rsidRPr="00324796">
              <w:rPr>
                <w:rFonts w:eastAsia="Verdana" w:cs="Verdana"/>
                <w:szCs w:val="24"/>
              </w:rPr>
              <w:t>does not explain how this information will be used to improve programmes that show weak or no disability inclusion</w:t>
            </w:r>
            <w:r w:rsidR="009A588D">
              <w:rPr>
                <w:rFonts w:eastAsia="Verdana" w:cs="Verdana"/>
                <w:szCs w:val="24"/>
              </w:rPr>
              <w:t>, nor commits to continuous progress</w:t>
            </w:r>
            <w:r w:rsidR="00905E5C">
              <w:rPr>
                <w:rFonts w:eastAsia="Verdana" w:cs="Verdana"/>
                <w:szCs w:val="24"/>
              </w:rPr>
              <w:t>.</w:t>
            </w:r>
          </w:p>
          <w:p w14:paraId="0A22136A" w14:textId="061CC4BF" w:rsidR="00CE713D" w:rsidRPr="00CE713D" w:rsidRDefault="00CE713D" w:rsidP="6870A085">
            <w:pPr>
              <w:rPr>
                <w:rFonts w:eastAsia="Verdana" w:cs="Verdana"/>
                <w:szCs w:val="24"/>
              </w:rPr>
            </w:pPr>
          </w:p>
        </w:tc>
        <w:tc>
          <w:tcPr>
            <w:tcW w:w="5130" w:type="dxa"/>
          </w:tcPr>
          <w:p w14:paraId="166F8FFC" w14:textId="5A54633A" w:rsidR="00B36C12" w:rsidRPr="004F06DA" w:rsidRDefault="628D8214" w:rsidP="00EA5C76">
            <w:pPr>
              <w:pStyle w:val="ListParagraph"/>
              <w:numPr>
                <w:ilvl w:val="0"/>
                <w:numId w:val="50"/>
              </w:numPr>
              <w:rPr>
                <w:rFonts w:eastAsia="Verdana" w:cs="Verdana"/>
                <w:szCs w:val="24"/>
              </w:rPr>
            </w:pPr>
            <w:r w:rsidRPr="004F06DA">
              <w:rPr>
                <w:rFonts w:eastAsia="Verdana" w:cs="Verdana"/>
                <w:szCs w:val="24"/>
              </w:rPr>
              <w:t>Publish regular, transparent reports on disability marker data.</w:t>
            </w:r>
          </w:p>
          <w:p w14:paraId="584F8BBE" w14:textId="1D88714E" w:rsidR="00CE713D" w:rsidRPr="00CE713D" w:rsidRDefault="628D8214" w:rsidP="00EA5C76">
            <w:pPr>
              <w:pStyle w:val="ListParagraph"/>
              <w:numPr>
                <w:ilvl w:val="0"/>
                <w:numId w:val="50"/>
              </w:numPr>
            </w:pPr>
            <w:r w:rsidRPr="004F06DA">
              <w:rPr>
                <w:rFonts w:eastAsia="Verdana" w:cs="Verdana"/>
                <w:szCs w:val="24"/>
              </w:rPr>
              <w:t>Use the findings to improve programming, accountability and funding decisions, and involve OPDs in monitoring implementation.</w:t>
            </w:r>
          </w:p>
        </w:tc>
      </w:tr>
    </w:tbl>
    <w:p w14:paraId="4D7A2ED7" w14:textId="77777777" w:rsidR="00F60C29" w:rsidRPr="00CE713D" w:rsidRDefault="00F60C29" w:rsidP="00002939">
      <w:pPr>
        <w:pStyle w:val="Heading3"/>
      </w:pPr>
      <w:r w:rsidRPr="00CE713D">
        <w:t>Humanitarian aid</w:t>
      </w:r>
    </w:p>
    <w:tbl>
      <w:tblPr>
        <w:tblStyle w:val="TableGrid"/>
        <w:tblW w:w="0" w:type="auto"/>
        <w:tblLook w:val="04A0" w:firstRow="1" w:lastRow="0" w:firstColumn="1" w:lastColumn="0" w:noHBand="0" w:noVBand="1"/>
      </w:tblPr>
      <w:tblGrid>
        <w:gridCol w:w="5129"/>
        <w:gridCol w:w="5129"/>
        <w:gridCol w:w="5130"/>
      </w:tblGrid>
      <w:tr w:rsidR="00CE713D" w:rsidRPr="00CE713D" w14:paraId="26D0E834" w14:textId="77777777" w:rsidTr="1140E971">
        <w:trPr>
          <w:tblHeader/>
        </w:trPr>
        <w:tc>
          <w:tcPr>
            <w:tcW w:w="5129" w:type="dxa"/>
          </w:tcPr>
          <w:p w14:paraId="05BAD058" w14:textId="77777777" w:rsidR="00CE713D" w:rsidRPr="00CE713D" w:rsidRDefault="00CE713D">
            <w:pPr>
              <w:rPr>
                <w:b/>
                <w:bCs/>
              </w:rPr>
            </w:pPr>
            <w:r w:rsidRPr="00CE713D">
              <w:rPr>
                <w:b/>
                <w:bCs/>
              </w:rPr>
              <w:t>Action in the Disability Strategy</w:t>
            </w:r>
          </w:p>
        </w:tc>
        <w:tc>
          <w:tcPr>
            <w:tcW w:w="5129" w:type="dxa"/>
          </w:tcPr>
          <w:p w14:paraId="6AD784C0" w14:textId="77777777" w:rsidR="00CE713D" w:rsidRPr="00CE713D" w:rsidRDefault="00CE713D">
            <w:pPr>
              <w:rPr>
                <w:b/>
                <w:bCs/>
              </w:rPr>
            </w:pPr>
            <w:r w:rsidRPr="00CE713D">
              <w:rPr>
                <w:b/>
                <w:bCs/>
              </w:rPr>
              <w:t>Evaluation by EDF</w:t>
            </w:r>
          </w:p>
        </w:tc>
        <w:tc>
          <w:tcPr>
            <w:tcW w:w="5130" w:type="dxa"/>
          </w:tcPr>
          <w:p w14:paraId="690CB036" w14:textId="77777777" w:rsidR="00CE713D" w:rsidRPr="00CE713D" w:rsidRDefault="00CE713D">
            <w:pPr>
              <w:rPr>
                <w:b/>
                <w:bCs/>
              </w:rPr>
            </w:pPr>
            <w:r w:rsidRPr="00CE713D">
              <w:rPr>
                <w:b/>
                <w:bCs/>
              </w:rPr>
              <w:t>Priorities for implementation</w:t>
            </w:r>
          </w:p>
        </w:tc>
      </w:tr>
      <w:tr w:rsidR="00CE713D" w:rsidRPr="00CE713D" w14:paraId="113E296E" w14:textId="77777777" w:rsidTr="1140E971">
        <w:tc>
          <w:tcPr>
            <w:tcW w:w="5129" w:type="dxa"/>
          </w:tcPr>
          <w:p w14:paraId="670A5D02" w14:textId="224852DE" w:rsidR="00CE713D" w:rsidRPr="00CE713D" w:rsidRDefault="00EB20E6" w:rsidP="00CE713D">
            <w:r>
              <w:t>S</w:t>
            </w:r>
            <w:r w:rsidR="00CE713D" w:rsidRPr="00CE713D">
              <w:t>trengthen disability inclusion in all EU-funded humanitarian operations and support partners and staff in this respect</w:t>
            </w:r>
            <w:r w:rsidR="00FE17B9">
              <w:t>.</w:t>
            </w:r>
          </w:p>
          <w:p w14:paraId="3768CB8A" w14:textId="77777777" w:rsidR="00CE713D" w:rsidRPr="00CE713D" w:rsidRDefault="00CE713D"/>
        </w:tc>
        <w:tc>
          <w:tcPr>
            <w:tcW w:w="5129" w:type="dxa"/>
          </w:tcPr>
          <w:p w14:paraId="7A55A6CB" w14:textId="473119CE" w:rsidR="00A51B74" w:rsidRPr="00A51B74" w:rsidRDefault="778112DD" w:rsidP="4B8B95E8">
            <w:pPr>
              <w:rPr>
                <w:b/>
                <w:bCs/>
              </w:rPr>
            </w:pPr>
            <w:r w:rsidRPr="00A51B74">
              <w:rPr>
                <w:b/>
                <w:bCs/>
              </w:rPr>
              <w:t>Positive</w:t>
            </w:r>
            <w:r w:rsidR="00A51B74" w:rsidRPr="00A51B74">
              <w:rPr>
                <w:b/>
                <w:bCs/>
              </w:rPr>
              <w:t xml:space="preserve"> point</w:t>
            </w:r>
            <w:r w:rsidRPr="00A51B74">
              <w:rPr>
                <w:b/>
                <w:bCs/>
              </w:rPr>
              <w:t xml:space="preserve">: </w:t>
            </w:r>
          </w:p>
          <w:p w14:paraId="01915CCD" w14:textId="6F678828" w:rsidR="00CE713D" w:rsidRPr="004F06DA" w:rsidRDefault="00A51B74" w:rsidP="00EA5C76">
            <w:pPr>
              <w:pStyle w:val="ListParagraph"/>
              <w:numPr>
                <w:ilvl w:val="0"/>
                <w:numId w:val="13"/>
              </w:numPr>
            </w:pPr>
            <w:r>
              <w:t>W</w:t>
            </w:r>
            <w:r w:rsidR="778112DD">
              <w:t xml:space="preserve">e welcome the </w:t>
            </w:r>
            <w:r w:rsidR="778112DD" w:rsidRPr="00A51B74">
              <w:rPr>
                <w:rFonts w:eastAsia="Verdana" w:cs="Verdana"/>
                <w:szCs w:val="24"/>
              </w:rPr>
              <w:t>commitment to strengthen disability inclusion across EU-funded humanitarian action and to build the capacity of humanitarian partners and staff.</w:t>
            </w:r>
          </w:p>
          <w:p w14:paraId="1B54846F" w14:textId="09C1A133" w:rsidR="00CE713D" w:rsidRPr="00A51B74" w:rsidRDefault="57B430F7" w:rsidP="4B8B95E8">
            <w:pPr>
              <w:rPr>
                <w:b/>
                <w:bCs/>
              </w:rPr>
            </w:pPr>
            <w:r w:rsidRPr="00A51B74">
              <w:rPr>
                <w:rFonts w:eastAsia="Verdana" w:cs="Verdana"/>
                <w:b/>
                <w:bCs/>
                <w:szCs w:val="24"/>
              </w:rPr>
              <w:t>Negative</w:t>
            </w:r>
            <w:r w:rsidR="00A51B74" w:rsidRPr="00A51B74">
              <w:rPr>
                <w:rFonts w:eastAsia="Verdana" w:cs="Verdana"/>
                <w:b/>
                <w:bCs/>
                <w:szCs w:val="24"/>
              </w:rPr>
              <w:t xml:space="preserve"> points</w:t>
            </w:r>
            <w:r w:rsidRPr="00A51B74">
              <w:rPr>
                <w:rFonts w:eastAsia="Verdana" w:cs="Verdana"/>
                <w:b/>
                <w:bCs/>
                <w:szCs w:val="24"/>
              </w:rPr>
              <w:t xml:space="preserve">: </w:t>
            </w:r>
            <w:r w:rsidR="6288B247" w:rsidRPr="00A51B74">
              <w:rPr>
                <w:rFonts w:eastAsia="Verdana" w:cs="Verdana"/>
                <w:b/>
                <w:bCs/>
                <w:szCs w:val="24"/>
              </w:rPr>
              <w:t xml:space="preserve"> </w:t>
            </w:r>
          </w:p>
          <w:p w14:paraId="12C784C0" w14:textId="5B2E48DB" w:rsidR="00CE713D" w:rsidRPr="00CE713D" w:rsidRDefault="6288B247" w:rsidP="00EA5C76">
            <w:pPr>
              <w:pStyle w:val="ListParagraph"/>
              <w:numPr>
                <w:ilvl w:val="0"/>
                <w:numId w:val="6"/>
              </w:numPr>
              <w:rPr>
                <w:rFonts w:eastAsia="Verdana" w:cs="Verdana"/>
                <w:szCs w:val="24"/>
              </w:rPr>
            </w:pPr>
            <w:r w:rsidRPr="6870A085">
              <w:rPr>
                <w:rFonts w:eastAsia="Verdana" w:cs="Verdana"/>
                <w:szCs w:val="24"/>
              </w:rPr>
              <w:lastRenderedPageBreak/>
              <w:t xml:space="preserve">The action does not clarify how disability inclusion will be implemented in practice, monitored, or adequately resourced across humanitarian operations. </w:t>
            </w:r>
          </w:p>
          <w:p w14:paraId="4D33B2E5" w14:textId="054B9C43" w:rsidR="00CE713D" w:rsidRPr="00CE713D" w:rsidRDefault="6288B247" w:rsidP="00EA5C76">
            <w:pPr>
              <w:pStyle w:val="ListParagraph"/>
              <w:numPr>
                <w:ilvl w:val="0"/>
                <w:numId w:val="6"/>
              </w:numPr>
              <w:rPr>
                <w:rFonts w:eastAsia="Verdana" w:cs="Verdana"/>
                <w:szCs w:val="24"/>
              </w:rPr>
            </w:pPr>
            <w:r w:rsidRPr="6870A085">
              <w:rPr>
                <w:rFonts w:eastAsia="Verdana" w:cs="Verdana"/>
                <w:szCs w:val="24"/>
              </w:rPr>
              <w:t>It also does not explicitly recognise the role of local organisations of persons with disabilities in humanitarian preparedness, response and recovery.</w:t>
            </w:r>
          </w:p>
          <w:p w14:paraId="4A552CE6" w14:textId="24169342" w:rsidR="00CE713D" w:rsidRPr="00CE713D" w:rsidRDefault="00CE713D" w:rsidP="6870A085">
            <w:pPr>
              <w:rPr>
                <w:rFonts w:eastAsia="Verdana" w:cs="Verdana"/>
                <w:szCs w:val="24"/>
              </w:rPr>
            </w:pPr>
          </w:p>
        </w:tc>
        <w:tc>
          <w:tcPr>
            <w:tcW w:w="5130" w:type="dxa"/>
          </w:tcPr>
          <w:p w14:paraId="5ECF95A4" w14:textId="1D1A6275" w:rsidR="00A51B74" w:rsidRPr="004F06DA" w:rsidRDefault="77F8CCC8" w:rsidP="00EA5C76">
            <w:pPr>
              <w:pStyle w:val="ListParagraph"/>
              <w:numPr>
                <w:ilvl w:val="0"/>
                <w:numId w:val="51"/>
              </w:numPr>
              <w:rPr>
                <w:rFonts w:eastAsia="Verdana" w:cs="Verdana"/>
                <w:szCs w:val="24"/>
              </w:rPr>
            </w:pPr>
            <w:r w:rsidRPr="004F06DA">
              <w:rPr>
                <w:rFonts w:eastAsia="Verdana" w:cs="Verdana"/>
                <w:szCs w:val="24"/>
              </w:rPr>
              <w:lastRenderedPageBreak/>
              <w:t xml:space="preserve">Ensure full implementation of existing EU and international guidance on disability-inclusive humanitarian action. </w:t>
            </w:r>
          </w:p>
          <w:p w14:paraId="7D0428A6" w14:textId="566488EA" w:rsidR="00A51B74" w:rsidRPr="004F06DA" w:rsidRDefault="3F9051A7" w:rsidP="00EA5C76">
            <w:pPr>
              <w:pStyle w:val="ListParagraph"/>
              <w:numPr>
                <w:ilvl w:val="0"/>
                <w:numId w:val="51"/>
              </w:numPr>
              <w:rPr>
                <w:rFonts w:eastAsia="Verdana" w:cs="Verdana"/>
              </w:rPr>
            </w:pPr>
            <w:r w:rsidRPr="004F06DA">
              <w:rPr>
                <w:rFonts w:eastAsia="Verdana" w:cs="Verdana"/>
              </w:rPr>
              <w:t xml:space="preserve">Ensure meaningful </w:t>
            </w:r>
            <w:r w:rsidR="5A910FC8" w:rsidRPr="004F06DA">
              <w:rPr>
                <w:rFonts w:eastAsia="Verdana" w:cs="Verdana"/>
              </w:rPr>
              <w:t xml:space="preserve">and continuous </w:t>
            </w:r>
            <w:r w:rsidRPr="004F06DA">
              <w:rPr>
                <w:rFonts w:eastAsia="Verdana" w:cs="Verdana"/>
              </w:rPr>
              <w:t>participation of OPDs throughout humanitarian preparedness, response and recovery</w:t>
            </w:r>
            <w:r w:rsidR="4099BEE5" w:rsidRPr="004F06DA">
              <w:rPr>
                <w:rFonts w:eastAsia="Verdana" w:cs="Verdana"/>
              </w:rPr>
              <w:t xml:space="preserve"> to ensure </w:t>
            </w:r>
            <w:r w:rsidR="4099BEE5" w:rsidRPr="004F06DA">
              <w:rPr>
                <w:rFonts w:eastAsia="Verdana" w:cs="Verdana"/>
              </w:rPr>
              <w:lastRenderedPageBreak/>
              <w:t>that interventions are inclusive, accessible, and effective for persons with disabilities.</w:t>
            </w:r>
          </w:p>
          <w:p w14:paraId="67721AF1" w14:textId="12E8835C" w:rsidR="00CE713D" w:rsidRPr="004F06DA" w:rsidRDefault="3F9051A7" w:rsidP="00EA5C76">
            <w:pPr>
              <w:pStyle w:val="ListParagraph"/>
              <w:numPr>
                <w:ilvl w:val="0"/>
                <w:numId w:val="51"/>
              </w:numPr>
              <w:rPr>
                <w:rFonts w:eastAsia="Verdana" w:cs="Verdana"/>
              </w:rPr>
            </w:pPr>
            <w:r w:rsidRPr="004F06DA">
              <w:rPr>
                <w:rFonts w:eastAsia="Verdana" w:cs="Verdana"/>
              </w:rPr>
              <w:t>Establish monitoring and adequate funding to support disability-inclusive humanitarian action.</w:t>
            </w:r>
          </w:p>
          <w:p w14:paraId="40A83D22" w14:textId="7B8DF357" w:rsidR="00CE713D" w:rsidRPr="00CE713D" w:rsidRDefault="00CE713D" w:rsidP="00DC7FA1">
            <w:pPr>
              <w:ind w:left="720"/>
              <w:rPr>
                <w:rFonts w:eastAsia="Verdana" w:cs="Verdana"/>
              </w:rPr>
            </w:pPr>
          </w:p>
        </w:tc>
      </w:tr>
      <w:tr w:rsidR="00CE713D" w:rsidRPr="00CE713D" w14:paraId="32F910D0" w14:textId="77777777" w:rsidTr="1140E971">
        <w:tc>
          <w:tcPr>
            <w:tcW w:w="5129" w:type="dxa"/>
          </w:tcPr>
          <w:p w14:paraId="426EA6DE" w14:textId="5AE4D35D" w:rsidR="00CE713D" w:rsidRPr="00CE713D" w:rsidRDefault="455DA066">
            <w:r>
              <w:lastRenderedPageBreak/>
              <w:t>The commitment to disability inclusion will also be reaffirmed through the upcoming Communication on EU humanitarian action in a shifting</w:t>
            </w:r>
            <w:r w:rsidRPr="1140E971">
              <w:rPr>
                <w:rFonts w:eastAsia="Verdana" w:cs="Verdana"/>
                <w:szCs w:val="24"/>
              </w:rPr>
              <w:t xml:space="preserve"> global order, to ensure that persons with disabilities are meaningfully engaged and their needs duly considered in humanitarian diplomacy initiatives and promote inclusive humanitarian action in the current global context.</w:t>
            </w:r>
          </w:p>
          <w:p w14:paraId="034E3509" w14:textId="1C321ECF" w:rsidR="00CE713D" w:rsidRPr="00CE713D" w:rsidRDefault="00CE713D" w:rsidP="1140E971">
            <w:pPr>
              <w:rPr>
                <w:rFonts w:eastAsia="Verdana" w:cs="Verdana"/>
                <w:szCs w:val="24"/>
              </w:rPr>
            </w:pPr>
          </w:p>
          <w:p w14:paraId="18C81FE7" w14:textId="784C672D" w:rsidR="00CE713D" w:rsidRPr="00CE713D" w:rsidRDefault="00CE713D" w:rsidP="1140E971">
            <w:pPr>
              <w:rPr>
                <w:rFonts w:eastAsia="Verdana" w:cs="Verdana"/>
                <w:i/>
                <w:iCs/>
                <w:szCs w:val="24"/>
              </w:rPr>
            </w:pPr>
          </w:p>
        </w:tc>
        <w:tc>
          <w:tcPr>
            <w:tcW w:w="5129" w:type="dxa"/>
          </w:tcPr>
          <w:p w14:paraId="0EA48D4D" w14:textId="77777777" w:rsidR="002219C4" w:rsidRPr="002219C4" w:rsidRDefault="5411EB75" w:rsidP="4B8B95E8">
            <w:pPr>
              <w:rPr>
                <w:b/>
                <w:bCs/>
              </w:rPr>
            </w:pPr>
            <w:r w:rsidRPr="002219C4">
              <w:rPr>
                <w:b/>
                <w:bCs/>
              </w:rPr>
              <w:t>Positive</w:t>
            </w:r>
            <w:r w:rsidR="002219C4" w:rsidRPr="002219C4">
              <w:rPr>
                <w:b/>
                <w:bCs/>
              </w:rPr>
              <w:t xml:space="preserve"> points</w:t>
            </w:r>
            <w:r w:rsidRPr="002219C4">
              <w:rPr>
                <w:b/>
                <w:bCs/>
              </w:rPr>
              <w:t xml:space="preserve">: </w:t>
            </w:r>
          </w:p>
          <w:p w14:paraId="78E55397" w14:textId="77777777" w:rsidR="00D40F7C" w:rsidRPr="00D40F7C" w:rsidRDefault="7929CF17" w:rsidP="00EA5C76">
            <w:pPr>
              <w:pStyle w:val="ListParagraph"/>
              <w:numPr>
                <w:ilvl w:val="0"/>
                <w:numId w:val="13"/>
              </w:numPr>
            </w:pPr>
            <w:r>
              <w:t>T</w:t>
            </w:r>
            <w:r w:rsidR="5411EB75">
              <w:t xml:space="preserve">he commitment for </w:t>
            </w:r>
            <w:r w:rsidR="5411EB75" w:rsidRPr="002219C4">
              <w:rPr>
                <w:rFonts w:eastAsia="Verdana" w:cs="Verdana"/>
              </w:rPr>
              <w:t>participation of persons with disabilities and promotes inclusive humanitarian action.</w:t>
            </w:r>
          </w:p>
          <w:p w14:paraId="0543523C" w14:textId="75D06780" w:rsidR="1140E971" w:rsidRPr="004F06DA" w:rsidRDefault="79B8A5BA" w:rsidP="00EA5C76">
            <w:pPr>
              <w:pStyle w:val="ListParagraph"/>
              <w:numPr>
                <w:ilvl w:val="0"/>
                <w:numId w:val="13"/>
              </w:numPr>
            </w:pPr>
            <w:r w:rsidRPr="00D40F7C">
              <w:rPr>
                <w:rFonts w:eastAsia="Verdana" w:cs="Verdana"/>
              </w:rPr>
              <w:t xml:space="preserve">The </w:t>
            </w:r>
            <w:r w:rsidR="0004453E">
              <w:rPr>
                <w:rFonts w:eastAsia="Verdana" w:cs="Verdana"/>
              </w:rPr>
              <w:t xml:space="preserve">already published </w:t>
            </w:r>
            <w:r w:rsidRPr="00D40F7C">
              <w:rPr>
                <w:rFonts w:eastAsia="Verdana" w:cs="Verdana"/>
              </w:rPr>
              <w:t xml:space="preserve">Communication </w:t>
            </w:r>
            <w:r w:rsidR="0004453E">
              <w:rPr>
                <w:rFonts w:eastAsia="Verdana" w:cs="Verdana"/>
              </w:rPr>
              <w:t xml:space="preserve">does include </w:t>
            </w:r>
            <w:r w:rsidR="06543B81" w:rsidRPr="00D40F7C">
              <w:rPr>
                <w:rFonts w:eastAsia="Verdana" w:cs="Verdana"/>
              </w:rPr>
              <w:t>key successes for persons with disabilities.</w:t>
            </w:r>
          </w:p>
          <w:p w14:paraId="0ABFDE0A" w14:textId="6CCC4E8E" w:rsidR="00CE713D" w:rsidRPr="0092039C" w:rsidRDefault="5411EB75" w:rsidP="4B8B95E8">
            <w:pPr>
              <w:rPr>
                <w:b/>
                <w:bCs/>
              </w:rPr>
            </w:pPr>
            <w:r w:rsidRPr="0092039C">
              <w:rPr>
                <w:rFonts w:eastAsia="Verdana" w:cs="Verdana"/>
                <w:b/>
                <w:bCs/>
              </w:rPr>
              <w:t>Negative</w:t>
            </w:r>
            <w:r w:rsidR="0092039C" w:rsidRPr="0092039C">
              <w:rPr>
                <w:rFonts w:eastAsia="Verdana" w:cs="Verdana"/>
                <w:b/>
                <w:bCs/>
              </w:rPr>
              <w:t xml:space="preserve"> point</w:t>
            </w:r>
            <w:r w:rsidRPr="0092039C">
              <w:rPr>
                <w:rFonts w:eastAsia="Verdana" w:cs="Verdana"/>
                <w:b/>
                <w:bCs/>
              </w:rPr>
              <w:t xml:space="preserve">: </w:t>
            </w:r>
          </w:p>
          <w:p w14:paraId="394C9B29" w14:textId="4C48150F" w:rsidR="00CE713D" w:rsidRPr="0092039C" w:rsidRDefault="366FA9A0" w:rsidP="00EA5C76">
            <w:pPr>
              <w:pStyle w:val="ListParagraph"/>
              <w:numPr>
                <w:ilvl w:val="0"/>
                <w:numId w:val="31"/>
              </w:numPr>
            </w:pPr>
            <w:r w:rsidRPr="0092039C">
              <w:rPr>
                <w:rFonts w:eastAsia="Verdana" w:cs="Verdana"/>
              </w:rPr>
              <w:t>Neither the strategy nor the Communication detail the steps that will be taken to remove the structural, social, economic and attitudinal barriers per</w:t>
            </w:r>
            <w:r w:rsidR="5A757275" w:rsidRPr="0092039C">
              <w:rPr>
                <w:rFonts w:eastAsia="Verdana" w:cs="Verdana"/>
              </w:rPr>
              <w:t>sons</w:t>
            </w:r>
            <w:r w:rsidRPr="0092039C">
              <w:rPr>
                <w:rFonts w:eastAsia="Verdana" w:cs="Verdana"/>
              </w:rPr>
              <w:t xml:space="preserve"> and organisation of persons with disabil</w:t>
            </w:r>
            <w:r w:rsidR="4C5F85CD" w:rsidRPr="0092039C">
              <w:rPr>
                <w:rFonts w:eastAsia="Verdana" w:cs="Verdana"/>
              </w:rPr>
              <w:t>ities</w:t>
            </w:r>
            <w:r w:rsidRPr="0092039C">
              <w:rPr>
                <w:rFonts w:eastAsia="Verdana" w:cs="Verdana"/>
              </w:rPr>
              <w:t xml:space="preserve"> face in accessing </w:t>
            </w:r>
            <w:r w:rsidR="709FC2DC" w:rsidRPr="0092039C">
              <w:rPr>
                <w:rFonts w:eastAsia="Verdana" w:cs="Verdana"/>
              </w:rPr>
              <w:t xml:space="preserve">EU funds and influencing policy dialogues. </w:t>
            </w:r>
          </w:p>
          <w:p w14:paraId="1EF43649" w14:textId="24459B53" w:rsidR="00CE713D" w:rsidRPr="00CE713D" w:rsidRDefault="00CE713D" w:rsidP="6870A085">
            <w:pPr>
              <w:rPr>
                <w:rFonts w:eastAsia="Verdana" w:cs="Verdana"/>
                <w:szCs w:val="24"/>
              </w:rPr>
            </w:pPr>
          </w:p>
          <w:p w14:paraId="507CAA92" w14:textId="3D89446F" w:rsidR="00CE713D" w:rsidRPr="00CE713D" w:rsidRDefault="00CE713D" w:rsidP="6870A085">
            <w:pPr>
              <w:rPr>
                <w:rFonts w:eastAsia="Verdana" w:cs="Verdana"/>
                <w:szCs w:val="24"/>
              </w:rPr>
            </w:pPr>
          </w:p>
        </w:tc>
        <w:tc>
          <w:tcPr>
            <w:tcW w:w="5130" w:type="dxa"/>
          </w:tcPr>
          <w:p w14:paraId="1342B122" w14:textId="1CDF52BD" w:rsidR="7DE6C703" w:rsidRDefault="7DE6C703" w:rsidP="0092039C">
            <w:r w:rsidRPr="1140E971">
              <w:lastRenderedPageBreak/>
              <w:t xml:space="preserve">Develop concrete measures to remove the structural, social, economic and attitudinal barriers that prevent persons with disabilities and organisations of persons with disabilities (OPDs) from accessing EU funding and meaningfully influencing humanitarian policy and decision-making. </w:t>
            </w:r>
          </w:p>
          <w:p w14:paraId="1458D155" w14:textId="77777777" w:rsidR="0092039C" w:rsidRDefault="0092039C" w:rsidP="0092039C"/>
          <w:p w14:paraId="3A21AF7D" w14:textId="029D6F87" w:rsidR="7DE6C703" w:rsidRDefault="7DE6C703" w:rsidP="0092039C"/>
          <w:p w14:paraId="433A3635" w14:textId="62F6EF0E" w:rsidR="6870A085" w:rsidRPr="0092039C" w:rsidRDefault="6870A085" w:rsidP="0092039C">
            <w:pPr>
              <w:pStyle w:val="ListParagraph"/>
            </w:pPr>
          </w:p>
          <w:p w14:paraId="59A89215" w14:textId="01667549" w:rsidR="00CE713D" w:rsidRPr="00CE713D" w:rsidRDefault="00CE713D"/>
        </w:tc>
      </w:tr>
    </w:tbl>
    <w:p w14:paraId="257582DD" w14:textId="77777777" w:rsidR="00B80224" w:rsidRPr="00CE713D" w:rsidRDefault="00B80224" w:rsidP="00465371"/>
    <w:p w14:paraId="6D1773C8" w14:textId="77777777" w:rsidR="00B80224" w:rsidRPr="00CE713D" w:rsidRDefault="00B80224" w:rsidP="00002939">
      <w:pPr>
        <w:pStyle w:val="Heading3"/>
      </w:pPr>
      <w:r w:rsidRPr="00CE713D">
        <w:t>EU enlargement</w:t>
      </w:r>
    </w:p>
    <w:tbl>
      <w:tblPr>
        <w:tblStyle w:val="TableGrid"/>
        <w:tblW w:w="0" w:type="auto"/>
        <w:tblLook w:val="04A0" w:firstRow="1" w:lastRow="0" w:firstColumn="1" w:lastColumn="0" w:noHBand="0" w:noVBand="1"/>
      </w:tblPr>
      <w:tblGrid>
        <w:gridCol w:w="5129"/>
        <w:gridCol w:w="5129"/>
        <w:gridCol w:w="5130"/>
      </w:tblGrid>
      <w:tr w:rsidR="00CE713D" w:rsidRPr="00CE713D" w14:paraId="20C4778D" w14:textId="77777777" w:rsidTr="1140E971">
        <w:trPr>
          <w:tblHeader/>
        </w:trPr>
        <w:tc>
          <w:tcPr>
            <w:tcW w:w="5129" w:type="dxa"/>
          </w:tcPr>
          <w:p w14:paraId="6738DBAA" w14:textId="77777777" w:rsidR="00CE713D" w:rsidRPr="00CE713D" w:rsidRDefault="00CE713D">
            <w:pPr>
              <w:rPr>
                <w:b/>
                <w:bCs/>
              </w:rPr>
            </w:pPr>
            <w:r w:rsidRPr="00CE713D">
              <w:rPr>
                <w:b/>
                <w:bCs/>
              </w:rPr>
              <w:t>Action in the Disability Strategy</w:t>
            </w:r>
          </w:p>
        </w:tc>
        <w:tc>
          <w:tcPr>
            <w:tcW w:w="5129" w:type="dxa"/>
          </w:tcPr>
          <w:p w14:paraId="0B4FFE53" w14:textId="77777777" w:rsidR="00CE713D" w:rsidRPr="00CE713D" w:rsidRDefault="00CE713D">
            <w:pPr>
              <w:rPr>
                <w:b/>
                <w:bCs/>
              </w:rPr>
            </w:pPr>
            <w:r w:rsidRPr="00CE713D">
              <w:rPr>
                <w:b/>
                <w:bCs/>
              </w:rPr>
              <w:t>Evaluation by EDF</w:t>
            </w:r>
          </w:p>
        </w:tc>
        <w:tc>
          <w:tcPr>
            <w:tcW w:w="5130" w:type="dxa"/>
          </w:tcPr>
          <w:p w14:paraId="16DC6968" w14:textId="77777777" w:rsidR="00CE713D" w:rsidRPr="00CE713D" w:rsidRDefault="00CE713D">
            <w:pPr>
              <w:rPr>
                <w:b/>
                <w:bCs/>
              </w:rPr>
            </w:pPr>
            <w:r w:rsidRPr="00CE713D">
              <w:rPr>
                <w:b/>
                <w:bCs/>
              </w:rPr>
              <w:t>Priorities for implementation</w:t>
            </w:r>
          </w:p>
        </w:tc>
      </w:tr>
      <w:tr w:rsidR="00CE713D" w:rsidRPr="00CE713D" w14:paraId="38373256" w14:textId="77777777" w:rsidTr="004F06DA">
        <w:tc>
          <w:tcPr>
            <w:tcW w:w="5129" w:type="dxa"/>
          </w:tcPr>
          <w:p w14:paraId="293D3624" w14:textId="7986E2ED" w:rsidR="00CE713D" w:rsidRPr="00CE713D" w:rsidRDefault="004F06DA" w:rsidP="00CE713D">
            <w:r w:rsidRPr="004F06DA">
              <w:rPr>
                <w:b/>
                <w:bCs/>
              </w:rPr>
              <w:t>Flagship Initiative</w:t>
            </w:r>
            <w:r w:rsidR="00CE713D" w:rsidRPr="00CE713D">
              <w:t xml:space="preserve"> – ‘Nothing about us without us’ in Ukraine’s reconstruction</w:t>
            </w:r>
            <w:r>
              <w:t>.</w:t>
            </w:r>
            <w:r w:rsidR="00CE713D" w:rsidRPr="00CE713D">
              <w:t xml:space="preserve"> The Commission will support disability-inclusive rebuilding efforts in Ukraine. The initiative will include: (</w:t>
            </w:r>
            <w:proofErr w:type="spellStart"/>
            <w:r w:rsidR="00CE713D" w:rsidRPr="00CE713D">
              <w:t>i</w:t>
            </w:r>
            <w:proofErr w:type="spellEnd"/>
            <w:r w:rsidR="00CE713D" w:rsidRPr="00CE713D">
              <w:t>) a high-level event focusing on accessibility as part of one of the Ukraine reconstruction conferences in 2027; (ii) involvement of disability organisations in participatory processes for the design and implementation of New European Bauhaus projects related to the reconstruction of Ukraine; and (iii) leveraging EU funding for accessibility in reconstruction.</w:t>
            </w:r>
          </w:p>
          <w:p w14:paraId="2C2B1B9D" w14:textId="77777777" w:rsidR="00CE713D" w:rsidRPr="00CE713D" w:rsidRDefault="00CE713D"/>
        </w:tc>
        <w:tc>
          <w:tcPr>
            <w:tcW w:w="5129" w:type="dxa"/>
          </w:tcPr>
          <w:p w14:paraId="65AD6DAA" w14:textId="77777777" w:rsidR="00AA0645" w:rsidRPr="00EB20E6" w:rsidRDefault="42E6B64C" w:rsidP="00AA0645">
            <w:pPr>
              <w:rPr>
                <w:b/>
                <w:bCs/>
              </w:rPr>
            </w:pPr>
            <w:r w:rsidRPr="6870A085">
              <w:rPr>
                <w:b/>
                <w:bCs/>
              </w:rPr>
              <w:t>Positive points:</w:t>
            </w:r>
          </w:p>
          <w:p w14:paraId="262E4613" w14:textId="00BF0E70" w:rsidR="6870A085" w:rsidRPr="004F06DA" w:rsidRDefault="2318E935" w:rsidP="00EA5C76">
            <w:pPr>
              <w:numPr>
                <w:ilvl w:val="0"/>
                <w:numId w:val="18"/>
              </w:numPr>
              <w:rPr>
                <w:rFonts w:eastAsia="Calibri" w:cs="Arial"/>
                <w:szCs w:val="24"/>
              </w:rPr>
            </w:pPr>
            <w:r w:rsidRPr="6870A085">
              <w:rPr>
                <w:rFonts w:eastAsia="Calibri" w:cs="Arial"/>
                <w:szCs w:val="24"/>
              </w:rPr>
              <w:t>The commitment recognises the importance of embedding accessibility and disability inclusion from the outset of reconstruction efforts</w:t>
            </w:r>
            <w:r w:rsidR="00A07A79">
              <w:rPr>
                <w:rFonts w:eastAsia="Calibri" w:cs="Arial"/>
                <w:szCs w:val="24"/>
              </w:rPr>
              <w:t xml:space="preserve">, the involvement of </w:t>
            </w:r>
            <w:r w:rsidR="00C348FB">
              <w:rPr>
                <w:rFonts w:eastAsia="Calibri" w:cs="Arial"/>
                <w:szCs w:val="24"/>
              </w:rPr>
              <w:t>disability organisations, and leveraging EU funds</w:t>
            </w:r>
            <w:r w:rsidRPr="6870A085">
              <w:rPr>
                <w:rFonts w:eastAsia="Calibri" w:cs="Arial"/>
                <w:szCs w:val="24"/>
              </w:rPr>
              <w:t>.</w:t>
            </w:r>
          </w:p>
          <w:p w14:paraId="5F2A0005" w14:textId="77777777" w:rsidR="00AA0645" w:rsidRDefault="42E6B64C" w:rsidP="00AA0645">
            <w:r w:rsidRPr="6870A085">
              <w:rPr>
                <w:b/>
                <w:bCs/>
              </w:rPr>
              <w:t xml:space="preserve">Negative points: </w:t>
            </w:r>
          </w:p>
          <w:p w14:paraId="2017316F" w14:textId="563722D1" w:rsidR="7BBC8012" w:rsidRPr="00DC7FA1" w:rsidRDefault="7BBC8012" w:rsidP="00EA5C76">
            <w:pPr>
              <w:pStyle w:val="ListParagraph"/>
              <w:numPr>
                <w:ilvl w:val="0"/>
                <w:numId w:val="5"/>
              </w:numPr>
              <w:rPr>
                <w:rFonts w:eastAsia="Calibri" w:cs="Arial"/>
                <w:szCs w:val="24"/>
              </w:rPr>
            </w:pPr>
            <w:r w:rsidRPr="00DC7FA1">
              <w:rPr>
                <w:rFonts w:eastAsia="Calibri" w:cs="Arial"/>
                <w:szCs w:val="24"/>
              </w:rPr>
              <w:t>The flagship relies heavily on a conference</w:t>
            </w:r>
            <w:r w:rsidR="0096484B">
              <w:rPr>
                <w:rFonts w:eastAsia="Calibri" w:cs="Arial"/>
                <w:szCs w:val="24"/>
              </w:rPr>
              <w:t xml:space="preserve"> in 2027</w:t>
            </w:r>
            <w:r w:rsidR="00AA7A73">
              <w:rPr>
                <w:rFonts w:eastAsia="Calibri" w:cs="Arial"/>
                <w:szCs w:val="24"/>
              </w:rPr>
              <w:t xml:space="preserve"> and</w:t>
            </w:r>
            <w:r w:rsidRPr="00DC7FA1">
              <w:rPr>
                <w:rFonts w:eastAsia="Calibri" w:cs="Arial"/>
                <w:szCs w:val="24"/>
              </w:rPr>
              <w:t xml:space="preserve"> participatory processes without establishing clear accessibility requirements or accountability mechanisms.</w:t>
            </w:r>
          </w:p>
          <w:p w14:paraId="1BB685F3" w14:textId="1CDBBD24" w:rsidR="7BBC8012" w:rsidRPr="00DC7FA1" w:rsidRDefault="7BBC8012" w:rsidP="00EA5C76">
            <w:pPr>
              <w:pStyle w:val="ListParagraph"/>
              <w:numPr>
                <w:ilvl w:val="0"/>
                <w:numId w:val="5"/>
              </w:numPr>
              <w:rPr>
                <w:rFonts w:eastAsia="Calibri" w:cs="Arial"/>
                <w:szCs w:val="24"/>
              </w:rPr>
            </w:pPr>
            <w:r w:rsidRPr="00DC7FA1">
              <w:rPr>
                <w:rFonts w:eastAsia="Calibri" w:cs="Arial"/>
                <w:szCs w:val="24"/>
              </w:rPr>
              <w:t>It remains unclear how disability inclusion will be systematically integrated across all reconstruction investments and funding streams.</w:t>
            </w:r>
          </w:p>
          <w:p w14:paraId="2BAAE49E" w14:textId="53486CB5" w:rsidR="10688BD3" w:rsidRPr="0096484B" w:rsidRDefault="304F90E4" w:rsidP="00EA5C76">
            <w:pPr>
              <w:pStyle w:val="ListParagraph"/>
              <w:numPr>
                <w:ilvl w:val="0"/>
                <w:numId w:val="5"/>
              </w:numPr>
              <w:rPr>
                <w:rFonts w:eastAsia="Calibri" w:cs="Arial"/>
              </w:rPr>
            </w:pPr>
            <w:r w:rsidRPr="00DC7FA1">
              <w:rPr>
                <w:rFonts w:eastAsia="Calibri" w:cs="Arial"/>
              </w:rPr>
              <w:t>There is no commitment to measurable targets or monitoring of disability-inclusive reconstruction outcomes.</w:t>
            </w:r>
            <w:r w:rsidR="10688BD3" w:rsidRPr="0096484B">
              <w:rPr>
                <w:rFonts w:eastAsia="Calibri" w:cs="Arial"/>
              </w:rPr>
              <w:t xml:space="preserve"> </w:t>
            </w:r>
          </w:p>
          <w:p w14:paraId="6DD3D9AF" w14:textId="5F075718" w:rsidR="6870A085" w:rsidRPr="00DC7FA1" w:rsidRDefault="6870A085" w:rsidP="00DC7FA1">
            <w:pPr>
              <w:pStyle w:val="ListParagraph"/>
            </w:pPr>
          </w:p>
          <w:p w14:paraId="0CCF2324" w14:textId="77777777" w:rsidR="00CE713D" w:rsidRPr="00CE713D" w:rsidRDefault="00CE713D"/>
        </w:tc>
        <w:tc>
          <w:tcPr>
            <w:tcW w:w="5130" w:type="dxa"/>
          </w:tcPr>
          <w:p w14:paraId="49656A60" w14:textId="4C90FCCA" w:rsidR="0092039C" w:rsidRPr="004F06DA" w:rsidRDefault="56162790" w:rsidP="00EA5C76">
            <w:pPr>
              <w:pStyle w:val="ListParagraph"/>
              <w:numPr>
                <w:ilvl w:val="0"/>
                <w:numId w:val="52"/>
              </w:numPr>
              <w:rPr>
                <w:rFonts w:eastAsia="Calibri" w:cs="Arial"/>
                <w:szCs w:val="24"/>
              </w:rPr>
            </w:pPr>
            <w:r w:rsidRPr="004F06DA">
              <w:rPr>
                <w:rFonts w:eastAsia="Calibri" w:cs="Arial"/>
                <w:szCs w:val="24"/>
              </w:rPr>
              <w:lastRenderedPageBreak/>
              <w:t xml:space="preserve">Ensure accessibility </w:t>
            </w:r>
            <w:r w:rsidR="00A84BAD" w:rsidRPr="004F06DA">
              <w:rPr>
                <w:rFonts w:eastAsia="Calibri" w:cs="Arial"/>
                <w:szCs w:val="24"/>
              </w:rPr>
              <w:t xml:space="preserve">is </w:t>
            </w:r>
            <w:r w:rsidRPr="004F06DA">
              <w:rPr>
                <w:rFonts w:eastAsia="Calibri" w:cs="Arial"/>
                <w:szCs w:val="24"/>
              </w:rPr>
              <w:t>systematically integrated into all EU-funded reconstruction projects.</w:t>
            </w:r>
          </w:p>
          <w:p w14:paraId="15436C2F" w14:textId="54F427C9" w:rsidR="00272185" w:rsidRPr="004F06DA" w:rsidRDefault="56162790" w:rsidP="00EA5C76">
            <w:pPr>
              <w:pStyle w:val="ListParagraph"/>
              <w:numPr>
                <w:ilvl w:val="0"/>
                <w:numId w:val="52"/>
              </w:numPr>
              <w:rPr>
                <w:rFonts w:eastAsia="Calibri" w:cs="Arial"/>
                <w:szCs w:val="24"/>
              </w:rPr>
            </w:pPr>
            <w:r w:rsidRPr="004F06DA">
              <w:rPr>
                <w:rFonts w:eastAsia="Calibri" w:cs="Arial"/>
                <w:szCs w:val="24"/>
              </w:rPr>
              <w:t>Guarantee the meaningful participation of Ukrainian organisations of persons with disabilities in the design, implementation and monitoring of reconstruction efforts.</w:t>
            </w:r>
          </w:p>
          <w:p w14:paraId="4257AD9C" w14:textId="6AB321C7" w:rsidR="00272185" w:rsidRPr="004F06DA" w:rsidRDefault="1398EE68" w:rsidP="00EA5C76">
            <w:pPr>
              <w:pStyle w:val="ListParagraph"/>
              <w:numPr>
                <w:ilvl w:val="0"/>
                <w:numId w:val="52"/>
              </w:numPr>
              <w:rPr>
                <w:rFonts w:eastAsia="Calibri" w:cs="Arial"/>
              </w:rPr>
            </w:pPr>
            <w:r w:rsidRPr="004F06DA">
              <w:rPr>
                <w:rFonts w:eastAsia="Calibri" w:cs="Arial"/>
              </w:rPr>
              <w:t>Establish clear indicators and monitoring mechanisms for disability-inclusive reconstruction.</w:t>
            </w:r>
          </w:p>
          <w:p w14:paraId="753025AE" w14:textId="5E537260" w:rsidR="3EC8035F" w:rsidRPr="004F06DA" w:rsidRDefault="3EC8035F" w:rsidP="00EA5C76">
            <w:pPr>
              <w:pStyle w:val="ListParagraph"/>
              <w:numPr>
                <w:ilvl w:val="0"/>
                <w:numId w:val="52"/>
              </w:numPr>
              <w:rPr>
                <w:rFonts w:eastAsia="Calibri" w:cs="Arial"/>
              </w:rPr>
            </w:pPr>
            <w:r w:rsidRPr="004F06DA">
              <w:rPr>
                <w:rFonts w:eastAsia="Calibri" w:cs="Arial"/>
              </w:rPr>
              <w:t>Ensure engagement with the Ukrainian counterparts and link an inclusive recovery with accession process.</w:t>
            </w:r>
          </w:p>
          <w:p w14:paraId="0183CC09" w14:textId="55596CDE" w:rsidR="00CE713D" w:rsidRPr="00CE713D" w:rsidRDefault="00CE713D"/>
        </w:tc>
      </w:tr>
      <w:tr w:rsidR="00CE713D" w:rsidRPr="00CE713D" w14:paraId="4EA26435" w14:textId="77777777" w:rsidTr="1140E971">
        <w:tc>
          <w:tcPr>
            <w:tcW w:w="5129" w:type="dxa"/>
          </w:tcPr>
          <w:p w14:paraId="6C9BD329" w14:textId="1C3F8F6F" w:rsidR="00CE713D" w:rsidRPr="00CE713D" w:rsidRDefault="00EB20E6" w:rsidP="00CE713D">
            <w:r>
              <w:t>S</w:t>
            </w:r>
            <w:r w:rsidR="00CE713D" w:rsidRPr="00CE713D">
              <w:t>upport partner countries and assess their progress in the alignment and effective implementation of relevant policies, including through the annual Enlargement Package</w:t>
            </w:r>
            <w:r w:rsidR="0096484B">
              <w:t>.</w:t>
            </w:r>
          </w:p>
          <w:p w14:paraId="3892E882" w14:textId="77777777" w:rsidR="00CE713D" w:rsidRPr="00CE713D" w:rsidRDefault="00CE713D"/>
        </w:tc>
        <w:tc>
          <w:tcPr>
            <w:tcW w:w="5129" w:type="dxa"/>
          </w:tcPr>
          <w:p w14:paraId="45ABFB9F" w14:textId="4D6E6832" w:rsidR="00AA0645" w:rsidRPr="00EB20E6" w:rsidRDefault="42E6B64C" w:rsidP="00AA0645">
            <w:r w:rsidRPr="6870A085">
              <w:rPr>
                <w:b/>
                <w:bCs/>
              </w:rPr>
              <w:t>Positive point:</w:t>
            </w:r>
          </w:p>
          <w:p w14:paraId="41D3CCB2" w14:textId="77C2D887" w:rsidR="33C8FA50" w:rsidRPr="00DC7FA1" w:rsidRDefault="33C8FA50" w:rsidP="00EA5C76">
            <w:pPr>
              <w:pStyle w:val="ListParagraph"/>
              <w:numPr>
                <w:ilvl w:val="0"/>
                <w:numId w:val="4"/>
              </w:numPr>
              <w:rPr>
                <w:rFonts w:eastAsia="Calibri" w:cs="Arial"/>
                <w:szCs w:val="24"/>
              </w:rPr>
            </w:pPr>
            <w:r w:rsidRPr="00DC7FA1">
              <w:rPr>
                <w:rFonts w:eastAsia="Calibri" w:cs="Arial"/>
                <w:szCs w:val="24"/>
              </w:rPr>
              <w:t>Disability rights being assessed as part of the enlargement process can encourage candidate countries to strengthen implementation of the CRPD and align with EU disability acquis</w:t>
            </w:r>
          </w:p>
          <w:p w14:paraId="5CFFB4A6" w14:textId="77777777" w:rsidR="00AA0645" w:rsidRDefault="42E6B64C" w:rsidP="00AA0645">
            <w:r w:rsidRPr="6870A085">
              <w:rPr>
                <w:b/>
                <w:bCs/>
              </w:rPr>
              <w:t xml:space="preserve">Negative points: </w:t>
            </w:r>
          </w:p>
          <w:p w14:paraId="0D82E172" w14:textId="3BE80BE8" w:rsidR="45DF775F" w:rsidRPr="00DC7FA1" w:rsidRDefault="45DF775F" w:rsidP="00EA5C76">
            <w:pPr>
              <w:pStyle w:val="ListParagraph"/>
              <w:numPr>
                <w:ilvl w:val="0"/>
                <w:numId w:val="3"/>
              </w:numPr>
              <w:rPr>
                <w:rFonts w:eastAsia="Calibri" w:cs="Arial"/>
                <w:szCs w:val="24"/>
              </w:rPr>
            </w:pPr>
            <w:r w:rsidRPr="00DC7FA1">
              <w:rPr>
                <w:rFonts w:eastAsia="Calibri" w:cs="Arial"/>
                <w:szCs w:val="24"/>
              </w:rPr>
              <w:t>The action does not clarify how disability rights will be assessed or weighted within the enlargement process.</w:t>
            </w:r>
          </w:p>
          <w:p w14:paraId="5311561E" w14:textId="49B83A14" w:rsidR="45DF775F" w:rsidRPr="00DC7FA1" w:rsidRDefault="45DF775F" w:rsidP="00EA5C76">
            <w:pPr>
              <w:pStyle w:val="ListParagraph"/>
              <w:numPr>
                <w:ilvl w:val="0"/>
                <w:numId w:val="3"/>
              </w:numPr>
              <w:rPr>
                <w:rFonts w:eastAsia="Calibri" w:cs="Arial"/>
                <w:szCs w:val="24"/>
              </w:rPr>
            </w:pPr>
            <w:r w:rsidRPr="00DC7FA1">
              <w:rPr>
                <w:rFonts w:eastAsia="Calibri" w:cs="Arial"/>
                <w:szCs w:val="24"/>
              </w:rPr>
              <w:t>It is unclear whether disability-specific findings will influence enlargement recommendations and country assessments.</w:t>
            </w:r>
          </w:p>
          <w:p w14:paraId="693C3EF7" w14:textId="37627642" w:rsidR="45DF775F" w:rsidRPr="00DC7FA1" w:rsidRDefault="45DF775F" w:rsidP="00EA5C76">
            <w:pPr>
              <w:pStyle w:val="ListParagraph"/>
              <w:numPr>
                <w:ilvl w:val="0"/>
                <w:numId w:val="3"/>
              </w:numPr>
              <w:rPr>
                <w:rFonts w:eastAsia="Calibri" w:cs="Arial"/>
                <w:szCs w:val="24"/>
              </w:rPr>
            </w:pPr>
            <w:r w:rsidRPr="00DC7FA1">
              <w:rPr>
                <w:rFonts w:eastAsia="Calibri" w:cs="Arial"/>
                <w:szCs w:val="24"/>
              </w:rPr>
              <w:t>The action focuses on monitoring progress but does not identify specific support measures to address shortcomings.</w:t>
            </w:r>
          </w:p>
          <w:p w14:paraId="76EE8B4E" w14:textId="77777777" w:rsidR="00CE713D" w:rsidRPr="00CE713D" w:rsidRDefault="00CE713D"/>
        </w:tc>
        <w:tc>
          <w:tcPr>
            <w:tcW w:w="5130" w:type="dxa"/>
          </w:tcPr>
          <w:p w14:paraId="2536CA9C" w14:textId="746B8EEE" w:rsidR="00272185" w:rsidRPr="004F06DA" w:rsidRDefault="0AC01506" w:rsidP="00EA5C76">
            <w:pPr>
              <w:pStyle w:val="ListParagraph"/>
              <w:numPr>
                <w:ilvl w:val="0"/>
                <w:numId w:val="53"/>
              </w:numPr>
              <w:rPr>
                <w:rFonts w:eastAsia="Calibri" w:cs="Arial"/>
                <w:szCs w:val="24"/>
              </w:rPr>
            </w:pPr>
            <w:r w:rsidRPr="004F06DA">
              <w:rPr>
                <w:rFonts w:eastAsia="Calibri" w:cs="Arial"/>
                <w:szCs w:val="24"/>
              </w:rPr>
              <w:t>Ensure disability rights and CRPD implementation are systematically assessed within the Enlargement Package and accession process.</w:t>
            </w:r>
          </w:p>
          <w:p w14:paraId="7B9B27E3" w14:textId="426BE2C8" w:rsidR="00272185" w:rsidRPr="004F06DA" w:rsidRDefault="0AC01506" w:rsidP="00EA5C76">
            <w:pPr>
              <w:pStyle w:val="ListParagraph"/>
              <w:numPr>
                <w:ilvl w:val="0"/>
                <w:numId w:val="53"/>
              </w:numPr>
              <w:rPr>
                <w:rFonts w:eastAsia="Calibri" w:cs="Arial"/>
                <w:szCs w:val="24"/>
              </w:rPr>
            </w:pPr>
            <w:r w:rsidRPr="004F06DA">
              <w:rPr>
                <w:rFonts w:eastAsia="Calibri" w:cs="Arial"/>
                <w:szCs w:val="24"/>
              </w:rPr>
              <w:t>Include dedicated reporting on accessibility, independent living, non-discrimination and political participation of persons with disabilities.</w:t>
            </w:r>
          </w:p>
          <w:p w14:paraId="1CA21DA0" w14:textId="09AE37B1" w:rsidR="00CE713D" w:rsidRPr="004F06DA" w:rsidRDefault="0AC01506" w:rsidP="00EA5C76">
            <w:pPr>
              <w:pStyle w:val="ListParagraph"/>
              <w:numPr>
                <w:ilvl w:val="0"/>
                <w:numId w:val="53"/>
              </w:numPr>
              <w:rPr>
                <w:rFonts w:eastAsia="Calibri" w:cs="Arial"/>
                <w:szCs w:val="24"/>
              </w:rPr>
            </w:pPr>
            <w:r w:rsidRPr="004F06DA">
              <w:rPr>
                <w:rFonts w:eastAsia="Calibri" w:cs="Arial"/>
                <w:szCs w:val="24"/>
              </w:rPr>
              <w:t>Support organisations of persons with disabilities in candidate countries to engage in accession-related reforms and monitoring.</w:t>
            </w:r>
          </w:p>
          <w:p w14:paraId="253E6947" w14:textId="47C4A60F" w:rsidR="00CE713D" w:rsidRPr="00CE713D" w:rsidRDefault="00CE713D" w:rsidP="00DC7FA1">
            <w:pPr>
              <w:ind w:left="720"/>
              <w:rPr>
                <w:rFonts w:eastAsia="Calibri" w:cs="Arial"/>
                <w:szCs w:val="24"/>
              </w:rPr>
            </w:pPr>
          </w:p>
          <w:p w14:paraId="38632580" w14:textId="0F813A2B" w:rsidR="00CE713D" w:rsidRPr="00CE713D" w:rsidRDefault="00CE713D"/>
        </w:tc>
      </w:tr>
      <w:tr w:rsidR="00CE713D" w:rsidRPr="00CE713D" w14:paraId="62FE21AB" w14:textId="77777777" w:rsidTr="1140E971">
        <w:tc>
          <w:tcPr>
            <w:tcW w:w="5129" w:type="dxa"/>
          </w:tcPr>
          <w:p w14:paraId="116DEAF3" w14:textId="1D489AEC" w:rsidR="00CE713D" w:rsidRPr="00CE713D" w:rsidRDefault="00EB20E6" w:rsidP="00CE713D">
            <w:r>
              <w:t>C</w:t>
            </w:r>
            <w:r w:rsidR="00CE713D" w:rsidRPr="00CE713D">
              <w:t xml:space="preserve">andidate and potential candidate countries </w:t>
            </w:r>
            <w:r>
              <w:t>to</w:t>
            </w:r>
            <w:r w:rsidR="00CE713D" w:rsidRPr="00CE713D">
              <w:t xml:space="preserve"> be involved in the work of the Disability Platform as well as in other relevant actions under the enhanced strategy.</w:t>
            </w:r>
          </w:p>
          <w:p w14:paraId="46EB34BF" w14:textId="77777777" w:rsidR="00CE713D" w:rsidRPr="00CE713D" w:rsidRDefault="00CE713D"/>
        </w:tc>
        <w:tc>
          <w:tcPr>
            <w:tcW w:w="5129" w:type="dxa"/>
          </w:tcPr>
          <w:p w14:paraId="0660E301" w14:textId="77777777" w:rsidR="008605D5" w:rsidRPr="00EB20E6" w:rsidRDefault="008605D5" w:rsidP="008605D5">
            <w:pPr>
              <w:rPr>
                <w:b/>
                <w:bCs/>
              </w:rPr>
            </w:pPr>
            <w:r w:rsidRPr="00EB20E6">
              <w:rPr>
                <w:b/>
                <w:bCs/>
              </w:rPr>
              <w:t>Positive points:</w:t>
            </w:r>
          </w:p>
          <w:p w14:paraId="4A459B21" w14:textId="2DE5DC60" w:rsidR="6870A085" w:rsidRPr="004F06DA" w:rsidRDefault="46E721E7" w:rsidP="00EA5C76">
            <w:pPr>
              <w:pStyle w:val="ListParagraph"/>
              <w:numPr>
                <w:ilvl w:val="0"/>
                <w:numId w:val="13"/>
              </w:numPr>
            </w:pPr>
            <w:r>
              <w:t xml:space="preserve">This is a positive move that reflects calls form the disability movement. It will better prepare </w:t>
            </w:r>
            <w:r w:rsidR="4DD705EF">
              <w:t xml:space="preserve">future EU Member States </w:t>
            </w:r>
            <w:r w:rsidR="35E3CD25">
              <w:t xml:space="preserve">for alignment with the EU’s expectations and their implementation of existing EU </w:t>
            </w:r>
            <w:r w:rsidR="35E3CD25">
              <w:lastRenderedPageBreak/>
              <w:t xml:space="preserve">legislation relative to persons with disabilities. </w:t>
            </w:r>
          </w:p>
          <w:p w14:paraId="78D130C7" w14:textId="67BD9D61" w:rsidR="008605D5" w:rsidRDefault="007F1460" w:rsidP="6870A085">
            <w:r>
              <w:rPr>
                <w:b/>
                <w:bCs/>
              </w:rPr>
              <w:t>Neutral</w:t>
            </w:r>
            <w:r w:rsidR="6AC84543" w:rsidRPr="6870A085">
              <w:rPr>
                <w:b/>
                <w:bCs/>
              </w:rPr>
              <w:t xml:space="preserve"> point:</w:t>
            </w:r>
          </w:p>
          <w:p w14:paraId="48536804" w14:textId="3DED25C3" w:rsidR="00CE713D" w:rsidRPr="0096484B" w:rsidRDefault="27E79426" w:rsidP="0096484B">
            <w:pPr>
              <w:pStyle w:val="ListParagraph"/>
              <w:numPr>
                <w:ilvl w:val="0"/>
                <w:numId w:val="2"/>
              </w:numPr>
            </w:pPr>
            <w:r w:rsidRPr="00DC7FA1">
              <w:rPr>
                <w:rFonts w:eastAsia="Calibri" w:cs="Arial"/>
                <w:szCs w:val="24"/>
              </w:rPr>
              <w:t>Participation alone will not guarantee improved implementation of disability rights unless candidate countries are given adequate support, resources and opportunities to contribute meaningfully to the Platform's work.</w:t>
            </w:r>
          </w:p>
        </w:tc>
        <w:tc>
          <w:tcPr>
            <w:tcW w:w="5130" w:type="dxa"/>
          </w:tcPr>
          <w:p w14:paraId="02B66EC9" w14:textId="4DCE82EE" w:rsidR="00CE713D" w:rsidRPr="00CE713D" w:rsidRDefault="4DD705EF">
            <w:r>
              <w:lastRenderedPageBreak/>
              <w:t xml:space="preserve">Ensure active </w:t>
            </w:r>
            <w:r w:rsidR="2321CA48">
              <w:t>participation from representatives of accession countries within the platform</w:t>
            </w:r>
            <w:r w:rsidR="001E1ACD">
              <w:t xml:space="preserve">. </w:t>
            </w:r>
          </w:p>
          <w:p w14:paraId="42CA391F" w14:textId="1E38E9CA" w:rsidR="00CE713D" w:rsidRPr="00CE713D" w:rsidRDefault="00CE713D" w:rsidP="00C64F5E"/>
        </w:tc>
      </w:tr>
    </w:tbl>
    <w:p w14:paraId="0F935A8C" w14:textId="77777777" w:rsidR="00B80224" w:rsidRPr="00CE713D" w:rsidRDefault="00B80224" w:rsidP="00465371"/>
    <w:p w14:paraId="293EEA6C" w14:textId="77777777" w:rsidR="00B80224" w:rsidRPr="00CE713D" w:rsidRDefault="00B80224" w:rsidP="00002939">
      <w:pPr>
        <w:pStyle w:val="Heading2"/>
      </w:pPr>
      <w:bookmarkStart w:id="48" w:name="_Toc235203126"/>
      <w:r w:rsidRPr="00CE713D">
        <w:t>6. Efficiently delivering the strategy</w:t>
      </w:r>
      <w:bookmarkEnd w:id="48"/>
    </w:p>
    <w:tbl>
      <w:tblPr>
        <w:tblStyle w:val="TableGrid"/>
        <w:tblW w:w="0" w:type="auto"/>
        <w:tblLook w:val="04A0" w:firstRow="1" w:lastRow="0" w:firstColumn="1" w:lastColumn="0" w:noHBand="0" w:noVBand="1"/>
      </w:tblPr>
      <w:tblGrid>
        <w:gridCol w:w="5129"/>
        <w:gridCol w:w="5129"/>
        <w:gridCol w:w="5130"/>
      </w:tblGrid>
      <w:tr w:rsidR="00CE713D" w:rsidRPr="00CE713D" w14:paraId="53EB593E" w14:textId="77777777" w:rsidTr="151A577D">
        <w:trPr>
          <w:tblHeader/>
        </w:trPr>
        <w:tc>
          <w:tcPr>
            <w:tcW w:w="5129" w:type="dxa"/>
          </w:tcPr>
          <w:p w14:paraId="23B81339" w14:textId="77777777" w:rsidR="00CE713D" w:rsidRPr="00CE713D" w:rsidRDefault="00CE713D">
            <w:pPr>
              <w:rPr>
                <w:b/>
                <w:bCs/>
              </w:rPr>
            </w:pPr>
            <w:r w:rsidRPr="00CE713D">
              <w:rPr>
                <w:b/>
                <w:bCs/>
              </w:rPr>
              <w:t>Action in the Disability Strategy</w:t>
            </w:r>
          </w:p>
        </w:tc>
        <w:tc>
          <w:tcPr>
            <w:tcW w:w="5129" w:type="dxa"/>
          </w:tcPr>
          <w:p w14:paraId="67C64254" w14:textId="77777777" w:rsidR="00CE713D" w:rsidRPr="00CE713D" w:rsidRDefault="00CE713D">
            <w:pPr>
              <w:rPr>
                <w:b/>
                <w:bCs/>
              </w:rPr>
            </w:pPr>
            <w:r w:rsidRPr="00CE713D">
              <w:rPr>
                <w:b/>
                <w:bCs/>
              </w:rPr>
              <w:t>Evaluation by EDF</w:t>
            </w:r>
          </w:p>
        </w:tc>
        <w:tc>
          <w:tcPr>
            <w:tcW w:w="5130" w:type="dxa"/>
          </w:tcPr>
          <w:p w14:paraId="3BEB7B70" w14:textId="77777777" w:rsidR="00CE713D" w:rsidRPr="00CE713D" w:rsidRDefault="00CE713D">
            <w:pPr>
              <w:rPr>
                <w:b/>
                <w:bCs/>
              </w:rPr>
            </w:pPr>
            <w:r w:rsidRPr="00CE713D">
              <w:rPr>
                <w:b/>
                <w:bCs/>
              </w:rPr>
              <w:t>Priorities for implementation</w:t>
            </w:r>
          </w:p>
        </w:tc>
      </w:tr>
      <w:tr w:rsidR="00CE713D" w:rsidRPr="00CE713D" w14:paraId="1855D5EC" w14:textId="77777777" w:rsidTr="151A577D">
        <w:tc>
          <w:tcPr>
            <w:tcW w:w="5129" w:type="dxa"/>
          </w:tcPr>
          <w:p w14:paraId="401F0B32" w14:textId="6471EF63" w:rsidR="00CE713D" w:rsidRPr="00CE713D" w:rsidRDefault="00EB20E6" w:rsidP="00CE713D">
            <w:r>
              <w:t>U</w:t>
            </w:r>
            <w:r w:rsidR="00CE713D" w:rsidRPr="00CE713D">
              <w:t>pscale the Disability Platform by strengthening the exchange of information on national developments. The Platform will support Member States to identify challenges and remedial action in preparing and implementing disability plans and strategies feeding into their national and regional partnership plans under the multiannual financial framework after 2027 (pending adoption)</w:t>
            </w:r>
            <w:r w:rsidR="0003164B">
              <w:t>.</w:t>
            </w:r>
          </w:p>
          <w:p w14:paraId="06CB8C66" w14:textId="77777777" w:rsidR="00CE713D" w:rsidRPr="00CE713D" w:rsidRDefault="00CE713D"/>
        </w:tc>
        <w:tc>
          <w:tcPr>
            <w:tcW w:w="5129" w:type="dxa"/>
          </w:tcPr>
          <w:p w14:paraId="287B9203" w14:textId="577C39EB" w:rsidR="009224D9" w:rsidRDefault="009224D9" w:rsidP="009224D9">
            <w:pPr>
              <w:rPr>
                <w:b/>
                <w:bCs/>
              </w:rPr>
            </w:pPr>
            <w:r w:rsidRPr="00EB20E6">
              <w:rPr>
                <w:b/>
                <w:bCs/>
              </w:rPr>
              <w:t>Positive</w:t>
            </w:r>
            <w:r w:rsidR="00272185">
              <w:rPr>
                <w:b/>
                <w:bCs/>
              </w:rPr>
              <w:t>.</w:t>
            </w:r>
          </w:p>
          <w:p w14:paraId="5F3DE8EF" w14:textId="069603A7" w:rsidR="00BA7791" w:rsidRDefault="00477E65" w:rsidP="00BE19EA">
            <w:r>
              <w:t>The</w:t>
            </w:r>
            <w:r w:rsidR="000B08D2">
              <w:t xml:space="preserve"> involvement of the Platform and the</w:t>
            </w:r>
            <w:r>
              <w:t xml:space="preserve"> focus on ensuring </w:t>
            </w:r>
            <w:r w:rsidR="00373FDF">
              <w:t xml:space="preserve">challenges for persons with disabilities are addressed in the National and Regional Partnership Plans (plans for the use of EU funds as of 2028) will be particularly useful. It will be a practical tool to ensure that EU funds are used in line with the CRPD, and do not further segregate persons with disabilities. </w:t>
            </w:r>
          </w:p>
          <w:p w14:paraId="4DA4BF5F" w14:textId="121446DD" w:rsidR="00BA7791" w:rsidRPr="00477E65" w:rsidRDefault="00BA7791" w:rsidP="00BE19EA">
            <w:r w:rsidRPr="00BA7791">
              <w:rPr>
                <w:b/>
                <w:bCs/>
              </w:rPr>
              <w:t>Neutral.</w:t>
            </w:r>
          </w:p>
          <w:p w14:paraId="279D349D" w14:textId="02632CB4" w:rsidR="009224D9" w:rsidRDefault="00BA7791" w:rsidP="009224D9">
            <w:r>
              <w:t>It is unclear how this action will b</w:t>
            </w:r>
            <w:r w:rsidR="00D7431C">
              <w:t xml:space="preserve">e operationalised. </w:t>
            </w:r>
          </w:p>
          <w:p w14:paraId="49D5D59C" w14:textId="04EAF561" w:rsidR="00CE713D" w:rsidRPr="00CE713D" w:rsidRDefault="00CE713D" w:rsidP="009224D9"/>
        </w:tc>
        <w:tc>
          <w:tcPr>
            <w:tcW w:w="5130" w:type="dxa"/>
          </w:tcPr>
          <w:p w14:paraId="7BA65C21" w14:textId="5520BF03" w:rsidR="00CE713D" w:rsidRDefault="006152C4">
            <w:r>
              <w:t xml:space="preserve">Make sure that enough time and attention is </w:t>
            </w:r>
            <w:r w:rsidR="00F06A8E">
              <w:t xml:space="preserve">foreseen in Platform meetings to </w:t>
            </w:r>
            <w:proofErr w:type="gramStart"/>
            <w:r w:rsidR="00F06A8E">
              <w:t xml:space="preserve">discuss </w:t>
            </w:r>
            <w:r w:rsidR="009F67A9">
              <w:t xml:space="preserve"> how</w:t>
            </w:r>
            <w:proofErr w:type="gramEnd"/>
            <w:r w:rsidR="009F67A9">
              <w:t xml:space="preserve"> disability-related challenges are addressed in </w:t>
            </w:r>
            <w:r w:rsidR="00F06A8E">
              <w:t>National and Regional Partnership Plans.</w:t>
            </w:r>
          </w:p>
          <w:p w14:paraId="51113D33" w14:textId="77777777" w:rsidR="00F06A8E" w:rsidRDefault="00F06A8E">
            <w:r>
              <w:t xml:space="preserve">Ensure that Commission services assessing and approving the NRPs </w:t>
            </w:r>
            <w:r w:rsidR="00F817A5">
              <w:t xml:space="preserve">are </w:t>
            </w:r>
            <w:r w:rsidR="00A95A42">
              <w:t xml:space="preserve">part of these discussions and are briefed on challenges for persons with disabilities raised during Platform meetings. These should be </w:t>
            </w:r>
            <w:proofErr w:type="gramStart"/>
            <w:r w:rsidR="00A95A42">
              <w:t>taken into account</w:t>
            </w:r>
            <w:proofErr w:type="gramEnd"/>
            <w:r w:rsidR="00A95A42">
              <w:t xml:space="preserve"> during the NRP assessments and an</w:t>
            </w:r>
            <w:r w:rsidR="004B2041">
              <w:t>y</w:t>
            </w:r>
            <w:r w:rsidR="001B6323">
              <w:t xml:space="preserve"> Member States whose</w:t>
            </w:r>
            <w:r w:rsidR="00A95A42">
              <w:t xml:space="preserve"> plans </w:t>
            </w:r>
            <w:r w:rsidR="004B2041">
              <w:t>ignor</w:t>
            </w:r>
            <w:r w:rsidR="001B6323">
              <w:t>e</w:t>
            </w:r>
            <w:r w:rsidR="004B2041">
              <w:t xml:space="preserve"> these issues </w:t>
            </w:r>
            <w:r w:rsidR="001B6323">
              <w:t xml:space="preserve">should be </w:t>
            </w:r>
            <w:r w:rsidR="004326AC">
              <w:t xml:space="preserve">supported by the Commission in making </w:t>
            </w:r>
            <w:r w:rsidR="004326AC">
              <w:lastRenderedPageBreak/>
              <w:t>amendments to their plans before approval.</w:t>
            </w:r>
          </w:p>
          <w:p w14:paraId="2B709020" w14:textId="6F5C085F" w:rsidR="00D7431C" w:rsidRPr="00CE713D" w:rsidRDefault="00D7431C"/>
        </w:tc>
      </w:tr>
      <w:tr w:rsidR="00CE713D" w:rsidRPr="00CE713D" w14:paraId="40226781" w14:textId="77777777" w:rsidTr="151A577D">
        <w:tc>
          <w:tcPr>
            <w:tcW w:w="5129" w:type="dxa"/>
          </w:tcPr>
          <w:p w14:paraId="64DC855D" w14:textId="1AC64A66" w:rsidR="00CE713D" w:rsidRPr="00CE713D" w:rsidRDefault="00CE713D" w:rsidP="00CE713D">
            <w:r w:rsidRPr="00CE713D">
              <w:lastRenderedPageBreak/>
              <w:t>Continue to promote involvement of the disability community in policymaking at all levels in line with the EU strategy for civil society</w:t>
            </w:r>
            <w:r w:rsidR="0003164B">
              <w:t>.</w:t>
            </w:r>
          </w:p>
          <w:p w14:paraId="2FFC7E5A" w14:textId="77777777" w:rsidR="00CE713D" w:rsidRPr="00CE713D" w:rsidRDefault="00CE713D"/>
        </w:tc>
        <w:tc>
          <w:tcPr>
            <w:tcW w:w="5129" w:type="dxa"/>
          </w:tcPr>
          <w:p w14:paraId="199D5860" w14:textId="5E47D21D" w:rsidR="00CE713D" w:rsidRDefault="0003164B" w:rsidP="009224D9">
            <w:pPr>
              <w:rPr>
                <w:b/>
                <w:bCs/>
              </w:rPr>
            </w:pPr>
            <w:r>
              <w:rPr>
                <w:b/>
                <w:bCs/>
              </w:rPr>
              <w:t>Neutral</w:t>
            </w:r>
            <w:r w:rsidR="00272185">
              <w:rPr>
                <w:b/>
                <w:bCs/>
              </w:rPr>
              <w:t>.</w:t>
            </w:r>
          </w:p>
          <w:p w14:paraId="0487FE58" w14:textId="1599EFFA" w:rsidR="002F11F4" w:rsidRPr="00CE713D" w:rsidRDefault="00907689" w:rsidP="00BE19EA">
            <w:r>
              <w:t xml:space="preserve">We cannot talk about a strong action here, since the </w:t>
            </w:r>
            <w:r w:rsidR="0008411F">
              <w:t xml:space="preserve">description of the action is fleeting and very vague. </w:t>
            </w:r>
          </w:p>
        </w:tc>
        <w:tc>
          <w:tcPr>
            <w:tcW w:w="5130" w:type="dxa"/>
          </w:tcPr>
          <w:p w14:paraId="089B235D" w14:textId="77777777" w:rsidR="00D7431C" w:rsidRDefault="00D7431C">
            <w:r>
              <w:t xml:space="preserve">Ensure </w:t>
            </w:r>
            <w:r w:rsidR="00E06643" w:rsidRPr="00DC3D7E">
              <w:t xml:space="preserve">participation of </w:t>
            </w:r>
            <w:r w:rsidR="00BB5B0D" w:rsidRPr="00DC3D7E">
              <w:t xml:space="preserve">representative organisations of persons with disabilities </w:t>
            </w:r>
            <w:r w:rsidR="00E06643" w:rsidRPr="00DC3D7E">
              <w:t>in the Civil Society Platform and</w:t>
            </w:r>
            <w:r w:rsidR="001E2BF9" w:rsidRPr="00DC3D7E">
              <w:t xml:space="preserve"> in all policymaking across relev</w:t>
            </w:r>
            <w:r w:rsidR="00DC3D7E" w:rsidRPr="00DC3D7E">
              <w:t>ant EU institutions.</w:t>
            </w:r>
          </w:p>
          <w:p w14:paraId="7035198F" w14:textId="3FB11C65" w:rsidR="00CE713D" w:rsidRPr="00CE713D" w:rsidRDefault="00E06643">
            <w:r w:rsidRPr="00DC3D7E">
              <w:t xml:space="preserve"> </w:t>
            </w:r>
          </w:p>
        </w:tc>
      </w:tr>
      <w:tr w:rsidR="00CE713D" w:rsidRPr="00CE713D" w14:paraId="78685AC9" w14:textId="77777777" w:rsidTr="151A577D">
        <w:tc>
          <w:tcPr>
            <w:tcW w:w="5129" w:type="dxa"/>
          </w:tcPr>
          <w:p w14:paraId="4A128426" w14:textId="1585881F" w:rsidR="00CE713D" w:rsidRPr="00CE713D" w:rsidRDefault="00EB20E6" w:rsidP="00CE713D">
            <w:r>
              <w:t>S</w:t>
            </w:r>
            <w:r w:rsidR="00CE713D" w:rsidRPr="00CE713D">
              <w:t xml:space="preserve">upport organisations working for disability inclusion under the </w:t>
            </w:r>
            <w:proofErr w:type="spellStart"/>
            <w:r w:rsidR="00CE713D" w:rsidRPr="00CE713D">
              <w:t>AgoraEU</w:t>
            </w:r>
            <w:proofErr w:type="spellEnd"/>
            <w:r w:rsidR="00CE713D" w:rsidRPr="00CE713D">
              <w:t xml:space="preserve"> programme under the 2028-2034 multiannual financial framework (pending adoption).</w:t>
            </w:r>
          </w:p>
          <w:p w14:paraId="02E990B7" w14:textId="77777777" w:rsidR="00CE713D" w:rsidRPr="00CE713D" w:rsidRDefault="00CE713D"/>
        </w:tc>
        <w:tc>
          <w:tcPr>
            <w:tcW w:w="5129" w:type="dxa"/>
          </w:tcPr>
          <w:p w14:paraId="3DB0FC64" w14:textId="1F3863E0" w:rsidR="009224D9" w:rsidRDefault="009224D9" w:rsidP="009224D9">
            <w:pPr>
              <w:rPr>
                <w:b/>
                <w:bCs/>
              </w:rPr>
            </w:pPr>
            <w:r w:rsidRPr="00EB20E6">
              <w:rPr>
                <w:b/>
                <w:bCs/>
              </w:rPr>
              <w:t>Positive</w:t>
            </w:r>
            <w:r w:rsidR="00272185">
              <w:rPr>
                <w:b/>
                <w:bCs/>
              </w:rPr>
              <w:t>.</w:t>
            </w:r>
          </w:p>
          <w:p w14:paraId="54791C55" w14:textId="6C0AFAB2" w:rsidR="004326AC" w:rsidRPr="00BE19EA" w:rsidRDefault="004326AC" w:rsidP="00BE19EA">
            <w:pPr>
              <w:rPr>
                <w:b/>
                <w:bCs/>
              </w:rPr>
            </w:pPr>
            <w:r>
              <w:t xml:space="preserve">This is a crucial </w:t>
            </w:r>
            <w:r w:rsidR="00F172CC">
              <w:t xml:space="preserve">measure to ensure the continued involvement of persons with disabilities and their representative organisations in EU policy making. </w:t>
            </w:r>
          </w:p>
          <w:p w14:paraId="49CF4C70" w14:textId="77777777" w:rsidR="009224D9" w:rsidRDefault="009224D9" w:rsidP="009224D9"/>
          <w:p w14:paraId="55616F95" w14:textId="4764D2D6" w:rsidR="00CE713D" w:rsidRPr="00CE713D" w:rsidRDefault="00CE713D" w:rsidP="009224D9"/>
        </w:tc>
        <w:tc>
          <w:tcPr>
            <w:tcW w:w="5130" w:type="dxa"/>
          </w:tcPr>
          <w:p w14:paraId="4BE08FA4" w14:textId="1FE94A05" w:rsidR="00CE713D" w:rsidRDefault="00542092">
            <w:r>
              <w:t xml:space="preserve">Ensure that the amount of funding available is sufficient to enable meaningful activities by </w:t>
            </w:r>
            <w:r w:rsidR="0080271A">
              <w:t>organisations working for disability inclusion</w:t>
            </w:r>
            <w:r>
              <w:t>.</w:t>
            </w:r>
          </w:p>
          <w:p w14:paraId="1228CD2B" w14:textId="77777777" w:rsidR="00542092" w:rsidRDefault="00542092"/>
          <w:p w14:paraId="5FF51144" w14:textId="77777777" w:rsidR="00542092" w:rsidRDefault="00D2119A">
            <w:r>
              <w:t xml:space="preserve">Be sure that the regulation for </w:t>
            </w:r>
            <w:proofErr w:type="spellStart"/>
            <w:r>
              <w:t>AgoraEU</w:t>
            </w:r>
            <w:proofErr w:type="spellEnd"/>
            <w:r>
              <w:t xml:space="preserve"> does not in any way restrict the scope of the work of disability organisations and their ability to </w:t>
            </w:r>
            <w:r w:rsidR="00807C7E">
              <w:t xml:space="preserve">conduct advocacy work related to EU legislation. </w:t>
            </w:r>
          </w:p>
          <w:p w14:paraId="16027C54" w14:textId="4915C701" w:rsidR="00D7431C" w:rsidRPr="00CE713D" w:rsidRDefault="00D7431C"/>
        </w:tc>
      </w:tr>
      <w:tr w:rsidR="00CE713D" w:rsidRPr="00CE713D" w14:paraId="7B9E6075" w14:textId="77777777" w:rsidTr="151A577D">
        <w:tc>
          <w:tcPr>
            <w:tcW w:w="5129" w:type="dxa"/>
          </w:tcPr>
          <w:p w14:paraId="1255890F" w14:textId="2FAB0648" w:rsidR="00CE713D" w:rsidRPr="00CE713D" w:rsidRDefault="00EB20E6" w:rsidP="00CE713D">
            <w:r>
              <w:t>W</w:t>
            </w:r>
            <w:r w:rsidR="00CE713D" w:rsidRPr="00CE713D">
              <w:t xml:space="preserve">ork for increased disability mainstreaming in all EU institutions, bodies, offices and agencies, with action across EU agencies, focusing on raising awareness, and in the context of its </w:t>
            </w:r>
            <w:r w:rsidR="00A356C1">
              <w:t>B</w:t>
            </w:r>
            <w:r w:rsidR="00CE713D" w:rsidRPr="00CE713D">
              <w:t xml:space="preserve">etter </w:t>
            </w:r>
            <w:r w:rsidR="00A356C1">
              <w:t>R</w:t>
            </w:r>
            <w:r w:rsidR="00CE713D" w:rsidRPr="00CE713D">
              <w:t>egulation methodology</w:t>
            </w:r>
            <w:r w:rsidR="0080271A">
              <w:t>.</w:t>
            </w:r>
          </w:p>
          <w:p w14:paraId="566FBAAB" w14:textId="77777777" w:rsidR="00CE713D" w:rsidRPr="00CE713D" w:rsidRDefault="00CE713D"/>
        </w:tc>
        <w:tc>
          <w:tcPr>
            <w:tcW w:w="5129" w:type="dxa"/>
          </w:tcPr>
          <w:p w14:paraId="258DFECD" w14:textId="5A59031A" w:rsidR="00CE713D" w:rsidRDefault="006A0709" w:rsidP="006A0709">
            <w:pPr>
              <w:rPr>
                <w:b/>
                <w:bCs/>
              </w:rPr>
            </w:pPr>
            <w:r w:rsidRPr="00EB20E6">
              <w:rPr>
                <w:b/>
                <w:bCs/>
              </w:rPr>
              <w:t>Ne</w:t>
            </w:r>
            <w:r w:rsidR="00D87108">
              <w:rPr>
                <w:b/>
                <w:bCs/>
              </w:rPr>
              <w:t>utral</w:t>
            </w:r>
            <w:r w:rsidR="00D11262">
              <w:rPr>
                <w:b/>
                <w:bCs/>
              </w:rPr>
              <w:t>.</w:t>
            </w:r>
          </w:p>
          <w:p w14:paraId="50FE1338" w14:textId="5D232A09" w:rsidR="00BE19EA" w:rsidRDefault="00FA33D9" w:rsidP="00EA5C76">
            <w:pPr>
              <w:pStyle w:val="ListParagraph"/>
              <w:numPr>
                <w:ilvl w:val="0"/>
                <w:numId w:val="54"/>
              </w:numPr>
            </w:pPr>
            <w:r>
              <w:t xml:space="preserve">Other than raising awareness, there is very little explanation about what ‘disability mainstreaming in the EU institutions’ means. </w:t>
            </w:r>
          </w:p>
          <w:p w14:paraId="00BC0162" w14:textId="77777777" w:rsidR="009C25BF" w:rsidRDefault="009C25BF" w:rsidP="00EA5C76">
            <w:pPr>
              <w:pStyle w:val="ListParagraph"/>
              <w:numPr>
                <w:ilvl w:val="0"/>
                <w:numId w:val="54"/>
              </w:numPr>
            </w:pPr>
            <w:r>
              <w:t xml:space="preserve">Raising awareness is </w:t>
            </w:r>
            <w:r w:rsidR="00A74035">
              <w:t xml:space="preserve">a very soft approach and there is little clarity on how this will </w:t>
            </w:r>
            <w:proofErr w:type="gramStart"/>
            <w:r w:rsidR="00A74035">
              <w:t>actually reach</w:t>
            </w:r>
            <w:proofErr w:type="gramEnd"/>
            <w:r w:rsidR="00A74035">
              <w:t xml:space="preserve"> </w:t>
            </w:r>
            <w:r w:rsidR="00894276">
              <w:t>EU</w:t>
            </w:r>
            <w:r w:rsidR="00A74035">
              <w:t xml:space="preserve"> institutions.</w:t>
            </w:r>
          </w:p>
          <w:p w14:paraId="17591075" w14:textId="3E1BF11F" w:rsidR="0071114A" w:rsidRPr="00CE713D" w:rsidRDefault="0071114A" w:rsidP="00BE19EA"/>
        </w:tc>
        <w:tc>
          <w:tcPr>
            <w:tcW w:w="5130" w:type="dxa"/>
          </w:tcPr>
          <w:p w14:paraId="4ED92647" w14:textId="478DAC99" w:rsidR="00CE713D" w:rsidRPr="00CE713D" w:rsidRDefault="00A74035">
            <w:r>
              <w:t xml:space="preserve">Making sure this action goes beyond </w:t>
            </w:r>
            <w:r w:rsidR="00B15398">
              <w:t xml:space="preserve">awareness raising. </w:t>
            </w:r>
          </w:p>
        </w:tc>
      </w:tr>
      <w:tr w:rsidR="00CE713D" w:rsidRPr="00CE713D" w14:paraId="64E81C89" w14:textId="77777777" w:rsidTr="151A577D">
        <w:tc>
          <w:tcPr>
            <w:tcW w:w="5129" w:type="dxa"/>
          </w:tcPr>
          <w:p w14:paraId="268233E2" w14:textId="70369AC6" w:rsidR="00CE713D" w:rsidRPr="00CE713D" w:rsidRDefault="00EB20E6" w:rsidP="00CE713D">
            <w:r>
              <w:lastRenderedPageBreak/>
              <w:t>R</w:t>
            </w:r>
            <w:r w:rsidR="00CE713D" w:rsidRPr="00CE713D">
              <w:t>eform the existing EU UNCRPD monitoring framework by 2028</w:t>
            </w:r>
            <w:r w:rsidR="00A91113">
              <w:t>.</w:t>
            </w:r>
          </w:p>
          <w:p w14:paraId="05E77393" w14:textId="77777777" w:rsidR="00CE713D" w:rsidRPr="00CE713D" w:rsidRDefault="00CE713D"/>
        </w:tc>
        <w:tc>
          <w:tcPr>
            <w:tcW w:w="5129" w:type="dxa"/>
          </w:tcPr>
          <w:p w14:paraId="4536DC7E" w14:textId="3E0977BA" w:rsidR="00CE713D" w:rsidRPr="00CE713D" w:rsidRDefault="0071114A" w:rsidP="151A577D">
            <w:pPr>
              <w:rPr>
                <w:b/>
                <w:bCs/>
              </w:rPr>
            </w:pPr>
            <w:r>
              <w:rPr>
                <w:b/>
                <w:bCs/>
              </w:rPr>
              <w:t>Very p</w:t>
            </w:r>
            <w:r w:rsidR="19CCF4D9" w:rsidRPr="00DC7FA1">
              <w:rPr>
                <w:b/>
                <w:bCs/>
              </w:rPr>
              <w:t>ositive</w:t>
            </w:r>
            <w:r w:rsidR="00D11262">
              <w:rPr>
                <w:b/>
                <w:bCs/>
              </w:rPr>
              <w:t>.</w:t>
            </w:r>
          </w:p>
          <w:p w14:paraId="1B4986AD" w14:textId="44DC911C" w:rsidR="00CE713D" w:rsidRPr="00BE19EA" w:rsidRDefault="19CCF4D9" w:rsidP="00BE19EA">
            <w:pPr>
              <w:rPr>
                <w:szCs w:val="24"/>
              </w:rPr>
            </w:pPr>
            <w:r w:rsidRPr="00BE19EA">
              <w:rPr>
                <w:szCs w:val="24"/>
              </w:rPr>
              <w:t xml:space="preserve">Important measure that EDF </w:t>
            </w:r>
            <w:r w:rsidR="001109DE" w:rsidRPr="00BE19EA">
              <w:rPr>
                <w:szCs w:val="24"/>
              </w:rPr>
              <w:t xml:space="preserve">and </w:t>
            </w:r>
            <w:r w:rsidRPr="00BE19EA">
              <w:rPr>
                <w:szCs w:val="24"/>
              </w:rPr>
              <w:t>the CRPD Committee</w:t>
            </w:r>
            <w:r w:rsidR="001109DE" w:rsidRPr="00BE19EA">
              <w:rPr>
                <w:szCs w:val="24"/>
              </w:rPr>
              <w:t xml:space="preserve"> requested</w:t>
            </w:r>
            <w:r w:rsidR="000C1C8D" w:rsidRPr="00BE19EA">
              <w:rPr>
                <w:szCs w:val="24"/>
              </w:rPr>
              <w:t>.</w:t>
            </w:r>
          </w:p>
        </w:tc>
        <w:tc>
          <w:tcPr>
            <w:tcW w:w="5130" w:type="dxa"/>
          </w:tcPr>
          <w:p w14:paraId="7DD24293" w14:textId="1508CA32" w:rsidR="00B833ED" w:rsidRPr="00CE713D" w:rsidRDefault="19CCF4D9" w:rsidP="00EA5C76">
            <w:pPr>
              <w:pStyle w:val="ListParagraph"/>
              <w:numPr>
                <w:ilvl w:val="0"/>
                <w:numId w:val="55"/>
              </w:numPr>
            </w:pPr>
            <w:r>
              <w:t>Ensure that the EU UNCRPD monitoring framework functions better and is adequately resource</w:t>
            </w:r>
            <w:r w:rsidR="00582A7F">
              <w:t>d</w:t>
            </w:r>
            <w:r>
              <w:t xml:space="preserve">. The European Parliament should be removed as full member. </w:t>
            </w:r>
            <w:r w:rsidR="00AE6CF7">
              <w:t>And the powers and respon</w:t>
            </w:r>
            <w:r w:rsidR="003F2254">
              <w:t>sibilities of the EU CRPD monitoring framework should be strengthened.</w:t>
            </w:r>
          </w:p>
          <w:p w14:paraId="6A16C751" w14:textId="77777777" w:rsidR="00B833ED" w:rsidRDefault="4727EEE5" w:rsidP="00EA5C76">
            <w:pPr>
              <w:pStyle w:val="ListParagraph"/>
              <w:numPr>
                <w:ilvl w:val="0"/>
                <w:numId w:val="55"/>
              </w:numPr>
            </w:pPr>
            <w:r>
              <w:t xml:space="preserve">EDF will set a </w:t>
            </w:r>
            <w:r w:rsidR="003F2254">
              <w:t xml:space="preserve">clear </w:t>
            </w:r>
            <w:r>
              <w:t>position on the reform following the publication o</w:t>
            </w:r>
            <w:r w:rsidR="003F2254">
              <w:t>f</w:t>
            </w:r>
            <w:r>
              <w:t xml:space="preserve"> </w:t>
            </w:r>
            <w:r w:rsidR="003F2254">
              <w:t xml:space="preserve">its upcoming </w:t>
            </w:r>
            <w:r>
              <w:t>Human Rights Report on CRPD monitoring mechanisms.</w:t>
            </w:r>
          </w:p>
          <w:p w14:paraId="6EC05E21" w14:textId="3BE1E54B" w:rsidR="00CE713D" w:rsidRPr="00CE713D" w:rsidRDefault="00CE713D" w:rsidP="00F375C9">
            <w:pPr>
              <w:ind w:firstLine="90"/>
            </w:pPr>
          </w:p>
        </w:tc>
      </w:tr>
    </w:tbl>
    <w:p w14:paraId="24128B98" w14:textId="77777777" w:rsidR="00B80224" w:rsidRPr="00CE713D" w:rsidRDefault="00B80224" w:rsidP="00465371"/>
    <w:p w14:paraId="556EDF29" w14:textId="77777777" w:rsidR="00B80224" w:rsidRPr="00CE713D" w:rsidRDefault="00B80224" w:rsidP="00002939">
      <w:pPr>
        <w:pStyle w:val="Heading2"/>
      </w:pPr>
      <w:bookmarkStart w:id="49" w:name="_Toc235203127"/>
      <w:r w:rsidRPr="00CE713D">
        <w:t>7. Leading by example</w:t>
      </w:r>
      <w:bookmarkEnd w:id="49"/>
    </w:p>
    <w:tbl>
      <w:tblPr>
        <w:tblStyle w:val="TableGrid"/>
        <w:tblW w:w="0" w:type="auto"/>
        <w:tblLook w:val="04A0" w:firstRow="1" w:lastRow="0" w:firstColumn="1" w:lastColumn="0" w:noHBand="0" w:noVBand="1"/>
      </w:tblPr>
      <w:tblGrid>
        <w:gridCol w:w="5129"/>
        <w:gridCol w:w="5129"/>
        <w:gridCol w:w="5130"/>
      </w:tblGrid>
      <w:tr w:rsidR="00CE713D" w:rsidRPr="00CE713D" w14:paraId="62B400E5" w14:textId="77777777">
        <w:trPr>
          <w:tblHeader/>
        </w:trPr>
        <w:tc>
          <w:tcPr>
            <w:tcW w:w="5129" w:type="dxa"/>
          </w:tcPr>
          <w:p w14:paraId="0B8F9236" w14:textId="77777777" w:rsidR="00CE713D" w:rsidRPr="00CE713D" w:rsidRDefault="00CE713D">
            <w:pPr>
              <w:rPr>
                <w:b/>
                <w:bCs/>
              </w:rPr>
            </w:pPr>
            <w:r w:rsidRPr="00CE713D">
              <w:rPr>
                <w:b/>
                <w:bCs/>
              </w:rPr>
              <w:t>Action in the Disability Strategy</w:t>
            </w:r>
          </w:p>
        </w:tc>
        <w:tc>
          <w:tcPr>
            <w:tcW w:w="5129" w:type="dxa"/>
          </w:tcPr>
          <w:p w14:paraId="1DE8E14F" w14:textId="77777777" w:rsidR="00CE713D" w:rsidRPr="00CE713D" w:rsidRDefault="00CE713D">
            <w:pPr>
              <w:rPr>
                <w:b/>
                <w:bCs/>
              </w:rPr>
            </w:pPr>
            <w:r w:rsidRPr="00CE713D">
              <w:rPr>
                <w:b/>
                <w:bCs/>
              </w:rPr>
              <w:t>Evaluation by EDF</w:t>
            </w:r>
          </w:p>
        </w:tc>
        <w:tc>
          <w:tcPr>
            <w:tcW w:w="5130" w:type="dxa"/>
          </w:tcPr>
          <w:p w14:paraId="0A185650" w14:textId="77777777" w:rsidR="00CE713D" w:rsidRPr="00CE713D" w:rsidRDefault="00CE713D">
            <w:pPr>
              <w:rPr>
                <w:b/>
                <w:bCs/>
              </w:rPr>
            </w:pPr>
            <w:r w:rsidRPr="00CE713D">
              <w:rPr>
                <w:b/>
                <w:bCs/>
              </w:rPr>
              <w:t>Priorities for implementation</w:t>
            </w:r>
          </w:p>
        </w:tc>
      </w:tr>
      <w:tr w:rsidR="00CE713D" w:rsidRPr="00CE713D" w14:paraId="7861B0C3" w14:textId="77777777">
        <w:tc>
          <w:tcPr>
            <w:tcW w:w="5129" w:type="dxa"/>
          </w:tcPr>
          <w:p w14:paraId="4426A1B1" w14:textId="77897AFB" w:rsidR="00CE713D" w:rsidRPr="00CE713D" w:rsidRDefault="00CE713D" w:rsidP="00CE713D">
            <w:r w:rsidRPr="00CE713D">
              <w:t>Promote the participation of persons with disabilities in the Blue Book traineeship programme in the context of the upcoming revision of the decision on the Blue Book traineeship</w:t>
            </w:r>
            <w:r w:rsidR="00A91113">
              <w:t>.</w:t>
            </w:r>
          </w:p>
          <w:p w14:paraId="2E93361F" w14:textId="77777777" w:rsidR="00CE713D" w:rsidRPr="00CE713D" w:rsidRDefault="00CE713D"/>
        </w:tc>
        <w:tc>
          <w:tcPr>
            <w:tcW w:w="5129" w:type="dxa"/>
          </w:tcPr>
          <w:p w14:paraId="0217ABD6" w14:textId="5D436F19" w:rsidR="00C153AB" w:rsidRDefault="00C153AB" w:rsidP="00C153AB">
            <w:pPr>
              <w:rPr>
                <w:b/>
                <w:bCs/>
              </w:rPr>
            </w:pPr>
            <w:r w:rsidRPr="00EB20E6">
              <w:rPr>
                <w:b/>
                <w:bCs/>
              </w:rPr>
              <w:t>Positive point:</w:t>
            </w:r>
          </w:p>
          <w:p w14:paraId="6127D8C1" w14:textId="32A5E67A" w:rsidR="00C153AB" w:rsidRPr="00F375C9" w:rsidRDefault="00356625" w:rsidP="00EA5C76">
            <w:pPr>
              <w:pStyle w:val="ListParagraph"/>
              <w:numPr>
                <w:ilvl w:val="0"/>
                <w:numId w:val="13"/>
              </w:numPr>
              <w:rPr>
                <w:b/>
                <w:bCs/>
              </w:rPr>
            </w:pPr>
            <w:r>
              <w:t xml:space="preserve">This is a very welcome move that will bring the European Commission closer to the level of inclusiveness for trainees that we see in the European Parliament and the Council of the European Union. </w:t>
            </w:r>
          </w:p>
          <w:p w14:paraId="0761BED4" w14:textId="7F09F4C2" w:rsidR="00CE713D" w:rsidRDefault="00C153AB" w:rsidP="00C153AB">
            <w:pPr>
              <w:rPr>
                <w:b/>
                <w:bCs/>
              </w:rPr>
            </w:pPr>
            <w:r w:rsidRPr="00EB20E6">
              <w:rPr>
                <w:b/>
                <w:bCs/>
              </w:rPr>
              <w:t>Negative point:</w:t>
            </w:r>
          </w:p>
          <w:p w14:paraId="5D54D444" w14:textId="77777777" w:rsidR="006E1304" w:rsidRDefault="006E1304" w:rsidP="00EA5C76">
            <w:pPr>
              <w:pStyle w:val="ListParagraph"/>
              <w:numPr>
                <w:ilvl w:val="0"/>
                <w:numId w:val="13"/>
              </w:numPr>
            </w:pPr>
            <w:r>
              <w:t xml:space="preserve">No indication is made yet of whether this promotion will extend to </w:t>
            </w:r>
            <w:proofErr w:type="gramStart"/>
            <w:r>
              <w:t>actually offering</w:t>
            </w:r>
            <w:proofErr w:type="gramEnd"/>
            <w:r>
              <w:t xml:space="preserve"> more </w:t>
            </w:r>
            <w:r>
              <w:lastRenderedPageBreak/>
              <w:t xml:space="preserve">support to trainees with disabilities who move to Brussels and </w:t>
            </w:r>
            <w:r w:rsidR="00B146A1">
              <w:t>will likely</w:t>
            </w:r>
            <w:r>
              <w:t xml:space="preserve"> encounter</w:t>
            </w:r>
            <w:r w:rsidR="00B34336">
              <w:t xml:space="preserve"> barriers </w:t>
            </w:r>
            <w:r w:rsidR="004A34A3">
              <w:t>both in and outside of working hours.</w:t>
            </w:r>
            <w:r>
              <w:t xml:space="preserve"> </w:t>
            </w:r>
          </w:p>
          <w:p w14:paraId="60901070" w14:textId="2B952F89" w:rsidR="00B833ED" w:rsidRPr="00CE713D" w:rsidRDefault="00B833ED" w:rsidP="00B833ED">
            <w:pPr>
              <w:pStyle w:val="ListParagraph"/>
            </w:pPr>
          </w:p>
        </w:tc>
        <w:tc>
          <w:tcPr>
            <w:tcW w:w="5130" w:type="dxa"/>
          </w:tcPr>
          <w:p w14:paraId="0A81F39A" w14:textId="4BD77845" w:rsidR="00A44BEA" w:rsidRDefault="006044F4" w:rsidP="00EA5C76">
            <w:pPr>
              <w:pStyle w:val="ListParagraph"/>
              <w:numPr>
                <w:ilvl w:val="0"/>
                <w:numId w:val="56"/>
              </w:numPr>
            </w:pPr>
            <w:r>
              <w:lastRenderedPageBreak/>
              <w:t xml:space="preserve">Offering </w:t>
            </w:r>
            <w:r w:rsidR="00A44BEA">
              <w:t>extra financial and logistical support to trainees with disabilities arriving in Brussels – including personal assistance when needed.</w:t>
            </w:r>
          </w:p>
          <w:p w14:paraId="11D375FA" w14:textId="2EC16A2E" w:rsidR="009711BC" w:rsidRPr="00CE713D" w:rsidRDefault="009711BC" w:rsidP="00EA5C76">
            <w:pPr>
              <w:pStyle w:val="ListParagraph"/>
              <w:numPr>
                <w:ilvl w:val="0"/>
                <w:numId w:val="56"/>
              </w:numPr>
            </w:pPr>
            <w:r>
              <w:t xml:space="preserve">Better preparing </w:t>
            </w:r>
            <w:r w:rsidR="00EB5A31">
              <w:t xml:space="preserve">colleagues in the Commission to welcome trainees with disabilities. </w:t>
            </w:r>
          </w:p>
        </w:tc>
      </w:tr>
      <w:tr w:rsidR="00CE713D" w:rsidRPr="00CE713D" w14:paraId="35A08F93" w14:textId="77777777">
        <w:tc>
          <w:tcPr>
            <w:tcW w:w="5129" w:type="dxa"/>
          </w:tcPr>
          <w:p w14:paraId="56C72AD7" w14:textId="53958E6A" w:rsidR="00CE713D" w:rsidRPr="00CE713D" w:rsidRDefault="00CE713D">
            <w:r w:rsidRPr="00CE713D">
              <w:t xml:space="preserve">European Personnel Selection Office (EPSO) </w:t>
            </w:r>
            <w:r w:rsidR="00EB20E6">
              <w:t>to</w:t>
            </w:r>
            <w:r w:rsidRPr="00CE713D">
              <w:t xml:space="preserve"> strengthen the accessibility of its communication and selection procedures, ensuring equal opportunities for candidates with disabilities, including through its reasonable accommodation policy. </w:t>
            </w:r>
          </w:p>
        </w:tc>
        <w:tc>
          <w:tcPr>
            <w:tcW w:w="5129" w:type="dxa"/>
          </w:tcPr>
          <w:p w14:paraId="2A086D65" w14:textId="5191481B" w:rsidR="00C153AB" w:rsidRDefault="00C153AB" w:rsidP="00C153AB">
            <w:pPr>
              <w:rPr>
                <w:b/>
                <w:bCs/>
              </w:rPr>
            </w:pPr>
            <w:r w:rsidRPr="00EB20E6">
              <w:rPr>
                <w:b/>
                <w:bCs/>
              </w:rPr>
              <w:t>Positive</w:t>
            </w:r>
            <w:r w:rsidR="00BE19EA">
              <w:rPr>
                <w:b/>
                <w:bCs/>
              </w:rPr>
              <w:t>.</w:t>
            </w:r>
          </w:p>
          <w:p w14:paraId="559C6C12" w14:textId="51C3367D" w:rsidR="004A34A3" w:rsidRPr="00BE19EA" w:rsidRDefault="004A34A3" w:rsidP="00BE19EA">
            <w:pPr>
              <w:rPr>
                <w:b/>
                <w:bCs/>
              </w:rPr>
            </w:pPr>
            <w:r>
              <w:t xml:space="preserve">This is a </w:t>
            </w:r>
            <w:r w:rsidR="0077518C">
              <w:t>much-needed initiative and will hopefully pave the way for more persons with disabilities having access to career opportunities within the EU institutions.</w:t>
            </w:r>
          </w:p>
          <w:p w14:paraId="31C359A4" w14:textId="7ABB9CAA" w:rsidR="00CE713D" w:rsidRPr="00CE713D" w:rsidRDefault="00CE713D" w:rsidP="00C153AB"/>
        </w:tc>
        <w:tc>
          <w:tcPr>
            <w:tcW w:w="5130" w:type="dxa"/>
          </w:tcPr>
          <w:p w14:paraId="00A76486" w14:textId="77777777" w:rsidR="00CE713D" w:rsidRDefault="00697ED7">
            <w:r>
              <w:t xml:space="preserve">Respond swiftly to candidates requesting reasonable accommodation and explain to them well in advance what the reasonable accommodation with entail, to enable candidates with disabilities to adequately prepare for the exam conditions. </w:t>
            </w:r>
          </w:p>
          <w:p w14:paraId="2E52B2C2" w14:textId="7D96204B" w:rsidR="00B833ED" w:rsidRPr="00CE713D" w:rsidRDefault="00B833ED"/>
        </w:tc>
      </w:tr>
      <w:tr w:rsidR="00CE713D" w:rsidRPr="00CE713D" w14:paraId="3B00C690" w14:textId="77777777">
        <w:tc>
          <w:tcPr>
            <w:tcW w:w="5129" w:type="dxa"/>
          </w:tcPr>
          <w:p w14:paraId="50C09CBC" w14:textId="36913C05" w:rsidR="00CE713D" w:rsidRPr="00CE713D" w:rsidRDefault="00CE713D" w:rsidP="00CE713D">
            <w:r w:rsidRPr="00CE713D">
              <w:t xml:space="preserve">EPSO </w:t>
            </w:r>
            <w:r w:rsidR="00EB20E6">
              <w:t>to</w:t>
            </w:r>
            <w:r w:rsidRPr="00CE713D">
              <w:t xml:space="preserve"> further enhance its targeted outreach through cooperation with EU disability and diversity organisations to attract a more diverse pool of candidates.</w:t>
            </w:r>
          </w:p>
          <w:p w14:paraId="6BB0BEBC" w14:textId="77777777" w:rsidR="00CE713D" w:rsidRPr="00CE713D" w:rsidRDefault="00CE713D"/>
        </w:tc>
        <w:tc>
          <w:tcPr>
            <w:tcW w:w="5129" w:type="dxa"/>
          </w:tcPr>
          <w:p w14:paraId="53F12EAC" w14:textId="1BBAEF9E" w:rsidR="00C153AB" w:rsidRDefault="00C153AB" w:rsidP="00C153AB">
            <w:pPr>
              <w:rPr>
                <w:b/>
                <w:bCs/>
              </w:rPr>
            </w:pPr>
            <w:r w:rsidRPr="00EB20E6">
              <w:rPr>
                <w:b/>
                <w:bCs/>
              </w:rPr>
              <w:t>Positive</w:t>
            </w:r>
            <w:r w:rsidR="00BE19EA">
              <w:rPr>
                <w:b/>
                <w:bCs/>
              </w:rPr>
              <w:t>.</w:t>
            </w:r>
          </w:p>
          <w:p w14:paraId="6FCC5502" w14:textId="30C810B1" w:rsidR="0077518C" w:rsidRPr="00BE19EA" w:rsidRDefault="0066591B" w:rsidP="00BE19EA">
            <w:pPr>
              <w:rPr>
                <w:b/>
                <w:bCs/>
              </w:rPr>
            </w:pPr>
            <w:r>
              <w:t xml:space="preserve">An important initiative, but that must be mirrored with real </w:t>
            </w:r>
            <w:r w:rsidR="00EC0906">
              <w:t>measures to ensure reasonable accommodation during the selection process</w:t>
            </w:r>
            <w:r w:rsidR="00B833ED">
              <w:t>.</w:t>
            </w:r>
          </w:p>
          <w:p w14:paraId="7692254F" w14:textId="20A0F717" w:rsidR="00CE713D" w:rsidRPr="00CE713D" w:rsidRDefault="00CE713D" w:rsidP="00C153AB"/>
        </w:tc>
        <w:tc>
          <w:tcPr>
            <w:tcW w:w="5130" w:type="dxa"/>
          </w:tcPr>
          <w:p w14:paraId="5FAE4102" w14:textId="1D3EC3CE" w:rsidR="00CE713D" w:rsidRPr="00CE713D" w:rsidRDefault="000557C1">
            <w:r>
              <w:t xml:space="preserve">Offer more clarity to candidates on what reasonable accommodation they can expect, </w:t>
            </w:r>
            <w:proofErr w:type="gramStart"/>
            <w:r>
              <w:t>in order to</w:t>
            </w:r>
            <w:proofErr w:type="gramEnd"/>
            <w:r>
              <w:t xml:space="preserve"> </w:t>
            </w:r>
            <w:r w:rsidR="005E7E46">
              <w:t>inspire confidence in the process and encourage them to apply for EU competitions.</w:t>
            </w:r>
          </w:p>
        </w:tc>
      </w:tr>
      <w:tr w:rsidR="00CE713D" w:rsidRPr="00CE713D" w14:paraId="7664F5D5" w14:textId="77777777">
        <w:tc>
          <w:tcPr>
            <w:tcW w:w="5129" w:type="dxa"/>
          </w:tcPr>
          <w:p w14:paraId="27CE5E2D" w14:textId="5A2747B7" w:rsidR="00CE713D" w:rsidRPr="00CE713D" w:rsidRDefault="00EC5EB4">
            <w:r>
              <w:t>Commission to u</w:t>
            </w:r>
            <w:r w:rsidR="00CE713D" w:rsidRPr="00CE713D">
              <w:t xml:space="preserve">pdate its </w:t>
            </w:r>
            <w:r w:rsidR="00076EDD">
              <w:t>D</w:t>
            </w:r>
            <w:r w:rsidR="00CE713D" w:rsidRPr="00CE713D">
              <w:t xml:space="preserve">iversity and </w:t>
            </w:r>
            <w:r w:rsidR="00076EDD">
              <w:t>I</w:t>
            </w:r>
            <w:r w:rsidR="00CE713D" w:rsidRPr="00CE713D">
              <w:t xml:space="preserve">nclusion </w:t>
            </w:r>
            <w:r w:rsidR="00076EDD">
              <w:t>A</w:t>
            </w:r>
            <w:r w:rsidR="00CE713D" w:rsidRPr="00CE713D">
              <w:t xml:space="preserve">ction </w:t>
            </w:r>
            <w:r w:rsidR="00076EDD">
              <w:t>P</w:t>
            </w:r>
            <w:r w:rsidR="00CE713D" w:rsidRPr="00CE713D">
              <w:t>lan building on the findings of a survey conducted in 2025. It will further develop initiatives to raise awareness, deliver training to staff and managers, fight unconscious biases and improve digital and physical accessibility as well as reasonable accommodation. The Commission will also regularly engage with staff associations to further foster inclusion at the workplace</w:t>
            </w:r>
            <w:r w:rsidR="00A356C1">
              <w:t>.</w:t>
            </w:r>
          </w:p>
        </w:tc>
        <w:tc>
          <w:tcPr>
            <w:tcW w:w="5129" w:type="dxa"/>
          </w:tcPr>
          <w:p w14:paraId="36EC4262" w14:textId="06352FFF" w:rsidR="00C153AB" w:rsidRDefault="00C153AB" w:rsidP="00C153AB">
            <w:pPr>
              <w:rPr>
                <w:b/>
                <w:bCs/>
              </w:rPr>
            </w:pPr>
            <w:r w:rsidRPr="00EB20E6">
              <w:rPr>
                <w:b/>
                <w:bCs/>
              </w:rPr>
              <w:t>Positive point:</w:t>
            </w:r>
          </w:p>
          <w:p w14:paraId="20BB7C40" w14:textId="7114C151" w:rsidR="00C153AB" w:rsidRPr="00F375C9" w:rsidRDefault="00905851" w:rsidP="00EA5C76">
            <w:pPr>
              <w:pStyle w:val="ListParagraph"/>
              <w:numPr>
                <w:ilvl w:val="0"/>
                <w:numId w:val="13"/>
              </w:numPr>
              <w:rPr>
                <w:b/>
                <w:bCs/>
              </w:rPr>
            </w:pPr>
            <w:r>
              <w:t xml:space="preserve">The </w:t>
            </w:r>
            <w:r w:rsidR="002E00B8">
              <w:t>points on digital and physical accessibility and reasonable accommodation will be very helpful</w:t>
            </w:r>
            <w:r w:rsidR="00752868">
              <w:t>, as well as the engagement with associations of staff with disabilities</w:t>
            </w:r>
            <w:r w:rsidR="002E00B8">
              <w:t>.</w:t>
            </w:r>
          </w:p>
          <w:p w14:paraId="59239BB4" w14:textId="417EF283" w:rsidR="00CE713D" w:rsidRDefault="00C153AB" w:rsidP="00C153AB">
            <w:pPr>
              <w:rPr>
                <w:b/>
                <w:bCs/>
              </w:rPr>
            </w:pPr>
            <w:r w:rsidRPr="00EB20E6">
              <w:rPr>
                <w:b/>
                <w:bCs/>
              </w:rPr>
              <w:t>Negative point:</w:t>
            </w:r>
          </w:p>
          <w:p w14:paraId="791F2A26" w14:textId="77777777" w:rsidR="002E00B8" w:rsidRDefault="002E00B8" w:rsidP="00EA5C76">
            <w:pPr>
              <w:pStyle w:val="ListParagraph"/>
              <w:numPr>
                <w:ilvl w:val="0"/>
                <w:numId w:val="13"/>
              </w:numPr>
            </w:pPr>
            <w:r>
              <w:t xml:space="preserve">Little indication is given on how this will be achieved and </w:t>
            </w:r>
            <w:r w:rsidR="00670348">
              <w:t xml:space="preserve">what will happen should there be no proven </w:t>
            </w:r>
            <w:r w:rsidR="00670348">
              <w:lastRenderedPageBreak/>
              <w:t xml:space="preserve">advances regarding </w:t>
            </w:r>
            <w:r w:rsidR="006F775F">
              <w:t>di</w:t>
            </w:r>
            <w:r w:rsidR="00DF5290">
              <w:t>versity</w:t>
            </w:r>
            <w:r w:rsidR="006F775F">
              <w:t xml:space="preserve"> and inclusion </w:t>
            </w:r>
            <w:r w:rsidR="00DF5290">
              <w:t>in the Commission</w:t>
            </w:r>
            <w:r w:rsidR="00670348">
              <w:t>.</w:t>
            </w:r>
          </w:p>
          <w:p w14:paraId="32FFB259" w14:textId="4AB42B45" w:rsidR="00B833ED" w:rsidRPr="00CE713D" w:rsidRDefault="00B833ED" w:rsidP="00B833ED">
            <w:pPr>
              <w:pStyle w:val="ListParagraph"/>
            </w:pPr>
          </w:p>
        </w:tc>
        <w:tc>
          <w:tcPr>
            <w:tcW w:w="5130" w:type="dxa"/>
          </w:tcPr>
          <w:p w14:paraId="1669DD8C" w14:textId="5DA824F4" w:rsidR="00CE713D" w:rsidRPr="00CE713D" w:rsidRDefault="005D11C8">
            <w:r>
              <w:lastRenderedPageBreak/>
              <w:t xml:space="preserve">Set targets </w:t>
            </w:r>
            <w:r w:rsidR="00DF5290">
              <w:t xml:space="preserve">in the Diversity and Inclusion Action Plan </w:t>
            </w:r>
            <w:r>
              <w:t xml:space="preserve">on </w:t>
            </w:r>
            <w:r w:rsidR="006F450D">
              <w:t xml:space="preserve">how many staff members will be reached by </w:t>
            </w:r>
            <w:r w:rsidR="00DF5290">
              <w:t xml:space="preserve">its </w:t>
            </w:r>
            <w:proofErr w:type="gramStart"/>
            <w:r w:rsidR="00DF5290">
              <w:t>actions</w:t>
            </w:r>
            <w:r w:rsidR="00824904">
              <w:t>, and</w:t>
            </w:r>
            <w:proofErr w:type="gramEnd"/>
            <w:r w:rsidR="00824904">
              <w:t xml:space="preserve"> meaningfully involve staff organisations of persons with disabilities in its development</w:t>
            </w:r>
            <w:r w:rsidR="002A74CF">
              <w:t>.</w:t>
            </w:r>
          </w:p>
        </w:tc>
      </w:tr>
      <w:tr w:rsidR="00CE713D" w:rsidRPr="00CE713D" w14:paraId="6601D675" w14:textId="77777777">
        <w:tc>
          <w:tcPr>
            <w:tcW w:w="5129" w:type="dxa"/>
          </w:tcPr>
          <w:p w14:paraId="4347D766" w14:textId="70C291AB" w:rsidR="00CE713D" w:rsidRPr="00CE713D" w:rsidRDefault="00EC5EB4" w:rsidP="00CE713D">
            <w:r>
              <w:t>P</w:t>
            </w:r>
            <w:r w:rsidR="00CE713D" w:rsidRPr="00CE713D">
              <w:t>lanned review of the EU Joint Sickness Insurance Scheme</w:t>
            </w:r>
            <w:r w:rsidR="002A74CF">
              <w:t>.</w:t>
            </w:r>
          </w:p>
          <w:p w14:paraId="1A37F281" w14:textId="77777777" w:rsidR="00CE713D" w:rsidRPr="00CE713D" w:rsidRDefault="00CE713D"/>
        </w:tc>
        <w:tc>
          <w:tcPr>
            <w:tcW w:w="5129" w:type="dxa"/>
          </w:tcPr>
          <w:p w14:paraId="4514FEC2" w14:textId="2E5EABC2" w:rsidR="00CE713D" w:rsidRDefault="001F6187" w:rsidP="00C153AB">
            <w:pPr>
              <w:rPr>
                <w:b/>
                <w:bCs/>
              </w:rPr>
            </w:pPr>
            <w:r>
              <w:rPr>
                <w:b/>
                <w:bCs/>
              </w:rPr>
              <w:t>Neutral</w:t>
            </w:r>
            <w:r w:rsidR="001440FB">
              <w:rPr>
                <w:b/>
                <w:bCs/>
              </w:rPr>
              <w:t>.</w:t>
            </w:r>
            <w:r>
              <w:rPr>
                <w:b/>
                <w:bCs/>
              </w:rPr>
              <w:t xml:space="preserve"> </w:t>
            </w:r>
          </w:p>
          <w:p w14:paraId="2833C8AF" w14:textId="77777777" w:rsidR="001F6187" w:rsidRDefault="002A74CF" w:rsidP="00BE19EA">
            <w:r>
              <w:t xml:space="preserve">Although the action is positive and has been </w:t>
            </w:r>
            <w:r w:rsidR="00BC1D9D">
              <w:t xml:space="preserve">long </w:t>
            </w:r>
            <w:r>
              <w:t>requested by staff with disabilities</w:t>
            </w:r>
            <w:r w:rsidR="009D7462">
              <w:t xml:space="preserve"> and the CRPD committee</w:t>
            </w:r>
            <w:r>
              <w:t>, n</w:t>
            </w:r>
            <w:r w:rsidR="001F6187">
              <w:t>o information is given about what this entails or what the planned review aims to achieve.</w:t>
            </w:r>
          </w:p>
          <w:p w14:paraId="6F5EF7BB" w14:textId="41A2AA81" w:rsidR="00B833ED" w:rsidRPr="00CE713D" w:rsidRDefault="00B833ED" w:rsidP="00BE19EA"/>
        </w:tc>
        <w:tc>
          <w:tcPr>
            <w:tcW w:w="5130" w:type="dxa"/>
          </w:tcPr>
          <w:p w14:paraId="2952BBF8" w14:textId="00EFF870" w:rsidR="00CE713D" w:rsidRPr="00CE713D" w:rsidRDefault="009D7462">
            <w:r>
              <w:t xml:space="preserve">Involve </w:t>
            </w:r>
            <w:r w:rsidR="00BC1D9D">
              <w:t xml:space="preserve">disability support groups </w:t>
            </w:r>
            <w:r w:rsidR="002A74CF">
              <w:t xml:space="preserve">representing staff with disabilities in the reform of the EU </w:t>
            </w:r>
            <w:r w:rsidR="002A74CF" w:rsidRPr="00CE713D">
              <w:t>Joint Sickness Insurance Scheme</w:t>
            </w:r>
            <w:r w:rsidR="00BC1D9D">
              <w:t xml:space="preserve"> and </w:t>
            </w:r>
            <w:r w:rsidRPr="009D7462">
              <w:t>provide comprehensive coverage for disability-related health needs</w:t>
            </w:r>
            <w:r w:rsidR="002A74CF">
              <w:t>.</w:t>
            </w:r>
          </w:p>
        </w:tc>
      </w:tr>
      <w:tr w:rsidR="00CE713D" w:rsidRPr="00CE713D" w14:paraId="1739F97B" w14:textId="77777777">
        <w:tc>
          <w:tcPr>
            <w:tcW w:w="5129" w:type="dxa"/>
          </w:tcPr>
          <w:p w14:paraId="1FC31884" w14:textId="1A6ACD61" w:rsidR="00CE713D" w:rsidRPr="00CE713D" w:rsidRDefault="00EC5EB4" w:rsidP="00CE713D">
            <w:r>
              <w:t>D</w:t>
            </w:r>
            <w:r w:rsidR="00CE713D" w:rsidRPr="00CE713D">
              <w:t xml:space="preserve">igital accessibility action plan (2026- 2030) covering </w:t>
            </w:r>
            <w:r>
              <w:t xml:space="preserve">Commission’s </w:t>
            </w:r>
            <w:r w:rsidR="00CE713D" w:rsidRPr="00CE713D">
              <w:t>entire digital ecosystem</w:t>
            </w:r>
            <w:r w:rsidR="001D42C9">
              <w:t>.</w:t>
            </w:r>
          </w:p>
          <w:p w14:paraId="5656A330" w14:textId="77777777" w:rsidR="00CE713D" w:rsidRPr="00CE713D" w:rsidRDefault="00CE713D" w:rsidP="00CE713D"/>
        </w:tc>
        <w:tc>
          <w:tcPr>
            <w:tcW w:w="5129" w:type="dxa"/>
          </w:tcPr>
          <w:p w14:paraId="70E6ED36" w14:textId="43C70007" w:rsidR="00C153AB" w:rsidRPr="00EB20E6" w:rsidRDefault="006C2DF4" w:rsidP="00C153AB">
            <w:pPr>
              <w:rPr>
                <w:b/>
                <w:bCs/>
              </w:rPr>
            </w:pPr>
            <w:r>
              <w:rPr>
                <w:b/>
                <w:bCs/>
              </w:rPr>
              <w:t>Neutral</w:t>
            </w:r>
            <w:r w:rsidR="001440FB">
              <w:rPr>
                <w:b/>
                <w:bCs/>
              </w:rPr>
              <w:t>.</w:t>
            </w:r>
          </w:p>
          <w:p w14:paraId="662716BE" w14:textId="0DBFB713" w:rsidR="00C153AB" w:rsidRDefault="0024607E" w:rsidP="0024607E">
            <w:r>
              <w:t xml:space="preserve">Not a new action. </w:t>
            </w:r>
            <w:r w:rsidR="006C2DF4">
              <w:t>There is already a Web Accessibility Action Plan 2025-2030</w:t>
            </w:r>
            <w:r w:rsidR="00726711">
              <w:t xml:space="preserve"> in the </w:t>
            </w:r>
            <w:r w:rsidR="00515E29">
              <w:t xml:space="preserve">EU </w:t>
            </w:r>
            <w:hyperlink r:id="rId22" w:history="1">
              <w:r w:rsidR="00726711" w:rsidRPr="00726711">
                <w:rPr>
                  <w:rStyle w:val="Hyperlink"/>
                </w:rPr>
                <w:t>Web Guide</w:t>
              </w:r>
            </w:hyperlink>
            <w:r w:rsidR="00726711">
              <w:t>.</w:t>
            </w:r>
          </w:p>
          <w:p w14:paraId="54BF4100" w14:textId="213E371E" w:rsidR="00CE713D" w:rsidRPr="00CE713D" w:rsidRDefault="00CE713D" w:rsidP="00C153AB"/>
        </w:tc>
        <w:tc>
          <w:tcPr>
            <w:tcW w:w="5130" w:type="dxa"/>
          </w:tcPr>
          <w:p w14:paraId="269D765A" w14:textId="67B65D9F" w:rsidR="004F2CD0" w:rsidRDefault="00726711" w:rsidP="00EA5C76">
            <w:pPr>
              <w:pStyle w:val="ListParagraph"/>
              <w:numPr>
                <w:ilvl w:val="0"/>
                <w:numId w:val="57"/>
              </w:numPr>
            </w:pPr>
            <w:r>
              <w:t xml:space="preserve">It should be clarified whether this plan is the same as the Web Accessibility Action Plan 2025-2030 which is already active. </w:t>
            </w:r>
          </w:p>
          <w:p w14:paraId="1F94EA1B" w14:textId="77777777" w:rsidR="00CE713D" w:rsidRDefault="00ED0B2F" w:rsidP="00EA5C76">
            <w:pPr>
              <w:pStyle w:val="ListParagraph"/>
              <w:numPr>
                <w:ilvl w:val="0"/>
                <w:numId w:val="57"/>
              </w:numPr>
            </w:pPr>
            <w:r>
              <w:t xml:space="preserve">It </w:t>
            </w:r>
            <w:r w:rsidR="002A74CF">
              <w:t xml:space="preserve">should </w:t>
            </w:r>
            <w:r w:rsidR="009D7462">
              <w:t xml:space="preserve">also </w:t>
            </w:r>
            <w:r w:rsidR="002A74CF">
              <w:t>be made public</w:t>
            </w:r>
            <w:r>
              <w:t xml:space="preserve"> so other </w:t>
            </w:r>
            <w:r w:rsidR="00F65D61">
              <w:t>public entities can benefit from it. For example, when it comes to the Commission policy regarding overlays</w:t>
            </w:r>
            <w:r w:rsidR="001D42C9">
              <w:t>, which in the past was public</w:t>
            </w:r>
            <w:r w:rsidR="00F65D61">
              <w:t>.</w:t>
            </w:r>
          </w:p>
          <w:p w14:paraId="482D91AA" w14:textId="12E56E4B" w:rsidR="00515E29" w:rsidRPr="00CE713D" w:rsidRDefault="00515E29"/>
        </w:tc>
      </w:tr>
      <w:tr w:rsidR="00CE713D" w:rsidRPr="00CE713D" w14:paraId="2EDC6E8E" w14:textId="77777777">
        <w:tc>
          <w:tcPr>
            <w:tcW w:w="5129" w:type="dxa"/>
          </w:tcPr>
          <w:p w14:paraId="3FA68C6A" w14:textId="137E4AB5" w:rsidR="00CE713D" w:rsidRPr="00CE713D" w:rsidRDefault="00EC5EB4" w:rsidP="00CE713D">
            <w:r>
              <w:t>I</w:t>
            </w:r>
            <w:r w:rsidR="00CE713D" w:rsidRPr="00CE713D">
              <w:t>mplement the infrastructure and buildings equality work plan (2021-2030), increasing awareness of physical accessibility among staff and relevant professionals</w:t>
            </w:r>
            <w:r w:rsidR="001D42C9">
              <w:t>.</w:t>
            </w:r>
            <w:r w:rsidR="005C4F35">
              <w:t xml:space="preserve"> </w:t>
            </w:r>
            <w:r w:rsidR="005C4F35" w:rsidRPr="005C4F35">
              <w:t>The Commission will aim at making meetings and events held in Commission conference rooms more accessible across all EU languages and deploy AI-based multilingual services.</w:t>
            </w:r>
          </w:p>
          <w:p w14:paraId="2624AB8B" w14:textId="77777777" w:rsidR="00CE713D" w:rsidRPr="00CE713D" w:rsidRDefault="00CE713D" w:rsidP="00CE713D"/>
        </w:tc>
        <w:tc>
          <w:tcPr>
            <w:tcW w:w="5129" w:type="dxa"/>
          </w:tcPr>
          <w:p w14:paraId="7EDF33EF" w14:textId="2EE5E387" w:rsidR="00C153AB" w:rsidRPr="00EB20E6" w:rsidRDefault="00316376" w:rsidP="00C153AB">
            <w:pPr>
              <w:rPr>
                <w:b/>
                <w:bCs/>
              </w:rPr>
            </w:pPr>
            <w:r>
              <w:rPr>
                <w:b/>
                <w:bCs/>
              </w:rPr>
              <w:t>Neutral</w:t>
            </w:r>
            <w:r w:rsidRPr="00EB20E6">
              <w:rPr>
                <w:b/>
                <w:bCs/>
              </w:rPr>
              <w:t xml:space="preserve"> </w:t>
            </w:r>
            <w:r w:rsidR="00C153AB" w:rsidRPr="00EB20E6">
              <w:rPr>
                <w:b/>
                <w:bCs/>
              </w:rPr>
              <w:t>point:</w:t>
            </w:r>
          </w:p>
          <w:p w14:paraId="76A9FF27" w14:textId="7EB6AD49" w:rsidR="00FD70F0" w:rsidRDefault="00A61DEF" w:rsidP="00EA5C76">
            <w:pPr>
              <w:pStyle w:val="ListParagraph"/>
              <w:numPr>
                <w:ilvl w:val="0"/>
                <w:numId w:val="13"/>
              </w:numPr>
            </w:pPr>
            <w:r>
              <w:t xml:space="preserve">It is important to </w:t>
            </w:r>
            <w:r w:rsidR="00DC28F4">
              <w:t xml:space="preserve">raise awareness </w:t>
            </w:r>
            <w:r w:rsidR="00D53736">
              <w:t xml:space="preserve">among staff and professionals, but it is not clear what this </w:t>
            </w:r>
            <w:r w:rsidR="0070007F">
              <w:t>work</w:t>
            </w:r>
            <w:r w:rsidR="00FD70F0">
              <w:t xml:space="preserve"> </w:t>
            </w:r>
            <w:r w:rsidR="00D53736">
              <w:t>plan entails.</w:t>
            </w:r>
          </w:p>
          <w:p w14:paraId="60132E85" w14:textId="44568417" w:rsidR="00FD70F0" w:rsidRPr="005C3B6A" w:rsidRDefault="00FD70F0" w:rsidP="00FD70F0">
            <w:pPr>
              <w:rPr>
                <w:b/>
                <w:bCs/>
              </w:rPr>
            </w:pPr>
            <w:r w:rsidRPr="005C3B6A">
              <w:rPr>
                <w:b/>
                <w:bCs/>
              </w:rPr>
              <w:t>Negative point:</w:t>
            </w:r>
          </w:p>
          <w:p w14:paraId="6466B011" w14:textId="7C62CF3E" w:rsidR="00FD70F0" w:rsidRDefault="00FD70F0" w:rsidP="00EA5C76">
            <w:pPr>
              <w:pStyle w:val="ListParagraph"/>
              <w:numPr>
                <w:ilvl w:val="0"/>
                <w:numId w:val="13"/>
              </w:numPr>
            </w:pPr>
            <w:r>
              <w:t xml:space="preserve">No reference to making </w:t>
            </w:r>
            <w:r w:rsidR="00C12108">
              <w:t>conferences</w:t>
            </w:r>
            <w:r w:rsidR="00A365B0">
              <w:t xml:space="preserve"> </w:t>
            </w:r>
            <w:r w:rsidR="00C12108">
              <w:t xml:space="preserve">more </w:t>
            </w:r>
            <w:r w:rsidR="00A365B0">
              <w:t>accessible</w:t>
            </w:r>
            <w:r w:rsidR="00C12108">
              <w:t xml:space="preserve"> </w:t>
            </w:r>
            <w:r w:rsidR="00A365B0">
              <w:t>through sign languages.</w:t>
            </w:r>
          </w:p>
          <w:p w14:paraId="67D5AE63" w14:textId="7E0AD327" w:rsidR="00E2034A" w:rsidRPr="00CE713D" w:rsidRDefault="006C7BB3" w:rsidP="0069590D">
            <w:pPr>
              <w:pStyle w:val="ListParagraph"/>
            </w:pPr>
            <w:r>
              <w:t xml:space="preserve"> </w:t>
            </w:r>
          </w:p>
        </w:tc>
        <w:tc>
          <w:tcPr>
            <w:tcW w:w="5130" w:type="dxa"/>
          </w:tcPr>
          <w:p w14:paraId="5E1136B0" w14:textId="3F83A36E" w:rsidR="00515E29" w:rsidRDefault="0069590D" w:rsidP="00EA5C76">
            <w:pPr>
              <w:pStyle w:val="ListParagraph"/>
              <w:numPr>
                <w:ilvl w:val="0"/>
                <w:numId w:val="58"/>
              </w:numPr>
            </w:pPr>
            <w:r>
              <w:t>Report on the status of implementation of the work</w:t>
            </w:r>
            <w:r w:rsidR="00D53736">
              <w:t xml:space="preserve"> </w:t>
            </w:r>
            <w:r>
              <w:t xml:space="preserve">plan and ensure no gaps remain. </w:t>
            </w:r>
          </w:p>
          <w:p w14:paraId="0B900354" w14:textId="4EFACF41" w:rsidR="00A365B0" w:rsidRPr="00CE713D" w:rsidRDefault="00A365B0" w:rsidP="00EA5C76">
            <w:pPr>
              <w:pStyle w:val="ListParagraph"/>
              <w:numPr>
                <w:ilvl w:val="0"/>
                <w:numId w:val="58"/>
              </w:numPr>
            </w:pPr>
            <w:r>
              <w:t xml:space="preserve">Improve the accessibility of </w:t>
            </w:r>
            <w:r w:rsidR="00C857F9">
              <w:t xml:space="preserve">Commission </w:t>
            </w:r>
            <w:r>
              <w:t>conference</w:t>
            </w:r>
            <w:r w:rsidR="00A80013">
              <w:t>s</w:t>
            </w:r>
            <w:r w:rsidR="0024493C">
              <w:t xml:space="preserve"> and meetings</w:t>
            </w:r>
            <w:r>
              <w:t xml:space="preserve"> beyond </w:t>
            </w:r>
            <w:r w:rsidR="00ED3AFE">
              <w:t>spoken languages</w:t>
            </w:r>
            <w:r w:rsidR="00C857F9">
              <w:t>.</w:t>
            </w:r>
          </w:p>
        </w:tc>
      </w:tr>
    </w:tbl>
    <w:p w14:paraId="677195E0" w14:textId="77777777" w:rsidR="00CE713D" w:rsidRPr="00CE713D" w:rsidRDefault="00CE713D" w:rsidP="00465371"/>
    <w:p w14:paraId="3C0BE427" w14:textId="77777777" w:rsidR="001C67E4" w:rsidRPr="00CE713D" w:rsidRDefault="001C67E4" w:rsidP="00465371"/>
    <w:p w14:paraId="3B83AC07" w14:textId="77777777" w:rsidR="001C67E4" w:rsidRPr="00CE713D" w:rsidRDefault="001C67E4" w:rsidP="00002939">
      <w:pPr>
        <w:pStyle w:val="Heading2"/>
      </w:pPr>
      <w:bookmarkStart w:id="50" w:name="_Toc235203128"/>
      <w:r w:rsidRPr="00CE713D">
        <w:t>8. Awareness-raising, monitoring and measuring progress</w:t>
      </w:r>
      <w:bookmarkEnd w:id="50"/>
      <w:r w:rsidRPr="00CE713D">
        <w:t xml:space="preserve"> </w:t>
      </w:r>
    </w:p>
    <w:p w14:paraId="0862F77A" w14:textId="48563ED3" w:rsidR="00050EF8" w:rsidRPr="00CE713D" w:rsidRDefault="001C67E4" w:rsidP="00002939">
      <w:pPr>
        <w:pStyle w:val="Heading3"/>
      </w:pPr>
      <w:r w:rsidRPr="00CE713D">
        <w:t>Raising awareness and disseminating good practices</w:t>
      </w:r>
    </w:p>
    <w:tbl>
      <w:tblPr>
        <w:tblStyle w:val="TableGrid"/>
        <w:tblW w:w="0" w:type="auto"/>
        <w:tblLook w:val="04A0" w:firstRow="1" w:lastRow="0" w:firstColumn="1" w:lastColumn="0" w:noHBand="0" w:noVBand="1"/>
      </w:tblPr>
      <w:tblGrid>
        <w:gridCol w:w="5129"/>
        <w:gridCol w:w="5129"/>
        <w:gridCol w:w="5130"/>
      </w:tblGrid>
      <w:tr w:rsidR="00CE713D" w:rsidRPr="00CE713D" w14:paraId="174CFC79" w14:textId="77777777" w:rsidTr="757ADDA4">
        <w:trPr>
          <w:tblHeader/>
        </w:trPr>
        <w:tc>
          <w:tcPr>
            <w:tcW w:w="5129" w:type="dxa"/>
          </w:tcPr>
          <w:p w14:paraId="6F8D3DA3" w14:textId="77777777" w:rsidR="00CE713D" w:rsidRPr="00CE713D" w:rsidRDefault="00CE713D">
            <w:pPr>
              <w:rPr>
                <w:b/>
                <w:bCs/>
              </w:rPr>
            </w:pPr>
            <w:r w:rsidRPr="00CE713D">
              <w:rPr>
                <w:b/>
                <w:bCs/>
              </w:rPr>
              <w:t>Action in the Disability Strategy</w:t>
            </w:r>
          </w:p>
        </w:tc>
        <w:tc>
          <w:tcPr>
            <w:tcW w:w="5129" w:type="dxa"/>
          </w:tcPr>
          <w:p w14:paraId="18828F14" w14:textId="77777777" w:rsidR="00CE713D" w:rsidRPr="00CE713D" w:rsidRDefault="00CE713D">
            <w:pPr>
              <w:rPr>
                <w:b/>
                <w:bCs/>
              </w:rPr>
            </w:pPr>
            <w:r w:rsidRPr="00CE713D">
              <w:rPr>
                <w:b/>
                <w:bCs/>
              </w:rPr>
              <w:t>Evaluation by EDF</w:t>
            </w:r>
          </w:p>
        </w:tc>
        <w:tc>
          <w:tcPr>
            <w:tcW w:w="5130" w:type="dxa"/>
          </w:tcPr>
          <w:p w14:paraId="63B7A54A" w14:textId="77777777" w:rsidR="00CE713D" w:rsidRPr="00CE713D" w:rsidRDefault="00CE713D">
            <w:pPr>
              <w:rPr>
                <w:b/>
                <w:bCs/>
              </w:rPr>
            </w:pPr>
            <w:r w:rsidRPr="00CE713D">
              <w:rPr>
                <w:b/>
                <w:bCs/>
              </w:rPr>
              <w:t>Priorities for implementation</w:t>
            </w:r>
          </w:p>
        </w:tc>
      </w:tr>
      <w:tr w:rsidR="00A55E08" w:rsidRPr="00CE713D" w14:paraId="1590D324" w14:textId="77777777" w:rsidTr="757ADDA4">
        <w:tc>
          <w:tcPr>
            <w:tcW w:w="5129" w:type="dxa"/>
          </w:tcPr>
          <w:p w14:paraId="25B3039A" w14:textId="5731C019" w:rsidR="00A55E08" w:rsidRPr="00CE713D" w:rsidRDefault="00A55E08" w:rsidP="00CE713D">
            <w:r>
              <w:t xml:space="preserve">Develop </w:t>
            </w:r>
            <w:r w:rsidRPr="00A55E08">
              <w:t>a new community of practice among cities</w:t>
            </w:r>
            <w:r>
              <w:t xml:space="preserve"> </w:t>
            </w:r>
            <w:r w:rsidR="00DC3927">
              <w:t>of</w:t>
            </w:r>
            <w:r>
              <w:t xml:space="preserve"> the Access City Award.</w:t>
            </w:r>
          </w:p>
        </w:tc>
        <w:tc>
          <w:tcPr>
            <w:tcW w:w="5129" w:type="dxa"/>
          </w:tcPr>
          <w:p w14:paraId="1EC7B8FE" w14:textId="04318C2C" w:rsidR="00A55E08" w:rsidRDefault="00A55E08" w:rsidP="00C153AB">
            <w:pPr>
              <w:rPr>
                <w:b/>
                <w:bCs/>
              </w:rPr>
            </w:pPr>
            <w:r>
              <w:rPr>
                <w:b/>
                <w:bCs/>
              </w:rPr>
              <w:t>Positive</w:t>
            </w:r>
            <w:r w:rsidR="00687B4B">
              <w:rPr>
                <w:b/>
                <w:bCs/>
              </w:rPr>
              <w:t>.</w:t>
            </w:r>
          </w:p>
          <w:p w14:paraId="6DEA4140" w14:textId="77777777" w:rsidR="00515E29" w:rsidRDefault="00F83BA7" w:rsidP="00C153AB">
            <w:r>
              <w:t>We welcome peer exchange among awardees</w:t>
            </w:r>
            <w:r w:rsidR="00DC3927">
              <w:t>.</w:t>
            </w:r>
          </w:p>
          <w:p w14:paraId="5F9DFB91" w14:textId="3C463EF6" w:rsidR="00A55E08" w:rsidRPr="00DC7FA1" w:rsidRDefault="00F83BA7" w:rsidP="00C153AB">
            <w:r>
              <w:t xml:space="preserve"> </w:t>
            </w:r>
          </w:p>
        </w:tc>
        <w:tc>
          <w:tcPr>
            <w:tcW w:w="5130" w:type="dxa"/>
          </w:tcPr>
          <w:p w14:paraId="4AC8D499" w14:textId="3B1E76D2" w:rsidR="00A55E08" w:rsidRPr="00A55E08" w:rsidRDefault="004719B9" w:rsidP="002C604C">
            <w:r>
              <w:t xml:space="preserve">Local organisations of persons with disabilities in those cities </w:t>
            </w:r>
            <w:r w:rsidR="00720CE5">
              <w:t xml:space="preserve">could also be </w:t>
            </w:r>
            <w:r w:rsidR="0024676E">
              <w:t>put in contact to exchange</w:t>
            </w:r>
            <w:r w:rsidR="00A22EB7">
              <w:t>.</w:t>
            </w:r>
          </w:p>
        </w:tc>
      </w:tr>
      <w:tr w:rsidR="00CE713D" w:rsidRPr="00CE713D" w14:paraId="3EDC1C35" w14:textId="77777777" w:rsidTr="757ADDA4">
        <w:tc>
          <w:tcPr>
            <w:tcW w:w="5129" w:type="dxa"/>
          </w:tcPr>
          <w:p w14:paraId="28E9AA85" w14:textId="0983921F" w:rsidR="00CE713D" w:rsidRPr="00CE713D" w:rsidRDefault="00CE713D" w:rsidP="00CE713D">
            <w:r w:rsidRPr="00CE713D">
              <w:t>Union of Equality campaign, which will also cover disability</w:t>
            </w:r>
            <w:r w:rsidR="006C4208">
              <w:t>.</w:t>
            </w:r>
          </w:p>
          <w:p w14:paraId="7F7E79B5" w14:textId="77777777" w:rsidR="00CE713D" w:rsidRPr="00CE713D" w:rsidRDefault="00CE713D"/>
        </w:tc>
        <w:tc>
          <w:tcPr>
            <w:tcW w:w="5129" w:type="dxa"/>
          </w:tcPr>
          <w:p w14:paraId="2619D165" w14:textId="417AF875" w:rsidR="00514252" w:rsidRDefault="006C4208" w:rsidP="00C153AB">
            <w:pPr>
              <w:rPr>
                <w:b/>
                <w:bCs/>
              </w:rPr>
            </w:pPr>
            <w:r>
              <w:rPr>
                <w:b/>
                <w:bCs/>
              </w:rPr>
              <w:t>Neutral</w:t>
            </w:r>
            <w:r w:rsidR="00687B4B">
              <w:rPr>
                <w:b/>
                <w:bCs/>
              </w:rPr>
              <w:t>.</w:t>
            </w:r>
            <w:r w:rsidR="00A06A2A">
              <w:rPr>
                <w:b/>
                <w:bCs/>
              </w:rPr>
              <w:t xml:space="preserve"> </w:t>
            </w:r>
          </w:p>
          <w:p w14:paraId="08541296" w14:textId="77777777" w:rsidR="00CE713D" w:rsidRDefault="00514252" w:rsidP="00C153AB">
            <w:r w:rsidRPr="00514252">
              <w:t xml:space="preserve">A relatively </w:t>
            </w:r>
            <w:r w:rsidR="006C4208">
              <w:t xml:space="preserve">soft </w:t>
            </w:r>
            <w:r>
              <w:t>action with limited potential to bring about meaningful change</w:t>
            </w:r>
            <w:r w:rsidR="006C4208">
              <w:t>.</w:t>
            </w:r>
          </w:p>
          <w:p w14:paraId="32100718" w14:textId="1A158624" w:rsidR="00515E29" w:rsidRPr="00514252" w:rsidRDefault="00515E29" w:rsidP="00C153AB"/>
        </w:tc>
        <w:tc>
          <w:tcPr>
            <w:tcW w:w="5130" w:type="dxa"/>
          </w:tcPr>
          <w:p w14:paraId="2BED04C1" w14:textId="08AF933A" w:rsidR="00CE713D" w:rsidRPr="002C604C" w:rsidRDefault="00823840" w:rsidP="002C604C">
            <w:pPr>
              <w:rPr>
                <w:highlight w:val="yellow"/>
              </w:rPr>
            </w:pPr>
            <w:r w:rsidRPr="00DC7FA1">
              <w:t xml:space="preserve">Such campaign should also </w:t>
            </w:r>
            <w:r w:rsidR="00191A97" w:rsidRPr="00DC7FA1">
              <w:t>reflect an intersectional approach</w:t>
            </w:r>
            <w:r w:rsidR="00191A97">
              <w:t xml:space="preserve"> and the wide diversity </w:t>
            </w:r>
            <w:r w:rsidR="000B6F50">
              <w:t>of the disability community</w:t>
            </w:r>
            <w:r w:rsidR="00191A97" w:rsidRPr="00DC7FA1">
              <w:t>.</w:t>
            </w:r>
          </w:p>
        </w:tc>
      </w:tr>
    </w:tbl>
    <w:p w14:paraId="0CBAA08F" w14:textId="77777777" w:rsidR="00050EF8" w:rsidRPr="00CE713D" w:rsidRDefault="00050EF8" w:rsidP="00465371"/>
    <w:p w14:paraId="2C9B1515" w14:textId="77777777" w:rsidR="00050EF8" w:rsidRPr="00CE713D" w:rsidRDefault="00050EF8" w:rsidP="00002939">
      <w:pPr>
        <w:pStyle w:val="Heading3"/>
      </w:pPr>
      <w:r w:rsidRPr="00CE713D">
        <w:t>Collecting data, monitoring and measuring progress</w:t>
      </w:r>
    </w:p>
    <w:tbl>
      <w:tblPr>
        <w:tblStyle w:val="TableGrid"/>
        <w:tblW w:w="0" w:type="auto"/>
        <w:tblLook w:val="04A0" w:firstRow="1" w:lastRow="0" w:firstColumn="1" w:lastColumn="0" w:noHBand="0" w:noVBand="1"/>
      </w:tblPr>
      <w:tblGrid>
        <w:gridCol w:w="5129"/>
        <w:gridCol w:w="5129"/>
        <w:gridCol w:w="5130"/>
      </w:tblGrid>
      <w:tr w:rsidR="00CE713D" w:rsidRPr="00CE713D" w14:paraId="0059785B" w14:textId="77777777" w:rsidTr="757ADDA4">
        <w:trPr>
          <w:tblHeader/>
        </w:trPr>
        <w:tc>
          <w:tcPr>
            <w:tcW w:w="5129" w:type="dxa"/>
          </w:tcPr>
          <w:p w14:paraId="2FDA973E" w14:textId="77777777" w:rsidR="00CE713D" w:rsidRPr="00CE713D" w:rsidRDefault="00CE713D">
            <w:pPr>
              <w:rPr>
                <w:b/>
                <w:bCs/>
              </w:rPr>
            </w:pPr>
            <w:r w:rsidRPr="00CE713D">
              <w:rPr>
                <w:b/>
                <w:bCs/>
              </w:rPr>
              <w:t>Action in the Disability Strategy</w:t>
            </w:r>
          </w:p>
        </w:tc>
        <w:tc>
          <w:tcPr>
            <w:tcW w:w="5129" w:type="dxa"/>
          </w:tcPr>
          <w:p w14:paraId="6FE8EEA7" w14:textId="77777777" w:rsidR="00CE713D" w:rsidRPr="00CE713D" w:rsidRDefault="00CE713D">
            <w:pPr>
              <w:rPr>
                <w:b/>
                <w:bCs/>
              </w:rPr>
            </w:pPr>
            <w:r w:rsidRPr="00CE713D">
              <w:rPr>
                <w:b/>
                <w:bCs/>
              </w:rPr>
              <w:t>Evaluation by EDF</w:t>
            </w:r>
          </w:p>
        </w:tc>
        <w:tc>
          <w:tcPr>
            <w:tcW w:w="5130" w:type="dxa"/>
          </w:tcPr>
          <w:p w14:paraId="5618614C" w14:textId="77777777" w:rsidR="00CE713D" w:rsidRPr="00CE713D" w:rsidRDefault="00CE713D">
            <w:pPr>
              <w:rPr>
                <w:b/>
                <w:bCs/>
              </w:rPr>
            </w:pPr>
            <w:r w:rsidRPr="00CE713D">
              <w:rPr>
                <w:b/>
                <w:bCs/>
              </w:rPr>
              <w:t>Priorities for implementation</w:t>
            </w:r>
          </w:p>
        </w:tc>
      </w:tr>
      <w:tr w:rsidR="00CE713D" w:rsidRPr="00CE713D" w14:paraId="02155A7C" w14:textId="77777777" w:rsidTr="757ADDA4">
        <w:tc>
          <w:tcPr>
            <w:tcW w:w="5129" w:type="dxa"/>
          </w:tcPr>
          <w:p w14:paraId="55903875" w14:textId="573BFCE4" w:rsidR="00CE713D" w:rsidRPr="00CE713D" w:rsidRDefault="00EC5EB4" w:rsidP="009B0412">
            <w:r>
              <w:t>S</w:t>
            </w:r>
            <w:r w:rsidR="00CE713D" w:rsidRPr="00CE713D">
              <w:t xml:space="preserve">tep up data collection and publish data for new indicators </w:t>
            </w:r>
            <w:proofErr w:type="gramStart"/>
            <w:r w:rsidR="00CE713D" w:rsidRPr="00CE713D">
              <w:t>on the situation of</w:t>
            </w:r>
            <w:proofErr w:type="gramEnd"/>
            <w:r w:rsidR="00CE713D" w:rsidRPr="00CE713D">
              <w:t xml:space="preserve"> persons with disabilities for various aspects of life through the dedicated EU statistical online </w:t>
            </w:r>
            <w:proofErr w:type="gramStart"/>
            <w:r w:rsidR="00CE713D" w:rsidRPr="00CE713D">
              <w:t>gateway, and</w:t>
            </w:r>
            <w:proofErr w:type="gramEnd"/>
            <w:r w:rsidR="00CE713D" w:rsidRPr="00CE713D">
              <w:t xml:space="preserve"> will strive to enhance data collection disaggregated by type of disability</w:t>
            </w:r>
            <w:r w:rsidR="002A0B57">
              <w:t>.</w:t>
            </w:r>
          </w:p>
          <w:p w14:paraId="036AE313" w14:textId="77777777" w:rsidR="00CE713D" w:rsidRPr="00CE713D" w:rsidRDefault="00CE713D"/>
        </w:tc>
        <w:tc>
          <w:tcPr>
            <w:tcW w:w="5129" w:type="dxa"/>
          </w:tcPr>
          <w:p w14:paraId="22AE08D2" w14:textId="42803B1E" w:rsidR="00514252" w:rsidRPr="00EB20E6" w:rsidRDefault="00515E29" w:rsidP="00514252">
            <w:pPr>
              <w:rPr>
                <w:b/>
                <w:bCs/>
              </w:rPr>
            </w:pPr>
            <w:r>
              <w:rPr>
                <w:b/>
                <w:bCs/>
              </w:rPr>
              <w:t>Very p</w:t>
            </w:r>
            <w:r w:rsidR="00514252" w:rsidRPr="00EB20E6">
              <w:rPr>
                <w:b/>
                <w:bCs/>
              </w:rPr>
              <w:t>ositive</w:t>
            </w:r>
            <w:r w:rsidR="009C5B35">
              <w:rPr>
                <w:b/>
                <w:bCs/>
              </w:rPr>
              <w:t>.</w:t>
            </w:r>
          </w:p>
          <w:p w14:paraId="09952454" w14:textId="3F6861D2" w:rsidR="00514252" w:rsidRDefault="0054435F" w:rsidP="0024607E">
            <w:r>
              <w:t xml:space="preserve">This is very welcome and will greatly improve our understanding of the lived realities of persons with disabilities. </w:t>
            </w:r>
            <w:r w:rsidR="00811633">
              <w:t>Particularly positive is the ambition to have data disaggregated by type of disability, something that is severely lacking at EU level</w:t>
            </w:r>
            <w:r w:rsidR="002A0B57">
              <w:t>.</w:t>
            </w:r>
          </w:p>
          <w:p w14:paraId="3696033B" w14:textId="77777777" w:rsidR="00CE713D" w:rsidRPr="00CE713D" w:rsidRDefault="00CE713D" w:rsidP="00811633"/>
        </w:tc>
        <w:tc>
          <w:tcPr>
            <w:tcW w:w="5130" w:type="dxa"/>
          </w:tcPr>
          <w:p w14:paraId="3406C08B" w14:textId="25BC23E8" w:rsidR="00CE713D" w:rsidRPr="00CE713D" w:rsidRDefault="00811633">
            <w:r>
              <w:t xml:space="preserve">Ensure that this data is collected on a regular basis rather than as a </w:t>
            </w:r>
            <w:r w:rsidR="00A106A7">
              <w:t>one-off</w:t>
            </w:r>
            <w:r>
              <w:t xml:space="preserve"> exercise, allowing u</w:t>
            </w:r>
            <w:r w:rsidR="00A106A7">
              <w:t>s to better measure progress over time</w:t>
            </w:r>
            <w:r w:rsidR="002409FF">
              <w:t>.</w:t>
            </w:r>
          </w:p>
        </w:tc>
      </w:tr>
      <w:tr w:rsidR="00CE713D" w:rsidRPr="00CE713D" w14:paraId="1FEB2873" w14:textId="77777777" w:rsidTr="757ADDA4">
        <w:tc>
          <w:tcPr>
            <w:tcW w:w="5129" w:type="dxa"/>
          </w:tcPr>
          <w:p w14:paraId="67B3AE98" w14:textId="1A01B45E" w:rsidR="00CE713D" w:rsidRPr="00CE713D" w:rsidRDefault="1676AC7B" w:rsidP="009B0412">
            <w:r>
              <w:lastRenderedPageBreak/>
              <w:t>I</w:t>
            </w:r>
            <w:r w:rsidR="02B47538">
              <w:t>ssue a recommendation on equality data and organise a high-level roundtable to further promote their collection and use, building on the work of the equality data expert group of the High-Level Group on non-discrimination, equality and diversity</w:t>
            </w:r>
            <w:r w:rsidR="002A0B57">
              <w:t>.</w:t>
            </w:r>
          </w:p>
          <w:p w14:paraId="083CED30" w14:textId="77777777" w:rsidR="00CE713D" w:rsidRPr="00CE713D" w:rsidRDefault="00CE713D"/>
        </w:tc>
        <w:tc>
          <w:tcPr>
            <w:tcW w:w="5129" w:type="dxa"/>
          </w:tcPr>
          <w:p w14:paraId="78091E19" w14:textId="4C68CB1C" w:rsidR="00AA0645" w:rsidRDefault="00AA0645" w:rsidP="00AA0645">
            <w:pPr>
              <w:rPr>
                <w:b/>
                <w:bCs/>
              </w:rPr>
            </w:pPr>
            <w:r w:rsidRPr="00EB20E6">
              <w:rPr>
                <w:b/>
                <w:bCs/>
              </w:rPr>
              <w:t>Positive point:</w:t>
            </w:r>
          </w:p>
          <w:p w14:paraId="10D4AF7A" w14:textId="27CECCB5" w:rsidR="00AA0645" w:rsidRDefault="003451C9" w:rsidP="00EA5C76">
            <w:pPr>
              <w:pStyle w:val="ListParagraph"/>
              <w:numPr>
                <w:ilvl w:val="0"/>
                <w:numId w:val="13"/>
              </w:numPr>
            </w:pPr>
            <w:r>
              <w:t xml:space="preserve">Positive that this is being </w:t>
            </w:r>
            <w:r w:rsidR="00542280">
              <w:t xml:space="preserve">included </w:t>
            </w:r>
            <w:r w:rsidR="00AB7C23">
              <w:t>and that a high-</w:t>
            </w:r>
            <w:r w:rsidR="00542280">
              <w:t xml:space="preserve">level </w:t>
            </w:r>
            <w:r w:rsidR="00AB7C23">
              <w:t>roundtable and recommendations will be produced.</w:t>
            </w:r>
          </w:p>
          <w:p w14:paraId="1E932C2A" w14:textId="63D5D217" w:rsidR="00542280" w:rsidRPr="009C5B35" w:rsidRDefault="00542280" w:rsidP="00AA0645">
            <w:pPr>
              <w:rPr>
                <w:b/>
                <w:bCs/>
              </w:rPr>
            </w:pPr>
            <w:r w:rsidRPr="009C5B35">
              <w:rPr>
                <w:b/>
                <w:bCs/>
              </w:rPr>
              <w:t>Neutral</w:t>
            </w:r>
            <w:r w:rsidR="009C5B35" w:rsidRPr="009C5B35">
              <w:rPr>
                <w:b/>
                <w:bCs/>
              </w:rPr>
              <w:t xml:space="preserve"> points</w:t>
            </w:r>
            <w:r w:rsidRPr="009C5B35">
              <w:rPr>
                <w:b/>
                <w:bCs/>
              </w:rPr>
              <w:t>:</w:t>
            </w:r>
          </w:p>
          <w:p w14:paraId="10EEA296" w14:textId="0D68A53C" w:rsidR="00542280" w:rsidRDefault="00542280" w:rsidP="00EA5C76">
            <w:pPr>
              <w:pStyle w:val="ListParagraph"/>
              <w:numPr>
                <w:ilvl w:val="0"/>
                <w:numId w:val="13"/>
              </w:numPr>
            </w:pPr>
            <w:r>
              <w:t xml:space="preserve">Not </w:t>
            </w:r>
            <w:r w:rsidR="00213457">
              <w:t xml:space="preserve">a </w:t>
            </w:r>
            <w:r>
              <w:t>new action.</w:t>
            </w:r>
          </w:p>
          <w:p w14:paraId="4A5CA1AD" w14:textId="77777777" w:rsidR="00AA0645" w:rsidRDefault="00AA0645" w:rsidP="00AA0645">
            <w:pPr>
              <w:rPr>
                <w:b/>
                <w:bCs/>
              </w:rPr>
            </w:pPr>
            <w:r w:rsidRPr="00EB20E6">
              <w:rPr>
                <w:b/>
                <w:bCs/>
              </w:rPr>
              <w:t>Negative points:</w:t>
            </w:r>
            <w:r>
              <w:rPr>
                <w:b/>
                <w:bCs/>
              </w:rPr>
              <w:t xml:space="preserve"> </w:t>
            </w:r>
          </w:p>
          <w:p w14:paraId="369B0E81" w14:textId="36CA1850" w:rsidR="003451C9" w:rsidRPr="003451C9" w:rsidRDefault="003451C9" w:rsidP="00EA5C76">
            <w:pPr>
              <w:pStyle w:val="ListParagraph"/>
              <w:numPr>
                <w:ilvl w:val="0"/>
                <w:numId w:val="13"/>
              </w:numPr>
            </w:pPr>
            <w:r>
              <w:t>Little reassurance of whether the recommendations will be taken on board resulting in any improvements in equality data collection.</w:t>
            </w:r>
          </w:p>
          <w:p w14:paraId="24640F60" w14:textId="77777777" w:rsidR="00CE713D" w:rsidRPr="00CE713D" w:rsidRDefault="00CE713D"/>
        </w:tc>
        <w:tc>
          <w:tcPr>
            <w:tcW w:w="5130" w:type="dxa"/>
          </w:tcPr>
          <w:p w14:paraId="2DAEA48B" w14:textId="48BC73C7" w:rsidR="00CE713D" w:rsidRPr="00CE713D" w:rsidRDefault="0069590D">
            <w:r>
              <w:t xml:space="preserve">Follow up on the recommendations when they are issued and set out a plan for how they will be implemented and by which stakeholders. </w:t>
            </w:r>
          </w:p>
        </w:tc>
      </w:tr>
      <w:tr w:rsidR="00CE713D" w:rsidRPr="00CE713D" w14:paraId="6AC36708" w14:textId="77777777" w:rsidTr="757ADDA4">
        <w:tc>
          <w:tcPr>
            <w:tcW w:w="5129" w:type="dxa"/>
          </w:tcPr>
          <w:p w14:paraId="1E94133B" w14:textId="6B44C983" w:rsidR="009B0412" w:rsidRPr="00CE713D" w:rsidRDefault="1676AC7B" w:rsidP="009B0412">
            <w:r>
              <w:t>P</w:t>
            </w:r>
            <w:r w:rsidR="26D02C58">
              <w:t>ublish a new Eurobarometer on discrimination in the EU in 2027</w:t>
            </w:r>
            <w:r w:rsidR="00515E29">
              <w:t>.</w:t>
            </w:r>
          </w:p>
          <w:p w14:paraId="1B7B8B99" w14:textId="77777777" w:rsidR="00CE713D" w:rsidRPr="00CE713D" w:rsidRDefault="00CE713D"/>
        </w:tc>
        <w:tc>
          <w:tcPr>
            <w:tcW w:w="5129" w:type="dxa"/>
          </w:tcPr>
          <w:p w14:paraId="7AF89CD1" w14:textId="77777777" w:rsidR="00EF4929" w:rsidRDefault="00EF4929" w:rsidP="00EF4929">
            <w:pPr>
              <w:rPr>
                <w:b/>
                <w:bCs/>
              </w:rPr>
            </w:pPr>
            <w:r w:rsidRPr="00EB20E6">
              <w:rPr>
                <w:b/>
                <w:bCs/>
              </w:rPr>
              <w:t>Positive points:</w:t>
            </w:r>
          </w:p>
          <w:p w14:paraId="0643AA4D" w14:textId="75D2DB2C" w:rsidR="00511D5B" w:rsidRPr="00F375C9" w:rsidRDefault="00EF4929" w:rsidP="00EA5C76">
            <w:pPr>
              <w:pStyle w:val="ListParagraph"/>
              <w:numPr>
                <w:ilvl w:val="0"/>
                <w:numId w:val="13"/>
              </w:numPr>
              <w:rPr>
                <w:b/>
                <w:bCs/>
              </w:rPr>
            </w:pPr>
            <w:r>
              <w:t xml:space="preserve">This is </w:t>
            </w:r>
            <w:r w:rsidR="00E94DF7">
              <w:t xml:space="preserve">a much-needed update, </w:t>
            </w:r>
            <w:proofErr w:type="gramStart"/>
            <w:r w:rsidR="00E94DF7">
              <w:t>in light of</w:t>
            </w:r>
            <w:proofErr w:type="gramEnd"/>
            <w:r w:rsidR="00E94DF7">
              <w:t xml:space="preserve"> growing cases of discrimination on all grounds.</w:t>
            </w:r>
          </w:p>
          <w:p w14:paraId="1655665E" w14:textId="11D6690F" w:rsidR="00511D5B" w:rsidRDefault="00511D5B" w:rsidP="00511D5B">
            <w:pPr>
              <w:rPr>
                <w:b/>
                <w:bCs/>
              </w:rPr>
            </w:pPr>
            <w:r>
              <w:rPr>
                <w:b/>
                <w:bCs/>
              </w:rPr>
              <w:t>Neutral</w:t>
            </w:r>
            <w:r w:rsidR="000C0238">
              <w:rPr>
                <w:b/>
                <w:bCs/>
              </w:rPr>
              <w:t xml:space="preserve"> points</w:t>
            </w:r>
            <w:r>
              <w:rPr>
                <w:b/>
                <w:bCs/>
              </w:rPr>
              <w:t>:</w:t>
            </w:r>
          </w:p>
          <w:p w14:paraId="56102B4F" w14:textId="3CE080E2" w:rsidR="00511D5B" w:rsidRPr="00511D5B" w:rsidRDefault="00511D5B" w:rsidP="00EA5C76">
            <w:pPr>
              <w:pStyle w:val="ListParagraph"/>
              <w:numPr>
                <w:ilvl w:val="0"/>
                <w:numId w:val="13"/>
              </w:numPr>
            </w:pPr>
            <w:r w:rsidRPr="00511D5B">
              <w:t>No</w:t>
            </w:r>
            <w:r w:rsidR="000C0238">
              <w:t>t a</w:t>
            </w:r>
            <w:r w:rsidRPr="00511D5B">
              <w:t xml:space="preserve"> new action.</w:t>
            </w:r>
          </w:p>
          <w:p w14:paraId="62F8DB79" w14:textId="77777777" w:rsidR="00511D5B" w:rsidRPr="00511D5B" w:rsidRDefault="00511D5B" w:rsidP="00511D5B">
            <w:pPr>
              <w:rPr>
                <w:b/>
                <w:bCs/>
              </w:rPr>
            </w:pPr>
          </w:p>
          <w:p w14:paraId="2EA4EA59" w14:textId="77777777" w:rsidR="00EF4929" w:rsidRDefault="00EF4929" w:rsidP="00EF4929"/>
          <w:p w14:paraId="6DA7372C" w14:textId="77777777" w:rsidR="00CE713D" w:rsidRPr="00CE713D" w:rsidRDefault="00CE713D" w:rsidP="00E94DF7"/>
        </w:tc>
        <w:tc>
          <w:tcPr>
            <w:tcW w:w="5130" w:type="dxa"/>
          </w:tcPr>
          <w:p w14:paraId="40CCC163" w14:textId="3C754771" w:rsidR="006F7887" w:rsidRDefault="006F7887" w:rsidP="00EA5C76">
            <w:pPr>
              <w:pStyle w:val="ListParagraph"/>
              <w:numPr>
                <w:ilvl w:val="0"/>
                <w:numId w:val="59"/>
              </w:numPr>
            </w:pPr>
            <w:r>
              <w:t>Ensure the Eurobarometer explores discrimination based on disability specifically.</w:t>
            </w:r>
          </w:p>
          <w:p w14:paraId="20EE4666" w14:textId="6F8DD74C" w:rsidR="009A4F5A" w:rsidRDefault="00EF1AF4" w:rsidP="00EA5C76">
            <w:pPr>
              <w:pStyle w:val="ListParagraph"/>
              <w:numPr>
                <w:ilvl w:val="0"/>
                <w:numId w:val="59"/>
              </w:numPr>
            </w:pPr>
            <w:r>
              <w:t xml:space="preserve">Look at discrimination inside and outside of </w:t>
            </w:r>
            <w:r w:rsidR="0062508D">
              <w:t>employment.</w:t>
            </w:r>
          </w:p>
          <w:p w14:paraId="0AEC44C6" w14:textId="54EFC2E8" w:rsidR="0062508D" w:rsidRDefault="0062508D" w:rsidP="00EA5C76">
            <w:pPr>
              <w:pStyle w:val="ListParagraph"/>
              <w:numPr>
                <w:ilvl w:val="0"/>
                <w:numId w:val="59"/>
              </w:numPr>
            </w:pPr>
            <w:r>
              <w:t xml:space="preserve">Make it possible to explore intersectionality between discrimination </w:t>
            </w:r>
            <w:proofErr w:type="gramStart"/>
            <w:r>
              <w:t>on the basis of</w:t>
            </w:r>
            <w:proofErr w:type="gramEnd"/>
            <w:r>
              <w:t xml:space="preserve"> disability, gender, age etc.</w:t>
            </w:r>
          </w:p>
          <w:p w14:paraId="1D8ACFC4" w14:textId="77777777" w:rsidR="0062508D" w:rsidRDefault="00A32688" w:rsidP="00EA5C76">
            <w:pPr>
              <w:pStyle w:val="ListParagraph"/>
              <w:numPr>
                <w:ilvl w:val="0"/>
                <w:numId w:val="59"/>
              </w:numPr>
            </w:pPr>
            <w:r>
              <w:t xml:space="preserve">Make it possible to </w:t>
            </w:r>
            <w:r w:rsidR="008170BB">
              <w:t>understand exten</w:t>
            </w:r>
            <w:r w:rsidR="009A4F5A">
              <w:t>t</w:t>
            </w:r>
            <w:r w:rsidR="008170BB">
              <w:t xml:space="preserve"> of discrimination by association (particularly for parents and family members of persons with disabilities).</w:t>
            </w:r>
          </w:p>
          <w:p w14:paraId="42FC7939" w14:textId="1D4DF45C" w:rsidR="00430ADB" w:rsidRPr="00CE713D" w:rsidRDefault="00430ADB"/>
        </w:tc>
      </w:tr>
      <w:tr w:rsidR="00CE713D" w:rsidRPr="00CE713D" w14:paraId="236F2C6A" w14:textId="77777777" w:rsidTr="757ADDA4">
        <w:tc>
          <w:tcPr>
            <w:tcW w:w="5129" w:type="dxa"/>
          </w:tcPr>
          <w:p w14:paraId="65548A40" w14:textId="5EB11E53" w:rsidR="00CE713D" w:rsidRPr="00CE713D" w:rsidRDefault="009B0412">
            <w:r>
              <w:t xml:space="preserve">Take further steps to promote data collection on persons with disabilities </w:t>
            </w:r>
            <w:r>
              <w:lastRenderedPageBreak/>
              <w:t>living in institutions and associated costs</w:t>
            </w:r>
            <w:r w:rsidR="00511D5B">
              <w:t>.</w:t>
            </w:r>
            <w:r>
              <w:t xml:space="preserve"> </w:t>
            </w:r>
          </w:p>
        </w:tc>
        <w:tc>
          <w:tcPr>
            <w:tcW w:w="5129" w:type="dxa"/>
          </w:tcPr>
          <w:p w14:paraId="251A8336" w14:textId="41D660E1" w:rsidR="00E94DF7" w:rsidRPr="00EB20E6" w:rsidRDefault="00430ADB" w:rsidP="00E94DF7">
            <w:pPr>
              <w:rPr>
                <w:b/>
                <w:bCs/>
              </w:rPr>
            </w:pPr>
            <w:r>
              <w:rPr>
                <w:b/>
                <w:bCs/>
              </w:rPr>
              <w:lastRenderedPageBreak/>
              <w:t>Positive point</w:t>
            </w:r>
            <w:r w:rsidR="00E94DF7" w:rsidRPr="00EB20E6">
              <w:rPr>
                <w:b/>
                <w:bCs/>
              </w:rPr>
              <w:t>:</w:t>
            </w:r>
          </w:p>
          <w:p w14:paraId="023AB36E" w14:textId="65B1C7EA" w:rsidR="009A4F5A" w:rsidRDefault="00E94DF7" w:rsidP="00EA5C76">
            <w:pPr>
              <w:pStyle w:val="ListParagraph"/>
              <w:numPr>
                <w:ilvl w:val="0"/>
                <w:numId w:val="13"/>
              </w:numPr>
            </w:pPr>
            <w:r>
              <w:lastRenderedPageBreak/>
              <w:t>This responds to one of the ongoing d</w:t>
            </w:r>
            <w:r w:rsidR="00D925E4">
              <w:t>e</w:t>
            </w:r>
            <w:r>
              <w:t>mands of the disability movement for some time now.</w:t>
            </w:r>
          </w:p>
          <w:p w14:paraId="7AA0F4DE" w14:textId="584F5F72" w:rsidR="00E94DF7" w:rsidRDefault="00E94DF7" w:rsidP="00E94DF7">
            <w:pPr>
              <w:rPr>
                <w:b/>
                <w:bCs/>
              </w:rPr>
            </w:pPr>
            <w:r w:rsidRPr="00EB20E6">
              <w:rPr>
                <w:b/>
                <w:bCs/>
              </w:rPr>
              <w:t>Negative point:</w:t>
            </w:r>
            <w:r>
              <w:rPr>
                <w:b/>
                <w:bCs/>
              </w:rPr>
              <w:t xml:space="preserve"> </w:t>
            </w:r>
          </w:p>
          <w:p w14:paraId="1A175280" w14:textId="2A48C5C3" w:rsidR="00D925E4" w:rsidRPr="00D925E4" w:rsidRDefault="00D925E4" w:rsidP="00EA5C76">
            <w:pPr>
              <w:pStyle w:val="ListParagraph"/>
              <w:numPr>
                <w:ilvl w:val="0"/>
                <w:numId w:val="13"/>
              </w:numPr>
              <w:rPr>
                <w:b/>
                <w:bCs/>
              </w:rPr>
            </w:pPr>
            <w:proofErr w:type="gramStart"/>
            <w:r>
              <w:t>As of yet</w:t>
            </w:r>
            <w:proofErr w:type="gramEnd"/>
            <w:r>
              <w:t xml:space="preserve"> there </w:t>
            </w:r>
            <w:r w:rsidR="003B12C0">
              <w:t>is not a</w:t>
            </w:r>
            <w:r w:rsidR="003B5EE6">
              <w:t xml:space="preserve"> clear confirmation that this will </w:t>
            </w:r>
            <w:proofErr w:type="gramStart"/>
            <w:r w:rsidR="003B5EE6">
              <w:t>actually result</w:t>
            </w:r>
            <w:proofErr w:type="gramEnd"/>
            <w:r w:rsidR="003B5EE6">
              <w:t xml:space="preserve"> in new data collection in institutions, as the action simply mentions </w:t>
            </w:r>
            <w:r w:rsidR="00111987">
              <w:t>‘</w:t>
            </w:r>
            <w:r w:rsidR="003B5EE6">
              <w:t>taking further steps to promote</w:t>
            </w:r>
            <w:r w:rsidR="00111987">
              <w:t>’</w:t>
            </w:r>
            <w:r w:rsidR="003B5EE6">
              <w:t xml:space="preserve"> such data. </w:t>
            </w:r>
          </w:p>
          <w:p w14:paraId="7748AC1D" w14:textId="77777777" w:rsidR="00CE713D" w:rsidRPr="00CE713D" w:rsidRDefault="00CE713D"/>
        </w:tc>
        <w:tc>
          <w:tcPr>
            <w:tcW w:w="5130" w:type="dxa"/>
          </w:tcPr>
          <w:p w14:paraId="39FFBFD5" w14:textId="0F19E769" w:rsidR="00CE713D" w:rsidRPr="00CE713D" w:rsidRDefault="000F5BE4">
            <w:r>
              <w:lastRenderedPageBreak/>
              <w:t xml:space="preserve">Must ensure that this </w:t>
            </w:r>
            <w:proofErr w:type="gramStart"/>
            <w:r>
              <w:t>actually results</w:t>
            </w:r>
            <w:proofErr w:type="gramEnd"/>
            <w:r>
              <w:t xml:space="preserve"> in data on institutions being collected, and that the data collection happens </w:t>
            </w:r>
            <w:r>
              <w:lastRenderedPageBreak/>
              <w:t>regularly to allow for monitoring of the de-institutionalisation process in the Member States</w:t>
            </w:r>
            <w:r w:rsidR="004B1D28">
              <w:t xml:space="preserve">, and the situation of </w:t>
            </w:r>
            <w:r w:rsidR="00461DFC">
              <w:t>people living in these settings</w:t>
            </w:r>
            <w:r>
              <w:t>.</w:t>
            </w:r>
          </w:p>
        </w:tc>
      </w:tr>
    </w:tbl>
    <w:p w14:paraId="17C34B0E" w14:textId="77777777" w:rsidR="00CE713D" w:rsidRPr="00CE713D" w:rsidRDefault="00CE713D" w:rsidP="00465371"/>
    <w:p w14:paraId="2C2C0C14" w14:textId="58794679" w:rsidR="00050EF8" w:rsidRPr="00CE713D" w:rsidRDefault="00050EF8" w:rsidP="009B0412">
      <w:pPr>
        <w:pStyle w:val="ListParagraph"/>
        <w:sectPr w:rsidR="00050EF8" w:rsidRPr="00CE713D" w:rsidSect="00E975F9">
          <w:pgSz w:w="16838" w:h="11906" w:orient="landscape" w:code="9"/>
          <w:pgMar w:top="720" w:right="720" w:bottom="720" w:left="72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p>
    <w:p w14:paraId="150E9A75" w14:textId="77777777" w:rsidR="00A9576D" w:rsidRPr="00CE713D" w:rsidRDefault="00A9576D" w:rsidP="00A9576D">
      <w:pPr>
        <w:pStyle w:val="Heading1"/>
        <w:pageBreakBefore/>
      </w:pPr>
      <w:bookmarkStart w:id="51" w:name="_Toc235203129"/>
      <w:r w:rsidRPr="00CE713D">
        <w:lastRenderedPageBreak/>
        <w:t>Document credits</w:t>
      </w:r>
      <w:bookmarkEnd w:id="51"/>
    </w:p>
    <w:p w14:paraId="6C48388B" w14:textId="2354A78E" w:rsidR="00A9576D" w:rsidRDefault="00A9576D" w:rsidP="006D0B23">
      <w:pPr>
        <w:widowControl w:val="0"/>
        <w:spacing w:before="480"/>
      </w:pPr>
      <w:r w:rsidRPr="00CE713D">
        <w:t>This document was prepared</w:t>
      </w:r>
      <w:r w:rsidR="004F3DCB">
        <w:t xml:space="preserve"> as a joint effort</w:t>
      </w:r>
      <w:r w:rsidRPr="00CE713D">
        <w:t xml:space="preserve"> by</w:t>
      </w:r>
      <w:r w:rsidR="00CA4D35">
        <w:t xml:space="preserve"> all EDF policy staff </w:t>
      </w:r>
      <w:proofErr w:type="gramStart"/>
      <w:r w:rsidR="00CA4D35">
        <w:t>on the basis of</w:t>
      </w:r>
      <w:proofErr w:type="gramEnd"/>
      <w:r w:rsidR="00CA4D35">
        <w:t xml:space="preserve"> their areas of work. It was consolidated by</w:t>
      </w:r>
      <w:r w:rsidR="00DC1D6C">
        <w:t xml:space="preserve"> Haydn Hammersley, EDF Social Policy Coordinator, and Alejandro Moledo, EDF Deputy Director &amp; Head of Policy.</w:t>
      </w:r>
    </w:p>
    <w:p w14:paraId="2C38BBD4" w14:textId="20911F3B" w:rsidR="00F375C9" w:rsidRPr="00CE713D" w:rsidRDefault="00F375C9" w:rsidP="006D0B23">
      <w:pPr>
        <w:widowControl w:val="0"/>
        <w:spacing w:before="480"/>
      </w:pPr>
      <w:r>
        <w:t>Edited by André Félix, Communications Manager.</w:t>
      </w:r>
    </w:p>
    <w:p w14:paraId="1680489C" w14:textId="77777777" w:rsidR="009277BC" w:rsidRPr="00CE713D" w:rsidRDefault="009277BC" w:rsidP="009277BC">
      <w:pPr>
        <w:widowControl w:val="0"/>
        <w:spacing w:before="480"/>
      </w:pPr>
      <w:r w:rsidRPr="00CE713D">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526E45F6" w14:textId="77777777" w:rsidR="00A9576D" w:rsidRPr="00CE713D" w:rsidRDefault="00A9576D" w:rsidP="006D0B23">
      <w:pPr>
        <w:widowControl w:val="0"/>
        <w:spacing w:before="480"/>
      </w:pPr>
      <w:r w:rsidRPr="00CE713D">
        <w:t>The European Disability Forum</w:t>
      </w:r>
      <w:r w:rsidR="009277BC" w:rsidRPr="00CE713D">
        <w:br/>
        <w:t>Mundo Madou</w:t>
      </w:r>
      <w:r w:rsidR="009277BC" w:rsidRPr="00CE713D">
        <w:br/>
      </w:r>
      <w:r w:rsidRPr="00CE713D">
        <w:t>Avenue des Arts 7-8</w:t>
      </w:r>
      <w:r w:rsidR="009277BC" w:rsidRPr="00CE713D">
        <w:br/>
        <w:t>1210 Brussels, Belgium.</w:t>
      </w:r>
    </w:p>
    <w:p w14:paraId="6B7EDE88" w14:textId="77777777" w:rsidR="00A9576D" w:rsidRPr="00CE713D" w:rsidRDefault="00A9576D" w:rsidP="006D0B23">
      <w:pPr>
        <w:widowControl w:val="0"/>
        <w:spacing w:before="480"/>
      </w:pPr>
      <w:hyperlink r:id="rId23" w:history="1">
        <w:r w:rsidRPr="00CE713D">
          <w:rPr>
            <w:rStyle w:val="Hyperlink"/>
          </w:rPr>
          <w:t>www.edf-feph.org</w:t>
        </w:r>
      </w:hyperlink>
    </w:p>
    <w:p w14:paraId="7D2C0462" w14:textId="77777777" w:rsidR="009277BC" w:rsidRPr="00CE713D" w:rsidRDefault="009277BC" w:rsidP="006D0B23">
      <w:pPr>
        <w:widowControl w:val="0"/>
        <w:spacing w:before="480"/>
      </w:pPr>
      <w:hyperlink r:id="rId24" w:history="1">
        <w:r w:rsidRPr="00CE713D">
          <w:rPr>
            <w:rStyle w:val="Hyperlink"/>
          </w:rPr>
          <w:t>info@edf-feph.org</w:t>
        </w:r>
      </w:hyperlink>
    </w:p>
    <w:p w14:paraId="1CB122E8" w14:textId="77777777" w:rsidR="009277BC" w:rsidRPr="00CE713D" w:rsidRDefault="009277BC" w:rsidP="009277BC">
      <w:pPr>
        <w:widowControl w:val="0"/>
        <w:spacing w:before="120"/>
        <w:jc w:val="center"/>
      </w:pPr>
    </w:p>
    <w:p w14:paraId="5294E922" w14:textId="77777777" w:rsidR="008C4E44" w:rsidRPr="00CE713D" w:rsidRDefault="008C4E44" w:rsidP="009277BC">
      <w:pPr>
        <w:widowControl w:val="0"/>
        <w:spacing w:before="120"/>
        <w:jc w:val="center"/>
      </w:pPr>
      <w:r w:rsidRPr="00CE713D">
        <w:rPr>
          <w:noProof/>
        </w:rPr>
        <w:drawing>
          <wp:anchor distT="0" distB="0" distL="114300" distR="114300" simplePos="0" relativeHeight="251658243" behindDoc="1" locked="0" layoutInCell="1" allowOverlap="1" wp14:anchorId="384B167C" wp14:editId="1DC097F7">
            <wp:simplePos x="0" y="0"/>
            <wp:positionH relativeFrom="column">
              <wp:posOffset>2114550</wp:posOffset>
            </wp:positionH>
            <wp:positionV relativeFrom="paragraph">
              <wp:posOffset>10160</wp:posOffset>
            </wp:positionV>
            <wp:extent cx="1247775" cy="1264926"/>
            <wp:effectExtent l="0" t="0" r="0" b="0"/>
            <wp:wrapNone/>
            <wp:docPr id="563384128"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84128" name="Picture 2" descr="A blue flag with yellow stars&#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47775" cy="1264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0A8CD" w14:textId="77777777" w:rsidR="008C4E44" w:rsidRPr="00CE713D" w:rsidRDefault="008C4E44" w:rsidP="009277BC">
      <w:pPr>
        <w:widowControl w:val="0"/>
        <w:spacing w:before="120"/>
        <w:jc w:val="center"/>
      </w:pPr>
    </w:p>
    <w:p w14:paraId="3B188615" w14:textId="77777777" w:rsidR="008C4E44" w:rsidRPr="00CE713D" w:rsidRDefault="008C4E44" w:rsidP="009277BC">
      <w:pPr>
        <w:widowControl w:val="0"/>
        <w:spacing w:before="120"/>
        <w:jc w:val="center"/>
      </w:pPr>
    </w:p>
    <w:p w14:paraId="36DCA3A7" w14:textId="77777777" w:rsidR="008C4E44" w:rsidRPr="00CE713D" w:rsidRDefault="008C4E44" w:rsidP="009277BC">
      <w:pPr>
        <w:widowControl w:val="0"/>
        <w:spacing w:before="120"/>
        <w:jc w:val="center"/>
      </w:pPr>
    </w:p>
    <w:p w14:paraId="497F1735" w14:textId="77777777" w:rsidR="008C4E44" w:rsidRPr="00CE713D" w:rsidRDefault="008C4E44" w:rsidP="009277BC">
      <w:pPr>
        <w:widowControl w:val="0"/>
        <w:spacing w:before="120"/>
        <w:jc w:val="center"/>
      </w:pPr>
    </w:p>
    <w:p w14:paraId="2BAA286B" w14:textId="77777777" w:rsidR="008C4E44" w:rsidRDefault="008C4E44" w:rsidP="009277BC">
      <w:pPr>
        <w:widowControl w:val="0"/>
        <w:spacing w:before="120"/>
        <w:jc w:val="center"/>
      </w:pPr>
      <w:r w:rsidRPr="00CE713D">
        <w:t>Views and opinions expressed are however those of the author(s) only and do not necessarily reflect those of the European Union or the European Commission’s CERV Programme. Neither the European Union nor the granting authority can be held responsible for them.</w:t>
      </w:r>
    </w:p>
    <w:sectPr w:rsidR="008C4E44" w:rsidSect="00DE4163">
      <w:pgSz w:w="11906" w:h="16838" w:code="9"/>
      <w:pgMar w:top="1417" w:right="1417" w:bottom="1417" w:left="1417"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5D4A" w14:textId="77777777" w:rsidR="00210A93" w:rsidRPr="00CE713D" w:rsidRDefault="00210A93" w:rsidP="00E47FF5">
      <w:pPr>
        <w:spacing w:after="0" w:line="240" w:lineRule="auto"/>
      </w:pPr>
      <w:r w:rsidRPr="00CE713D">
        <w:separator/>
      </w:r>
    </w:p>
  </w:endnote>
  <w:endnote w:type="continuationSeparator" w:id="0">
    <w:p w14:paraId="215FC625" w14:textId="77777777" w:rsidR="00210A93" w:rsidRPr="00CE713D" w:rsidRDefault="00210A93" w:rsidP="00E47FF5">
      <w:pPr>
        <w:spacing w:after="0" w:line="240" w:lineRule="auto"/>
      </w:pPr>
      <w:r w:rsidRPr="00CE71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39B7D3FD" w14:textId="77777777" w:rsidR="007C7CD3" w:rsidRPr="00CE713D" w:rsidRDefault="007C7CD3">
        <w:pPr>
          <w:pStyle w:val="Footer"/>
          <w:jc w:val="right"/>
        </w:pPr>
        <w:r w:rsidRPr="00CE713D">
          <w:t xml:space="preserve">Page | </w:t>
        </w:r>
        <w:r w:rsidRPr="00CE713D">
          <w:fldChar w:fldCharType="begin"/>
        </w:r>
        <w:r w:rsidRPr="00CE713D">
          <w:instrText xml:space="preserve"> PAGE   \* MERGEFORMAT </w:instrText>
        </w:r>
        <w:r w:rsidRPr="00CE713D">
          <w:fldChar w:fldCharType="separate"/>
        </w:r>
        <w:r w:rsidRPr="00CE713D">
          <w:t>2</w:t>
        </w:r>
        <w:r w:rsidRPr="00CE713D">
          <w:fldChar w:fldCharType="end"/>
        </w:r>
        <w:r w:rsidRPr="00CE713D">
          <w:t xml:space="preserve"> </w:t>
        </w:r>
      </w:p>
    </w:sdtContent>
  </w:sdt>
  <w:p w14:paraId="5C4C740A" w14:textId="77777777" w:rsidR="00E47FF5" w:rsidRPr="00CE713D"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CD06" w14:textId="77777777" w:rsidR="00210A93" w:rsidRPr="00CE713D" w:rsidRDefault="00210A93" w:rsidP="00E47FF5">
      <w:pPr>
        <w:spacing w:after="0" w:line="240" w:lineRule="auto"/>
      </w:pPr>
      <w:r w:rsidRPr="00CE713D">
        <w:separator/>
      </w:r>
    </w:p>
  </w:footnote>
  <w:footnote w:type="continuationSeparator" w:id="0">
    <w:p w14:paraId="76F7F5BB" w14:textId="77777777" w:rsidR="00210A93" w:rsidRPr="00CE713D" w:rsidRDefault="00210A93" w:rsidP="00E47FF5">
      <w:pPr>
        <w:spacing w:after="0" w:line="240" w:lineRule="auto"/>
      </w:pPr>
      <w:r w:rsidRPr="00CE713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D06"/>
    <w:multiLevelType w:val="hybridMultilevel"/>
    <w:tmpl w:val="74E010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026C9A"/>
    <w:multiLevelType w:val="hybridMultilevel"/>
    <w:tmpl w:val="2598B7FC"/>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1165"/>
    <w:multiLevelType w:val="hybridMultilevel"/>
    <w:tmpl w:val="C1A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3EBD9"/>
    <w:multiLevelType w:val="hybridMultilevel"/>
    <w:tmpl w:val="1EF6289A"/>
    <w:lvl w:ilvl="0" w:tplc="FAA2B9F8">
      <w:start w:val="1"/>
      <w:numFmt w:val="bullet"/>
      <w:lvlText w:val=""/>
      <w:lvlJc w:val="left"/>
      <w:pPr>
        <w:ind w:left="720" w:hanging="360"/>
      </w:pPr>
      <w:rPr>
        <w:rFonts w:ascii="Symbol" w:hAnsi="Symbol" w:hint="default"/>
      </w:rPr>
    </w:lvl>
    <w:lvl w:ilvl="1" w:tplc="015805E6">
      <w:start w:val="1"/>
      <w:numFmt w:val="bullet"/>
      <w:lvlText w:val="o"/>
      <w:lvlJc w:val="left"/>
      <w:pPr>
        <w:ind w:left="1440" w:hanging="360"/>
      </w:pPr>
      <w:rPr>
        <w:rFonts w:ascii="Courier New" w:hAnsi="Courier New" w:hint="default"/>
      </w:rPr>
    </w:lvl>
    <w:lvl w:ilvl="2" w:tplc="B100F1AC">
      <w:start w:val="1"/>
      <w:numFmt w:val="bullet"/>
      <w:lvlText w:val=""/>
      <w:lvlJc w:val="left"/>
      <w:pPr>
        <w:ind w:left="2160" w:hanging="360"/>
      </w:pPr>
      <w:rPr>
        <w:rFonts w:ascii="Wingdings" w:hAnsi="Wingdings" w:hint="default"/>
      </w:rPr>
    </w:lvl>
    <w:lvl w:ilvl="3" w:tplc="DE7860F8">
      <w:start w:val="1"/>
      <w:numFmt w:val="bullet"/>
      <w:lvlText w:val=""/>
      <w:lvlJc w:val="left"/>
      <w:pPr>
        <w:ind w:left="2880" w:hanging="360"/>
      </w:pPr>
      <w:rPr>
        <w:rFonts w:ascii="Symbol" w:hAnsi="Symbol" w:hint="default"/>
      </w:rPr>
    </w:lvl>
    <w:lvl w:ilvl="4" w:tplc="6388F66A">
      <w:start w:val="1"/>
      <w:numFmt w:val="bullet"/>
      <w:lvlText w:val="o"/>
      <w:lvlJc w:val="left"/>
      <w:pPr>
        <w:ind w:left="3600" w:hanging="360"/>
      </w:pPr>
      <w:rPr>
        <w:rFonts w:ascii="Courier New" w:hAnsi="Courier New" w:hint="default"/>
      </w:rPr>
    </w:lvl>
    <w:lvl w:ilvl="5" w:tplc="CAE2CAEA">
      <w:start w:val="1"/>
      <w:numFmt w:val="bullet"/>
      <w:lvlText w:val=""/>
      <w:lvlJc w:val="left"/>
      <w:pPr>
        <w:ind w:left="4320" w:hanging="360"/>
      </w:pPr>
      <w:rPr>
        <w:rFonts w:ascii="Wingdings" w:hAnsi="Wingdings" w:hint="default"/>
      </w:rPr>
    </w:lvl>
    <w:lvl w:ilvl="6" w:tplc="27623B48">
      <w:start w:val="1"/>
      <w:numFmt w:val="bullet"/>
      <w:lvlText w:val=""/>
      <w:lvlJc w:val="left"/>
      <w:pPr>
        <w:ind w:left="5040" w:hanging="360"/>
      </w:pPr>
      <w:rPr>
        <w:rFonts w:ascii="Symbol" w:hAnsi="Symbol" w:hint="default"/>
      </w:rPr>
    </w:lvl>
    <w:lvl w:ilvl="7" w:tplc="AA26FF54">
      <w:start w:val="1"/>
      <w:numFmt w:val="bullet"/>
      <w:lvlText w:val="o"/>
      <w:lvlJc w:val="left"/>
      <w:pPr>
        <w:ind w:left="5760" w:hanging="360"/>
      </w:pPr>
      <w:rPr>
        <w:rFonts w:ascii="Courier New" w:hAnsi="Courier New" w:hint="default"/>
      </w:rPr>
    </w:lvl>
    <w:lvl w:ilvl="8" w:tplc="D08AF2C8">
      <w:start w:val="1"/>
      <w:numFmt w:val="bullet"/>
      <w:lvlText w:val=""/>
      <w:lvlJc w:val="left"/>
      <w:pPr>
        <w:ind w:left="6480" w:hanging="360"/>
      </w:pPr>
      <w:rPr>
        <w:rFonts w:ascii="Wingdings" w:hAnsi="Wingdings" w:hint="default"/>
      </w:rPr>
    </w:lvl>
  </w:abstractNum>
  <w:abstractNum w:abstractNumId="4" w15:restartNumberingAfterBreak="0">
    <w:nsid w:val="07B01200"/>
    <w:multiLevelType w:val="hybridMultilevel"/>
    <w:tmpl w:val="6D96B360"/>
    <w:lvl w:ilvl="0" w:tplc="49F0D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F6AAB"/>
    <w:multiLevelType w:val="hybridMultilevel"/>
    <w:tmpl w:val="F2CE76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E7667B"/>
    <w:multiLevelType w:val="hybridMultilevel"/>
    <w:tmpl w:val="B3FC4316"/>
    <w:lvl w:ilvl="0" w:tplc="49F0D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C931E"/>
    <w:multiLevelType w:val="hybridMultilevel"/>
    <w:tmpl w:val="2DCC4E20"/>
    <w:lvl w:ilvl="0" w:tplc="8D48A580">
      <w:start w:val="1"/>
      <w:numFmt w:val="bullet"/>
      <w:lvlText w:val=""/>
      <w:lvlJc w:val="left"/>
      <w:pPr>
        <w:ind w:left="720" w:hanging="360"/>
      </w:pPr>
      <w:rPr>
        <w:rFonts w:ascii="Symbol" w:hAnsi="Symbol" w:hint="default"/>
      </w:rPr>
    </w:lvl>
    <w:lvl w:ilvl="1" w:tplc="97308D20">
      <w:start w:val="1"/>
      <w:numFmt w:val="bullet"/>
      <w:lvlText w:val="o"/>
      <w:lvlJc w:val="left"/>
      <w:pPr>
        <w:ind w:left="1440" w:hanging="360"/>
      </w:pPr>
      <w:rPr>
        <w:rFonts w:ascii="Courier New" w:hAnsi="Courier New" w:hint="default"/>
      </w:rPr>
    </w:lvl>
    <w:lvl w:ilvl="2" w:tplc="A0B27532">
      <w:start w:val="1"/>
      <w:numFmt w:val="bullet"/>
      <w:lvlText w:val=""/>
      <w:lvlJc w:val="left"/>
      <w:pPr>
        <w:ind w:left="2160" w:hanging="360"/>
      </w:pPr>
      <w:rPr>
        <w:rFonts w:ascii="Wingdings" w:hAnsi="Wingdings" w:hint="default"/>
      </w:rPr>
    </w:lvl>
    <w:lvl w:ilvl="3" w:tplc="931290CA">
      <w:start w:val="1"/>
      <w:numFmt w:val="bullet"/>
      <w:lvlText w:val=""/>
      <w:lvlJc w:val="left"/>
      <w:pPr>
        <w:ind w:left="2880" w:hanging="360"/>
      </w:pPr>
      <w:rPr>
        <w:rFonts w:ascii="Symbol" w:hAnsi="Symbol" w:hint="default"/>
      </w:rPr>
    </w:lvl>
    <w:lvl w:ilvl="4" w:tplc="04C0BC88">
      <w:start w:val="1"/>
      <w:numFmt w:val="bullet"/>
      <w:lvlText w:val="o"/>
      <w:lvlJc w:val="left"/>
      <w:pPr>
        <w:ind w:left="3600" w:hanging="360"/>
      </w:pPr>
      <w:rPr>
        <w:rFonts w:ascii="Courier New" w:hAnsi="Courier New" w:hint="default"/>
      </w:rPr>
    </w:lvl>
    <w:lvl w:ilvl="5" w:tplc="673E1266">
      <w:start w:val="1"/>
      <w:numFmt w:val="bullet"/>
      <w:lvlText w:val=""/>
      <w:lvlJc w:val="left"/>
      <w:pPr>
        <w:ind w:left="4320" w:hanging="360"/>
      </w:pPr>
      <w:rPr>
        <w:rFonts w:ascii="Wingdings" w:hAnsi="Wingdings" w:hint="default"/>
      </w:rPr>
    </w:lvl>
    <w:lvl w:ilvl="6" w:tplc="1A385854">
      <w:start w:val="1"/>
      <w:numFmt w:val="bullet"/>
      <w:lvlText w:val=""/>
      <w:lvlJc w:val="left"/>
      <w:pPr>
        <w:ind w:left="5040" w:hanging="360"/>
      </w:pPr>
      <w:rPr>
        <w:rFonts w:ascii="Symbol" w:hAnsi="Symbol" w:hint="default"/>
      </w:rPr>
    </w:lvl>
    <w:lvl w:ilvl="7" w:tplc="2ACE7186">
      <w:start w:val="1"/>
      <w:numFmt w:val="bullet"/>
      <w:lvlText w:val="o"/>
      <w:lvlJc w:val="left"/>
      <w:pPr>
        <w:ind w:left="5760" w:hanging="360"/>
      </w:pPr>
      <w:rPr>
        <w:rFonts w:ascii="Courier New" w:hAnsi="Courier New" w:hint="default"/>
      </w:rPr>
    </w:lvl>
    <w:lvl w:ilvl="8" w:tplc="91028728">
      <w:start w:val="1"/>
      <w:numFmt w:val="bullet"/>
      <w:lvlText w:val=""/>
      <w:lvlJc w:val="left"/>
      <w:pPr>
        <w:ind w:left="6480" w:hanging="360"/>
      </w:pPr>
      <w:rPr>
        <w:rFonts w:ascii="Wingdings" w:hAnsi="Wingdings" w:hint="default"/>
      </w:rPr>
    </w:lvl>
  </w:abstractNum>
  <w:abstractNum w:abstractNumId="8" w15:restartNumberingAfterBreak="0">
    <w:nsid w:val="14135794"/>
    <w:multiLevelType w:val="hybridMultilevel"/>
    <w:tmpl w:val="42D44F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6207E27"/>
    <w:multiLevelType w:val="hybridMultilevel"/>
    <w:tmpl w:val="C65A1674"/>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725F5"/>
    <w:multiLevelType w:val="hybridMultilevel"/>
    <w:tmpl w:val="CE90E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D395BDF"/>
    <w:multiLevelType w:val="hybridMultilevel"/>
    <w:tmpl w:val="D46A8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8F3D5D"/>
    <w:multiLevelType w:val="hybridMultilevel"/>
    <w:tmpl w:val="A1E6832E"/>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6794C"/>
    <w:multiLevelType w:val="hybridMultilevel"/>
    <w:tmpl w:val="DFA67B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FB463F0"/>
    <w:multiLevelType w:val="hybridMultilevel"/>
    <w:tmpl w:val="527A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A68EA"/>
    <w:multiLevelType w:val="hybridMultilevel"/>
    <w:tmpl w:val="6A5E2104"/>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69864"/>
    <w:multiLevelType w:val="hybridMultilevel"/>
    <w:tmpl w:val="FFFFFFFF"/>
    <w:lvl w:ilvl="0" w:tplc="0CB02ECE">
      <w:start w:val="1"/>
      <w:numFmt w:val="bullet"/>
      <w:lvlText w:val=""/>
      <w:lvlJc w:val="left"/>
      <w:pPr>
        <w:ind w:left="720" w:hanging="360"/>
      </w:pPr>
      <w:rPr>
        <w:rFonts w:ascii="Symbol" w:hAnsi="Symbol" w:hint="default"/>
      </w:rPr>
    </w:lvl>
    <w:lvl w:ilvl="1" w:tplc="DE6C7F04">
      <w:start w:val="1"/>
      <w:numFmt w:val="bullet"/>
      <w:lvlText w:val="o"/>
      <w:lvlJc w:val="left"/>
      <w:pPr>
        <w:ind w:left="1440" w:hanging="360"/>
      </w:pPr>
      <w:rPr>
        <w:rFonts w:ascii="Courier New" w:hAnsi="Courier New" w:hint="default"/>
      </w:rPr>
    </w:lvl>
    <w:lvl w:ilvl="2" w:tplc="22C08330">
      <w:start w:val="1"/>
      <w:numFmt w:val="bullet"/>
      <w:lvlText w:val=""/>
      <w:lvlJc w:val="left"/>
      <w:pPr>
        <w:ind w:left="2160" w:hanging="360"/>
      </w:pPr>
      <w:rPr>
        <w:rFonts w:ascii="Wingdings" w:hAnsi="Wingdings" w:hint="default"/>
      </w:rPr>
    </w:lvl>
    <w:lvl w:ilvl="3" w:tplc="45B80E8E">
      <w:start w:val="1"/>
      <w:numFmt w:val="bullet"/>
      <w:lvlText w:val=""/>
      <w:lvlJc w:val="left"/>
      <w:pPr>
        <w:ind w:left="2880" w:hanging="360"/>
      </w:pPr>
      <w:rPr>
        <w:rFonts w:ascii="Symbol" w:hAnsi="Symbol" w:hint="default"/>
      </w:rPr>
    </w:lvl>
    <w:lvl w:ilvl="4" w:tplc="C47A020A">
      <w:start w:val="1"/>
      <w:numFmt w:val="bullet"/>
      <w:lvlText w:val="o"/>
      <w:lvlJc w:val="left"/>
      <w:pPr>
        <w:ind w:left="3600" w:hanging="360"/>
      </w:pPr>
      <w:rPr>
        <w:rFonts w:ascii="Courier New" w:hAnsi="Courier New" w:hint="default"/>
      </w:rPr>
    </w:lvl>
    <w:lvl w:ilvl="5" w:tplc="94A2A3E0">
      <w:start w:val="1"/>
      <w:numFmt w:val="bullet"/>
      <w:lvlText w:val=""/>
      <w:lvlJc w:val="left"/>
      <w:pPr>
        <w:ind w:left="4320" w:hanging="360"/>
      </w:pPr>
      <w:rPr>
        <w:rFonts w:ascii="Wingdings" w:hAnsi="Wingdings" w:hint="default"/>
      </w:rPr>
    </w:lvl>
    <w:lvl w:ilvl="6" w:tplc="38E88570">
      <w:start w:val="1"/>
      <w:numFmt w:val="bullet"/>
      <w:lvlText w:val=""/>
      <w:lvlJc w:val="left"/>
      <w:pPr>
        <w:ind w:left="5040" w:hanging="360"/>
      </w:pPr>
      <w:rPr>
        <w:rFonts w:ascii="Symbol" w:hAnsi="Symbol" w:hint="default"/>
      </w:rPr>
    </w:lvl>
    <w:lvl w:ilvl="7" w:tplc="7F601532">
      <w:start w:val="1"/>
      <w:numFmt w:val="bullet"/>
      <w:lvlText w:val="o"/>
      <w:lvlJc w:val="left"/>
      <w:pPr>
        <w:ind w:left="5760" w:hanging="360"/>
      </w:pPr>
      <w:rPr>
        <w:rFonts w:ascii="Courier New" w:hAnsi="Courier New" w:hint="default"/>
      </w:rPr>
    </w:lvl>
    <w:lvl w:ilvl="8" w:tplc="64187C04">
      <w:start w:val="1"/>
      <w:numFmt w:val="bullet"/>
      <w:lvlText w:val=""/>
      <w:lvlJc w:val="left"/>
      <w:pPr>
        <w:ind w:left="6480" w:hanging="360"/>
      </w:pPr>
      <w:rPr>
        <w:rFonts w:ascii="Wingdings" w:hAnsi="Wingdings" w:hint="default"/>
      </w:rPr>
    </w:lvl>
  </w:abstractNum>
  <w:abstractNum w:abstractNumId="17" w15:restartNumberingAfterBreak="0">
    <w:nsid w:val="23BC1F96"/>
    <w:multiLevelType w:val="hybridMultilevel"/>
    <w:tmpl w:val="256CF6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4172C4E"/>
    <w:multiLevelType w:val="hybridMultilevel"/>
    <w:tmpl w:val="2D986E40"/>
    <w:lvl w:ilvl="0" w:tplc="30C438B0">
      <w:numFmt w:val="bullet"/>
      <w:lvlText w:val="•"/>
      <w:lvlJc w:val="left"/>
      <w:pPr>
        <w:ind w:left="1080" w:hanging="72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4BA3D37"/>
    <w:multiLevelType w:val="hybridMultilevel"/>
    <w:tmpl w:val="434402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5555DFA"/>
    <w:multiLevelType w:val="hybridMultilevel"/>
    <w:tmpl w:val="2E4438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8E80BE0"/>
    <w:multiLevelType w:val="hybridMultilevel"/>
    <w:tmpl w:val="6CB4BC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D183B10"/>
    <w:multiLevelType w:val="hybridMultilevel"/>
    <w:tmpl w:val="0710705C"/>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8D158C"/>
    <w:multiLevelType w:val="hybridMultilevel"/>
    <w:tmpl w:val="BE544A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E9F68D3"/>
    <w:multiLevelType w:val="hybridMultilevel"/>
    <w:tmpl w:val="61B03290"/>
    <w:lvl w:ilvl="0" w:tplc="49F0DAE2">
      <w:start w:val="1"/>
      <w:numFmt w:val="bullet"/>
      <w:lvlText w:val=""/>
      <w:lvlJc w:val="left"/>
      <w:pPr>
        <w:ind w:left="720" w:hanging="360"/>
      </w:pPr>
      <w:rPr>
        <w:rFonts w:ascii="Symbol" w:hAnsi="Symbol" w:hint="default"/>
      </w:rPr>
    </w:lvl>
    <w:lvl w:ilvl="1" w:tplc="CF74482E">
      <w:start w:val="1"/>
      <w:numFmt w:val="bullet"/>
      <w:lvlText w:val="o"/>
      <w:lvlJc w:val="left"/>
      <w:pPr>
        <w:ind w:left="1440" w:hanging="360"/>
      </w:pPr>
      <w:rPr>
        <w:rFonts w:ascii="Courier New" w:hAnsi="Courier New" w:hint="default"/>
      </w:rPr>
    </w:lvl>
    <w:lvl w:ilvl="2" w:tplc="90D2373A">
      <w:start w:val="1"/>
      <w:numFmt w:val="bullet"/>
      <w:lvlText w:val=""/>
      <w:lvlJc w:val="left"/>
      <w:pPr>
        <w:ind w:left="2160" w:hanging="360"/>
      </w:pPr>
      <w:rPr>
        <w:rFonts w:ascii="Wingdings" w:hAnsi="Wingdings" w:hint="default"/>
      </w:rPr>
    </w:lvl>
    <w:lvl w:ilvl="3" w:tplc="26EA247E">
      <w:start w:val="1"/>
      <w:numFmt w:val="bullet"/>
      <w:lvlText w:val=""/>
      <w:lvlJc w:val="left"/>
      <w:pPr>
        <w:ind w:left="2880" w:hanging="360"/>
      </w:pPr>
      <w:rPr>
        <w:rFonts w:ascii="Symbol" w:hAnsi="Symbol" w:hint="default"/>
      </w:rPr>
    </w:lvl>
    <w:lvl w:ilvl="4" w:tplc="5A98DB96">
      <w:start w:val="1"/>
      <w:numFmt w:val="bullet"/>
      <w:lvlText w:val="o"/>
      <w:lvlJc w:val="left"/>
      <w:pPr>
        <w:ind w:left="3600" w:hanging="360"/>
      </w:pPr>
      <w:rPr>
        <w:rFonts w:ascii="Courier New" w:hAnsi="Courier New" w:hint="default"/>
      </w:rPr>
    </w:lvl>
    <w:lvl w:ilvl="5" w:tplc="A28EAFB0">
      <w:start w:val="1"/>
      <w:numFmt w:val="bullet"/>
      <w:lvlText w:val=""/>
      <w:lvlJc w:val="left"/>
      <w:pPr>
        <w:ind w:left="4320" w:hanging="360"/>
      </w:pPr>
      <w:rPr>
        <w:rFonts w:ascii="Wingdings" w:hAnsi="Wingdings" w:hint="default"/>
      </w:rPr>
    </w:lvl>
    <w:lvl w:ilvl="6" w:tplc="8EBAE272">
      <w:start w:val="1"/>
      <w:numFmt w:val="bullet"/>
      <w:lvlText w:val=""/>
      <w:lvlJc w:val="left"/>
      <w:pPr>
        <w:ind w:left="5040" w:hanging="360"/>
      </w:pPr>
      <w:rPr>
        <w:rFonts w:ascii="Symbol" w:hAnsi="Symbol" w:hint="default"/>
      </w:rPr>
    </w:lvl>
    <w:lvl w:ilvl="7" w:tplc="D4CC11BE">
      <w:start w:val="1"/>
      <w:numFmt w:val="bullet"/>
      <w:lvlText w:val="o"/>
      <w:lvlJc w:val="left"/>
      <w:pPr>
        <w:ind w:left="5760" w:hanging="360"/>
      </w:pPr>
      <w:rPr>
        <w:rFonts w:ascii="Courier New" w:hAnsi="Courier New" w:hint="default"/>
      </w:rPr>
    </w:lvl>
    <w:lvl w:ilvl="8" w:tplc="F6B29982">
      <w:start w:val="1"/>
      <w:numFmt w:val="bullet"/>
      <w:lvlText w:val=""/>
      <w:lvlJc w:val="left"/>
      <w:pPr>
        <w:ind w:left="6480" w:hanging="360"/>
      </w:pPr>
      <w:rPr>
        <w:rFonts w:ascii="Wingdings" w:hAnsi="Wingdings" w:hint="default"/>
      </w:rPr>
    </w:lvl>
  </w:abstractNum>
  <w:abstractNum w:abstractNumId="25" w15:restartNumberingAfterBreak="0">
    <w:nsid w:val="370D37EC"/>
    <w:multiLevelType w:val="hybridMultilevel"/>
    <w:tmpl w:val="1E32A3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037365B"/>
    <w:multiLevelType w:val="hybridMultilevel"/>
    <w:tmpl w:val="F0DCF110"/>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D5148A"/>
    <w:multiLevelType w:val="hybridMultilevel"/>
    <w:tmpl w:val="546AE532"/>
    <w:lvl w:ilvl="0" w:tplc="44A256EE">
      <w:start w:val="1"/>
      <w:numFmt w:val="bullet"/>
      <w:lvlText w:val=""/>
      <w:lvlJc w:val="left"/>
      <w:pPr>
        <w:ind w:left="720" w:hanging="360"/>
      </w:pPr>
      <w:rPr>
        <w:rFonts w:ascii="Symbol" w:hAnsi="Symbol" w:hint="default"/>
      </w:rPr>
    </w:lvl>
    <w:lvl w:ilvl="1" w:tplc="3DEAB0E0">
      <w:start w:val="1"/>
      <w:numFmt w:val="bullet"/>
      <w:lvlText w:val="o"/>
      <w:lvlJc w:val="left"/>
      <w:pPr>
        <w:ind w:left="1440" w:hanging="360"/>
      </w:pPr>
      <w:rPr>
        <w:rFonts w:ascii="Courier New" w:hAnsi="Courier New" w:hint="default"/>
      </w:rPr>
    </w:lvl>
    <w:lvl w:ilvl="2" w:tplc="1FF0978C">
      <w:start w:val="1"/>
      <w:numFmt w:val="bullet"/>
      <w:lvlText w:val=""/>
      <w:lvlJc w:val="left"/>
      <w:pPr>
        <w:ind w:left="2160" w:hanging="360"/>
      </w:pPr>
      <w:rPr>
        <w:rFonts w:ascii="Wingdings" w:hAnsi="Wingdings" w:hint="default"/>
      </w:rPr>
    </w:lvl>
    <w:lvl w:ilvl="3" w:tplc="4AF86DD8">
      <w:start w:val="1"/>
      <w:numFmt w:val="bullet"/>
      <w:lvlText w:val=""/>
      <w:lvlJc w:val="left"/>
      <w:pPr>
        <w:ind w:left="2880" w:hanging="360"/>
      </w:pPr>
      <w:rPr>
        <w:rFonts w:ascii="Symbol" w:hAnsi="Symbol" w:hint="default"/>
      </w:rPr>
    </w:lvl>
    <w:lvl w:ilvl="4" w:tplc="5BE257C4">
      <w:start w:val="1"/>
      <w:numFmt w:val="bullet"/>
      <w:lvlText w:val="o"/>
      <w:lvlJc w:val="left"/>
      <w:pPr>
        <w:ind w:left="3600" w:hanging="360"/>
      </w:pPr>
      <w:rPr>
        <w:rFonts w:ascii="Courier New" w:hAnsi="Courier New" w:hint="default"/>
      </w:rPr>
    </w:lvl>
    <w:lvl w:ilvl="5" w:tplc="5EBA8DE8">
      <w:start w:val="1"/>
      <w:numFmt w:val="bullet"/>
      <w:lvlText w:val=""/>
      <w:lvlJc w:val="left"/>
      <w:pPr>
        <w:ind w:left="4320" w:hanging="360"/>
      </w:pPr>
      <w:rPr>
        <w:rFonts w:ascii="Wingdings" w:hAnsi="Wingdings" w:hint="default"/>
      </w:rPr>
    </w:lvl>
    <w:lvl w:ilvl="6" w:tplc="A8460116">
      <w:start w:val="1"/>
      <w:numFmt w:val="bullet"/>
      <w:lvlText w:val=""/>
      <w:lvlJc w:val="left"/>
      <w:pPr>
        <w:ind w:left="5040" w:hanging="360"/>
      </w:pPr>
      <w:rPr>
        <w:rFonts w:ascii="Symbol" w:hAnsi="Symbol" w:hint="default"/>
      </w:rPr>
    </w:lvl>
    <w:lvl w:ilvl="7" w:tplc="E5521F16">
      <w:start w:val="1"/>
      <w:numFmt w:val="bullet"/>
      <w:lvlText w:val="o"/>
      <w:lvlJc w:val="left"/>
      <w:pPr>
        <w:ind w:left="5760" w:hanging="360"/>
      </w:pPr>
      <w:rPr>
        <w:rFonts w:ascii="Courier New" w:hAnsi="Courier New" w:hint="default"/>
      </w:rPr>
    </w:lvl>
    <w:lvl w:ilvl="8" w:tplc="F63C0F9E">
      <w:start w:val="1"/>
      <w:numFmt w:val="bullet"/>
      <w:lvlText w:val=""/>
      <w:lvlJc w:val="left"/>
      <w:pPr>
        <w:ind w:left="6480" w:hanging="360"/>
      </w:pPr>
      <w:rPr>
        <w:rFonts w:ascii="Wingdings" w:hAnsi="Wingdings" w:hint="default"/>
      </w:rPr>
    </w:lvl>
  </w:abstractNum>
  <w:abstractNum w:abstractNumId="28" w15:restartNumberingAfterBreak="0">
    <w:nsid w:val="43234998"/>
    <w:multiLevelType w:val="hybridMultilevel"/>
    <w:tmpl w:val="2144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CBDCFF"/>
    <w:multiLevelType w:val="hybridMultilevel"/>
    <w:tmpl w:val="8F4CFA70"/>
    <w:lvl w:ilvl="0" w:tplc="57AE08B0">
      <w:start w:val="1"/>
      <w:numFmt w:val="bullet"/>
      <w:lvlText w:val=""/>
      <w:lvlJc w:val="left"/>
      <w:pPr>
        <w:ind w:left="720" w:hanging="360"/>
      </w:pPr>
      <w:rPr>
        <w:rFonts w:ascii="Symbol" w:hAnsi="Symbol" w:hint="default"/>
      </w:rPr>
    </w:lvl>
    <w:lvl w:ilvl="1" w:tplc="C1EE3EE0">
      <w:start w:val="1"/>
      <w:numFmt w:val="bullet"/>
      <w:lvlText w:val="o"/>
      <w:lvlJc w:val="left"/>
      <w:pPr>
        <w:ind w:left="1440" w:hanging="360"/>
      </w:pPr>
      <w:rPr>
        <w:rFonts w:ascii="Courier New" w:hAnsi="Courier New" w:hint="default"/>
      </w:rPr>
    </w:lvl>
    <w:lvl w:ilvl="2" w:tplc="9028FAEA">
      <w:start w:val="1"/>
      <w:numFmt w:val="bullet"/>
      <w:lvlText w:val=""/>
      <w:lvlJc w:val="left"/>
      <w:pPr>
        <w:ind w:left="2160" w:hanging="360"/>
      </w:pPr>
      <w:rPr>
        <w:rFonts w:ascii="Wingdings" w:hAnsi="Wingdings" w:hint="default"/>
      </w:rPr>
    </w:lvl>
    <w:lvl w:ilvl="3" w:tplc="AF3C2064">
      <w:start w:val="1"/>
      <w:numFmt w:val="bullet"/>
      <w:lvlText w:val=""/>
      <w:lvlJc w:val="left"/>
      <w:pPr>
        <w:ind w:left="2880" w:hanging="360"/>
      </w:pPr>
      <w:rPr>
        <w:rFonts w:ascii="Symbol" w:hAnsi="Symbol" w:hint="default"/>
      </w:rPr>
    </w:lvl>
    <w:lvl w:ilvl="4" w:tplc="1F16F40A">
      <w:start w:val="1"/>
      <w:numFmt w:val="bullet"/>
      <w:lvlText w:val="o"/>
      <w:lvlJc w:val="left"/>
      <w:pPr>
        <w:ind w:left="3600" w:hanging="360"/>
      </w:pPr>
      <w:rPr>
        <w:rFonts w:ascii="Courier New" w:hAnsi="Courier New" w:hint="default"/>
      </w:rPr>
    </w:lvl>
    <w:lvl w:ilvl="5" w:tplc="DD5A408C">
      <w:start w:val="1"/>
      <w:numFmt w:val="bullet"/>
      <w:lvlText w:val=""/>
      <w:lvlJc w:val="left"/>
      <w:pPr>
        <w:ind w:left="4320" w:hanging="360"/>
      </w:pPr>
      <w:rPr>
        <w:rFonts w:ascii="Wingdings" w:hAnsi="Wingdings" w:hint="default"/>
      </w:rPr>
    </w:lvl>
    <w:lvl w:ilvl="6" w:tplc="9ED86000">
      <w:start w:val="1"/>
      <w:numFmt w:val="bullet"/>
      <w:lvlText w:val=""/>
      <w:lvlJc w:val="left"/>
      <w:pPr>
        <w:ind w:left="5040" w:hanging="360"/>
      </w:pPr>
      <w:rPr>
        <w:rFonts w:ascii="Symbol" w:hAnsi="Symbol" w:hint="default"/>
      </w:rPr>
    </w:lvl>
    <w:lvl w:ilvl="7" w:tplc="411C38EA">
      <w:start w:val="1"/>
      <w:numFmt w:val="bullet"/>
      <w:lvlText w:val="o"/>
      <w:lvlJc w:val="left"/>
      <w:pPr>
        <w:ind w:left="5760" w:hanging="360"/>
      </w:pPr>
      <w:rPr>
        <w:rFonts w:ascii="Courier New" w:hAnsi="Courier New" w:hint="default"/>
      </w:rPr>
    </w:lvl>
    <w:lvl w:ilvl="8" w:tplc="CCE6203E">
      <w:start w:val="1"/>
      <w:numFmt w:val="bullet"/>
      <w:lvlText w:val=""/>
      <w:lvlJc w:val="left"/>
      <w:pPr>
        <w:ind w:left="6480" w:hanging="360"/>
      </w:pPr>
      <w:rPr>
        <w:rFonts w:ascii="Wingdings" w:hAnsi="Wingdings" w:hint="default"/>
      </w:rPr>
    </w:lvl>
  </w:abstractNum>
  <w:abstractNum w:abstractNumId="30" w15:restartNumberingAfterBreak="0">
    <w:nsid w:val="471E15E4"/>
    <w:multiLevelType w:val="hybridMultilevel"/>
    <w:tmpl w:val="127ECDB2"/>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F069A"/>
    <w:multiLevelType w:val="hybridMultilevel"/>
    <w:tmpl w:val="ED0A590A"/>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4A4385"/>
    <w:multiLevelType w:val="hybridMultilevel"/>
    <w:tmpl w:val="04FC8106"/>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FA2687"/>
    <w:multiLevelType w:val="hybridMultilevel"/>
    <w:tmpl w:val="8584B0F0"/>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542309"/>
    <w:multiLevelType w:val="hybridMultilevel"/>
    <w:tmpl w:val="7B04D9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C4DBB6C"/>
    <w:multiLevelType w:val="hybridMultilevel"/>
    <w:tmpl w:val="BD76DC58"/>
    <w:lvl w:ilvl="0" w:tplc="BE2C0D52">
      <w:start w:val="1"/>
      <w:numFmt w:val="bullet"/>
      <w:lvlText w:val=""/>
      <w:lvlJc w:val="left"/>
      <w:pPr>
        <w:ind w:left="720" w:hanging="360"/>
      </w:pPr>
      <w:rPr>
        <w:rFonts w:ascii="Symbol" w:hAnsi="Symbol" w:hint="default"/>
      </w:rPr>
    </w:lvl>
    <w:lvl w:ilvl="1" w:tplc="40CE6B6C">
      <w:start w:val="1"/>
      <w:numFmt w:val="bullet"/>
      <w:lvlText w:val="o"/>
      <w:lvlJc w:val="left"/>
      <w:pPr>
        <w:ind w:left="1440" w:hanging="360"/>
      </w:pPr>
      <w:rPr>
        <w:rFonts w:ascii="Courier New" w:hAnsi="Courier New" w:hint="default"/>
      </w:rPr>
    </w:lvl>
    <w:lvl w:ilvl="2" w:tplc="819CC5D8">
      <w:start w:val="1"/>
      <w:numFmt w:val="bullet"/>
      <w:lvlText w:val=""/>
      <w:lvlJc w:val="left"/>
      <w:pPr>
        <w:ind w:left="2160" w:hanging="360"/>
      </w:pPr>
      <w:rPr>
        <w:rFonts w:ascii="Wingdings" w:hAnsi="Wingdings" w:hint="default"/>
      </w:rPr>
    </w:lvl>
    <w:lvl w:ilvl="3" w:tplc="A4F01ACE">
      <w:start w:val="1"/>
      <w:numFmt w:val="bullet"/>
      <w:lvlText w:val=""/>
      <w:lvlJc w:val="left"/>
      <w:pPr>
        <w:ind w:left="2880" w:hanging="360"/>
      </w:pPr>
      <w:rPr>
        <w:rFonts w:ascii="Symbol" w:hAnsi="Symbol" w:hint="default"/>
      </w:rPr>
    </w:lvl>
    <w:lvl w:ilvl="4" w:tplc="9FAC274E">
      <w:start w:val="1"/>
      <w:numFmt w:val="bullet"/>
      <w:lvlText w:val="o"/>
      <w:lvlJc w:val="left"/>
      <w:pPr>
        <w:ind w:left="3600" w:hanging="360"/>
      </w:pPr>
      <w:rPr>
        <w:rFonts w:ascii="Courier New" w:hAnsi="Courier New" w:hint="default"/>
      </w:rPr>
    </w:lvl>
    <w:lvl w:ilvl="5" w:tplc="69ECF6DA">
      <w:start w:val="1"/>
      <w:numFmt w:val="bullet"/>
      <w:lvlText w:val=""/>
      <w:lvlJc w:val="left"/>
      <w:pPr>
        <w:ind w:left="4320" w:hanging="360"/>
      </w:pPr>
      <w:rPr>
        <w:rFonts w:ascii="Wingdings" w:hAnsi="Wingdings" w:hint="default"/>
      </w:rPr>
    </w:lvl>
    <w:lvl w:ilvl="6" w:tplc="C33A069A">
      <w:start w:val="1"/>
      <w:numFmt w:val="bullet"/>
      <w:lvlText w:val=""/>
      <w:lvlJc w:val="left"/>
      <w:pPr>
        <w:ind w:left="5040" w:hanging="360"/>
      </w:pPr>
      <w:rPr>
        <w:rFonts w:ascii="Symbol" w:hAnsi="Symbol" w:hint="default"/>
      </w:rPr>
    </w:lvl>
    <w:lvl w:ilvl="7" w:tplc="C2E2EC4E">
      <w:start w:val="1"/>
      <w:numFmt w:val="bullet"/>
      <w:lvlText w:val="o"/>
      <w:lvlJc w:val="left"/>
      <w:pPr>
        <w:ind w:left="5760" w:hanging="360"/>
      </w:pPr>
      <w:rPr>
        <w:rFonts w:ascii="Courier New" w:hAnsi="Courier New" w:hint="default"/>
      </w:rPr>
    </w:lvl>
    <w:lvl w:ilvl="8" w:tplc="2D6E41B6">
      <w:start w:val="1"/>
      <w:numFmt w:val="bullet"/>
      <w:lvlText w:val=""/>
      <w:lvlJc w:val="left"/>
      <w:pPr>
        <w:ind w:left="6480" w:hanging="360"/>
      </w:pPr>
      <w:rPr>
        <w:rFonts w:ascii="Wingdings" w:hAnsi="Wingdings" w:hint="default"/>
      </w:rPr>
    </w:lvl>
  </w:abstractNum>
  <w:abstractNum w:abstractNumId="36" w15:restartNumberingAfterBreak="0">
    <w:nsid w:val="4DD23998"/>
    <w:multiLevelType w:val="hybridMultilevel"/>
    <w:tmpl w:val="5D02A4F2"/>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B78AE1"/>
    <w:multiLevelType w:val="hybridMultilevel"/>
    <w:tmpl w:val="40D80E38"/>
    <w:lvl w:ilvl="0" w:tplc="0074E054">
      <w:start w:val="1"/>
      <w:numFmt w:val="bullet"/>
      <w:lvlText w:val=""/>
      <w:lvlJc w:val="left"/>
      <w:pPr>
        <w:ind w:left="720" w:hanging="360"/>
      </w:pPr>
      <w:rPr>
        <w:rFonts w:ascii="Symbol" w:hAnsi="Symbol" w:hint="default"/>
      </w:rPr>
    </w:lvl>
    <w:lvl w:ilvl="1" w:tplc="917E0E82">
      <w:start w:val="1"/>
      <w:numFmt w:val="bullet"/>
      <w:lvlText w:val="o"/>
      <w:lvlJc w:val="left"/>
      <w:pPr>
        <w:ind w:left="1440" w:hanging="360"/>
      </w:pPr>
      <w:rPr>
        <w:rFonts w:ascii="Courier New" w:hAnsi="Courier New" w:hint="default"/>
      </w:rPr>
    </w:lvl>
    <w:lvl w:ilvl="2" w:tplc="EAB82F82">
      <w:start w:val="1"/>
      <w:numFmt w:val="bullet"/>
      <w:lvlText w:val=""/>
      <w:lvlJc w:val="left"/>
      <w:pPr>
        <w:ind w:left="2160" w:hanging="360"/>
      </w:pPr>
      <w:rPr>
        <w:rFonts w:ascii="Wingdings" w:hAnsi="Wingdings" w:hint="default"/>
      </w:rPr>
    </w:lvl>
    <w:lvl w:ilvl="3" w:tplc="D4F66270">
      <w:start w:val="1"/>
      <w:numFmt w:val="bullet"/>
      <w:lvlText w:val=""/>
      <w:lvlJc w:val="left"/>
      <w:pPr>
        <w:ind w:left="2880" w:hanging="360"/>
      </w:pPr>
      <w:rPr>
        <w:rFonts w:ascii="Symbol" w:hAnsi="Symbol" w:hint="default"/>
      </w:rPr>
    </w:lvl>
    <w:lvl w:ilvl="4" w:tplc="C1A093A8">
      <w:start w:val="1"/>
      <w:numFmt w:val="bullet"/>
      <w:lvlText w:val="o"/>
      <w:lvlJc w:val="left"/>
      <w:pPr>
        <w:ind w:left="3600" w:hanging="360"/>
      </w:pPr>
      <w:rPr>
        <w:rFonts w:ascii="Courier New" w:hAnsi="Courier New" w:hint="default"/>
      </w:rPr>
    </w:lvl>
    <w:lvl w:ilvl="5" w:tplc="2A1A6F48">
      <w:start w:val="1"/>
      <w:numFmt w:val="bullet"/>
      <w:lvlText w:val=""/>
      <w:lvlJc w:val="left"/>
      <w:pPr>
        <w:ind w:left="4320" w:hanging="360"/>
      </w:pPr>
      <w:rPr>
        <w:rFonts w:ascii="Wingdings" w:hAnsi="Wingdings" w:hint="default"/>
      </w:rPr>
    </w:lvl>
    <w:lvl w:ilvl="6" w:tplc="937EF482">
      <w:start w:val="1"/>
      <w:numFmt w:val="bullet"/>
      <w:lvlText w:val=""/>
      <w:lvlJc w:val="left"/>
      <w:pPr>
        <w:ind w:left="5040" w:hanging="360"/>
      </w:pPr>
      <w:rPr>
        <w:rFonts w:ascii="Symbol" w:hAnsi="Symbol" w:hint="default"/>
      </w:rPr>
    </w:lvl>
    <w:lvl w:ilvl="7" w:tplc="BB9842B0">
      <w:start w:val="1"/>
      <w:numFmt w:val="bullet"/>
      <w:lvlText w:val="o"/>
      <w:lvlJc w:val="left"/>
      <w:pPr>
        <w:ind w:left="5760" w:hanging="360"/>
      </w:pPr>
      <w:rPr>
        <w:rFonts w:ascii="Courier New" w:hAnsi="Courier New" w:hint="default"/>
      </w:rPr>
    </w:lvl>
    <w:lvl w:ilvl="8" w:tplc="C1405408">
      <w:start w:val="1"/>
      <w:numFmt w:val="bullet"/>
      <w:lvlText w:val=""/>
      <w:lvlJc w:val="left"/>
      <w:pPr>
        <w:ind w:left="6480" w:hanging="360"/>
      </w:pPr>
      <w:rPr>
        <w:rFonts w:ascii="Wingdings" w:hAnsi="Wingdings" w:hint="default"/>
      </w:rPr>
    </w:lvl>
  </w:abstractNum>
  <w:abstractNum w:abstractNumId="38" w15:restartNumberingAfterBreak="0">
    <w:nsid w:val="535A6A6D"/>
    <w:multiLevelType w:val="hybridMultilevel"/>
    <w:tmpl w:val="2BC0E3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473204"/>
    <w:multiLevelType w:val="hybridMultilevel"/>
    <w:tmpl w:val="113A4AD2"/>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F7A18"/>
    <w:multiLevelType w:val="hybridMultilevel"/>
    <w:tmpl w:val="7914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C541DD"/>
    <w:multiLevelType w:val="hybridMultilevel"/>
    <w:tmpl w:val="073C0D98"/>
    <w:lvl w:ilvl="0" w:tplc="FFFFFFFF">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3877E34"/>
    <w:multiLevelType w:val="hybridMultilevel"/>
    <w:tmpl w:val="289060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5B76BD9"/>
    <w:multiLevelType w:val="hybridMultilevel"/>
    <w:tmpl w:val="42BE022A"/>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0507A6"/>
    <w:multiLevelType w:val="hybridMultilevel"/>
    <w:tmpl w:val="AD5C47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6342659"/>
    <w:multiLevelType w:val="hybridMultilevel"/>
    <w:tmpl w:val="BBECF568"/>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0B471A"/>
    <w:multiLevelType w:val="hybridMultilevel"/>
    <w:tmpl w:val="067A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C9319D"/>
    <w:multiLevelType w:val="hybridMultilevel"/>
    <w:tmpl w:val="2EB898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699831DC"/>
    <w:multiLevelType w:val="hybridMultilevel"/>
    <w:tmpl w:val="DEE21B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BF74027"/>
    <w:multiLevelType w:val="hybridMultilevel"/>
    <w:tmpl w:val="C3620A3A"/>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710CC2"/>
    <w:multiLevelType w:val="hybridMultilevel"/>
    <w:tmpl w:val="53007996"/>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8E08D9"/>
    <w:multiLevelType w:val="hybridMultilevel"/>
    <w:tmpl w:val="5AFE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DB06D9"/>
    <w:multiLevelType w:val="hybridMultilevel"/>
    <w:tmpl w:val="AF40CF72"/>
    <w:lvl w:ilvl="0" w:tplc="0074E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A71286"/>
    <w:multiLevelType w:val="hybridMultilevel"/>
    <w:tmpl w:val="C240AD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71BF7EDD"/>
    <w:multiLevelType w:val="hybridMultilevel"/>
    <w:tmpl w:val="492EE9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783416A1"/>
    <w:multiLevelType w:val="hybridMultilevel"/>
    <w:tmpl w:val="73F4CBC0"/>
    <w:lvl w:ilvl="0" w:tplc="1416E34A">
      <w:start w:val="1"/>
      <w:numFmt w:val="bullet"/>
      <w:lvlText w:val=""/>
      <w:lvlJc w:val="left"/>
      <w:pPr>
        <w:ind w:left="720" w:hanging="360"/>
      </w:pPr>
      <w:rPr>
        <w:rFonts w:ascii="Symbol" w:hAnsi="Symbol" w:hint="default"/>
      </w:rPr>
    </w:lvl>
    <w:lvl w:ilvl="1" w:tplc="24D6B344">
      <w:start w:val="1"/>
      <w:numFmt w:val="bullet"/>
      <w:lvlText w:val="o"/>
      <w:lvlJc w:val="left"/>
      <w:pPr>
        <w:ind w:left="1440" w:hanging="360"/>
      </w:pPr>
      <w:rPr>
        <w:rFonts w:ascii="Courier New" w:hAnsi="Courier New" w:hint="default"/>
      </w:rPr>
    </w:lvl>
    <w:lvl w:ilvl="2" w:tplc="AF92E35A">
      <w:start w:val="1"/>
      <w:numFmt w:val="bullet"/>
      <w:lvlText w:val=""/>
      <w:lvlJc w:val="left"/>
      <w:pPr>
        <w:ind w:left="2160" w:hanging="360"/>
      </w:pPr>
      <w:rPr>
        <w:rFonts w:ascii="Wingdings" w:hAnsi="Wingdings" w:hint="default"/>
      </w:rPr>
    </w:lvl>
    <w:lvl w:ilvl="3" w:tplc="78386328">
      <w:start w:val="1"/>
      <w:numFmt w:val="bullet"/>
      <w:lvlText w:val=""/>
      <w:lvlJc w:val="left"/>
      <w:pPr>
        <w:ind w:left="2880" w:hanging="360"/>
      </w:pPr>
      <w:rPr>
        <w:rFonts w:ascii="Symbol" w:hAnsi="Symbol" w:hint="default"/>
      </w:rPr>
    </w:lvl>
    <w:lvl w:ilvl="4" w:tplc="6CECFB0C">
      <w:start w:val="1"/>
      <w:numFmt w:val="bullet"/>
      <w:lvlText w:val="o"/>
      <w:lvlJc w:val="left"/>
      <w:pPr>
        <w:ind w:left="3600" w:hanging="360"/>
      </w:pPr>
      <w:rPr>
        <w:rFonts w:ascii="Courier New" w:hAnsi="Courier New" w:hint="default"/>
      </w:rPr>
    </w:lvl>
    <w:lvl w:ilvl="5" w:tplc="879A9D88">
      <w:start w:val="1"/>
      <w:numFmt w:val="bullet"/>
      <w:lvlText w:val=""/>
      <w:lvlJc w:val="left"/>
      <w:pPr>
        <w:ind w:left="4320" w:hanging="360"/>
      </w:pPr>
      <w:rPr>
        <w:rFonts w:ascii="Wingdings" w:hAnsi="Wingdings" w:hint="default"/>
      </w:rPr>
    </w:lvl>
    <w:lvl w:ilvl="6" w:tplc="161A4DF0">
      <w:start w:val="1"/>
      <w:numFmt w:val="bullet"/>
      <w:lvlText w:val=""/>
      <w:lvlJc w:val="left"/>
      <w:pPr>
        <w:ind w:left="5040" w:hanging="360"/>
      </w:pPr>
      <w:rPr>
        <w:rFonts w:ascii="Symbol" w:hAnsi="Symbol" w:hint="default"/>
      </w:rPr>
    </w:lvl>
    <w:lvl w:ilvl="7" w:tplc="69A09466">
      <w:start w:val="1"/>
      <w:numFmt w:val="bullet"/>
      <w:lvlText w:val="o"/>
      <w:lvlJc w:val="left"/>
      <w:pPr>
        <w:ind w:left="5760" w:hanging="360"/>
      </w:pPr>
      <w:rPr>
        <w:rFonts w:ascii="Courier New" w:hAnsi="Courier New" w:hint="default"/>
      </w:rPr>
    </w:lvl>
    <w:lvl w:ilvl="8" w:tplc="79DC6E84">
      <w:start w:val="1"/>
      <w:numFmt w:val="bullet"/>
      <w:lvlText w:val=""/>
      <w:lvlJc w:val="left"/>
      <w:pPr>
        <w:ind w:left="6480" w:hanging="360"/>
      </w:pPr>
      <w:rPr>
        <w:rFonts w:ascii="Wingdings" w:hAnsi="Wingdings" w:hint="default"/>
      </w:rPr>
    </w:lvl>
  </w:abstractNum>
  <w:abstractNum w:abstractNumId="56" w15:restartNumberingAfterBreak="0">
    <w:nsid w:val="7C384B41"/>
    <w:multiLevelType w:val="hybridMultilevel"/>
    <w:tmpl w:val="667037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C800CFC"/>
    <w:multiLevelType w:val="hybridMultilevel"/>
    <w:tmpl w:val="823A65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E8640B0"/>
    <w:multiLevelType w:val="hybridMultilevel"/>
    <w:tmpl w:val="CD84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759198">
    <w:abstractNumId w:val="24"/>
  </w:num>
  <w:num w:numId="2" w16cid:durableId="2043436267">
    <w:abstractNumId w:val="29"/>
  </w:num>
  <w:num w:numId="3" w16cid:durableId="2084838066">
    <w:abstractNumId w:val="35"/>
  </w:num>
  <w:num w:numId="4" w16cid:durableId="2114589161">
    <w:abstractNumId w:val="55"/>
  </w:num>
  <w:num w:numId="5" w16cid:durableId="573516413">
    <w:abstractNumId w:val="27"/>
  </w:num>
  <w:num w:numId="6" w16cid:durableId="879829426">
    <w:abstractNumId w:val="7"/>
  </w:num>
  <w:num w:numId="7" w16cid:durableId="1543127090">
    <w:abstractNumId w:val="3"/>
  </w:num>
  <w:num w:numId="8" w16cid:durableId="2097556265">
    <w:abstractNumId w:val="16"/>
  </w:num>
  <w:num w:numId="9" w16cid:durableId="1186555794">
    <w:abstractNumId w:val="37"/>
  </w:num>
  <w:num w:numId="10" w16cid:durableId="1746029173">
    <w:abstractNumId w:val="19"/>
  </w:num>
  <w:num w:numId="11" w16cid:durableId="316105771">
    <w:abstractNumId w:val="13"/>
  </w:num>
  <w:num w:numId="12" w16cid:durableId="1164471872">
    <w:abstractNumId w:val="42"/>
  </w:num>
  <w:num w:numId="13" w16cid:durableId="942766971">
    <w:abstractNumId w:val="0"/>
  </w:num>
  <w:num w:numId="14" w16cid:durableId="2138404638">
    <w:abstractNumId w:val="8"/>
  </w:num>
  <w:num w:numId="15" w16cid:durableId="2110814565">
    <w:abstractNumId w:val="57"/>
  </w:num>
  <w:num w:numId="16" w16cid:durableId="1952593273">
    <w:abstractNumId w:val="20"/>
  </w:num>
  <w:num w:numId="17" w16cid:durableId="528420265">
    <w:abstractNumId w:val="34"/>
  </w:num>
  <w:num w:numId="18" w16cid:durableId="919562078">
    <w:abstractNumId w:val="41"/>
  </w:num>
  <w:num w:numId="19" w16cid:durableId="1494686895">
    <w:abstractNumId w:val="18"/>
  </w:num>
  <w:num w:numId="20" w16cid:durableId="592055768">
    <w:abstractNumId w:val="25"/>
  </w:num>
  <w:num w:numId="21" w16cid:durableId="1967815580">
    <w:abstractNumId w:val="44"/>
  </w:num>
  <w:num w:numId="22" w16cid:durableId="243682224">
    <w:abstractNumId w:val="47"/>
  </w:num>
  <w:num w:numId="23" w16cid:durableId="67926751">
    <w:abstractNumId w:val="10"/>
  </w:num>
  <w:num w:numId="24" w16cid:durableId="462889298">
    <w:abstractNumId w:val="56"/>
  </w:num>
  <w:num w:numId="25" w16cid:durableId="270018881">
    <w:abstractNumId w:val="48"/>
  </w:num>
  <w:num w:numId="26" w16cid:durableId="212620025">
    <w:abstractNumId w:val="53"/>
  </w:num>
  <w:num w:numId="27" w16cid:durableId="170460729">
    <w:abstractNumId w:val="54"/>
  </w:num>
  <w:num w:numId="28" w16cid:durableId="709958975">
    <w:abstractNumId w:val="17"/>
  </w:num>
  <w:num w:numId="29" w16cid:durableId="1255554723">
    <w:abstractNumId w:val="23"/>
  </w:num>
  <w:num w:numId="30" w16cid:durableId="108863643">
    <w:abstractNumId w:val="5"/>
  </w:num>
  <w:num w:numId="31" w16cid:durableId="1211305651">
    <w:abstractNumId w:val="21"/>
  </w:num>
  <w:num w:numId="32" w16cid:durableId="1246915392">
    <w:abstractNumId w:val="38"/>
  </w:num>
  <w:num w:numId="33" w16cid:durableId="1430539928">
    <w:abstractNumId w:val="11"/>
  </w:num>
  <w:num w:numId="34" w16cid:durableId="1717267939">
    <w:abstractNumId w:val="2"/>
  </w:num>
  <w:num w:numId="35" w16cid:durableId="603926149">
    <w:abstractNumId w:val="40"/>
  </w:num>
  <w:num w:numId="36" w16cid:durableId="557589090">
    <w:abstractNumId w:val="28"/>
  </w:num>
  <w:num w:numId="37" w16cid:durableId="901719755">
    <w:abstractNumId w:val="51"/>
  </w:num>
  <w:num w:numId="38" w16cid:durableId="561870301">
    <w:abstractNumId w:val="58"/>
  </w:num>
  <w:num w:numId="39" w16cid:durableId="2007515849">
    <w:abstractNumId w:val="46"/>
  </w:num>
  <w:num w:numId="40" w16cid:durableId="834762703">
    <w:abstractNumId w:val="14"/>
  </w:num>
  <w:num w:numId="41" w16cid:durableId="336034273">
    <w:abstractNumId w:val="1"/>
  </w:num>
  <w:num w:numId="42" w16cid:durableId="1069425901">
    <w:abstractNumId w:val="36"/>
  </w:num>
  <w:num w:numId="43" w16cid:durableId="1540046144">
    <w:abstractNumId w:val="4"/>
  </w:num>
  <w:num w:numId="44" w16cid:durableId="537550157">
    <w:abstractNumId w:val="6"/>
  </w:num>
  <w:num w:numId="45" w16cid:durableId="594828445">
    <w:abstractNumId w:val="31"/>
  </w:num>
  <w:num w:numId="46" w16cid:durableId="1519390128">
    <w:abstractNumId w:val="32"/>
  </w:num>
  <w:num w:numId="47" w16cid:durableId="106197205">
    <w:abstractNumId w:val="45"/>
  </w:num>
  <w:num w:numId="48" w16cid:durableId="1532378908">
    <w:abstractNumId w:val="43"/>
  </w:num>
  <w:num w:numId="49" w16cid:durableId="2018077798">
    <w:abstractNumId w:val="30"/>
  </w:num>
  <w:num w:numId="50" w16cid:durableId="1522624339">
    <w:abstractNumId w:val="12"/>
  </w:num>
  <w:num w:numId="51" w16cid:durableId="733285274">
    <w:abstractNumId w:val="33"/>
  </w:num>
  <w:num w:numId="52" w16cid:durableId="236019842">
    <w:abstractNumId w:val="22"/>
  </w:num>
  <w:num w:numId="53" w16cid:durableId="226693591">
    <w:abstractNumId w:val="9"/>
  </w:num>
  <w:num w:numId="54" w16cid:durableId="591161146">
    <w:abstractNumId w:val="39"/>
  </w:num>
  <w:num w:numId="55" w16cid:durableId="2136749762">
    <w:abstractNumId w:val="49"/>
  </w:num>
  <w:num w:numId="56" w16cid:durableId="463352171">
    <w:abstractNumId w:val="15"/>
  </w:num>
  <w:num w:numId="57" w16cid:durableId="840631615">
    <w:abstractNumId w:val="50"/>
  </w:num>
  <w:num w:numId="58" w16cid:durableId="1686901817">
    <w:abstractNumId w:val="52"/>
  </w:num>
  <w:num w:numId="59" w16cid:durableId="3171255">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2F12FF-2018-45FE-8109-30C0AED70207}"/>
    <w:docVar w:name="dgnword-eventsink" w:val="2399687183216"/>
  </w:docVars>
  <w:rsids>
    <w:rsidRoot w:val="00A8410F"/>
    <w:rsid w:val="000002EA"/>
    <w:rsid w:val="000016B0"/>
    <w:rsid w:val="000023CD"/>
    <w:rsid w:val="00002939"/>
    <w:rsid w:val="00004824"/>
    <w:rsid w:val="00004C7A"/>
    <w:rsid w:val="00005FC6"/>
    <w:rsid w:val="0000674B"/>
    <w:rsid w:val="00006B64"/>
    <w:rsid w:val="00007045"/>
    <w:rsid w:val="00010553"/>
    <w:rsid w:val="0001325C"/>
    <w:rsid w:val="0001431F"/>
    <w:rsid w:val="00015982"/>
    <w:rsid w:val="00015D80"/>
    <w:rsid w:val="00016558"/>
    <w:rsid w:val="00016AB2"/>
    <w:rsid w:val="00016D1E"/>
    <w:rsid w:val="0001724E"/>
    <w:rsid w:val="0001760E"/>
    <w:rsid w:val="00017C2A"/>
    <w:rsid w:val="00021825"/>
    <w:rsid w:val="00021951"/>
    <w:rsid w:val="00021A70"/>
    <w:rsid w:val="00022057"/>
    <w:rsid w:val="0002248B"/>
    <w:rsid w:val="00022F0B"/>
    <w:rsid w:val="0002349D"/>
    <w:rsid w:val="000239B1"/>
    <w:rsid w:val="000259B6"/>
    <w:rsid w:val="00026183"/>
    <w:rsid w:val="000277A5"/>
    <w:rsid w:val="00027D99"/>
    <w:rsid w:val="0003164B"/>
    <w:rsid w:val="00031A7A"/>
    <w:rsid w:val="00031E20"/>
    <w:rsid w:val="00032188"/>
    <w:rsid w:val="00033192"/>
    <w:rsid w:val="000332AF"/>
    <w:rsid w:val="00034B0E"/>
    <w:rsid w:val="00035564"/>
    <w:rsid w:val="00036ECC"/>
    <w:rsid w:val="00037372"/>
    <w:rsid w:val="0003748B"/>
    <w:rsid w:val="000374A0"/>
    <w:rsid w:val="00037873"/>
    <w:rsid w:val="00040AEB"/>
    <w:rsid w:val="00040D06"/>
    <w:rsid w:val="00040D7B"/>
    <w:rsid w:val="00042AC1"/>
    <w:rsid w:val="00043204"/>
    <w:rsid w:val="000433BE"/>
    <w:rsid w:val="000435EB"/>
    <w:rsid w:val="00043824"/>
    <w:rsid w:val="00043877"/>
    <w:rsid w:val="00043883"/>
    <w:rsid w:val="0004453E"/>
    <w:rsid w:val="000463AF"/>
    <w:rsid w:val="00046423"/>
    <w:rsid w:val="00046ACA"/>
    <w:rsid w:val="000473D7"/>
    <w:rsid w:val="00050CE9"/>
    <w:rsid w:val="00050EF8"/>
    <w:rsid w:val="00051989"/>
    <w:rsid w:val="00051EAA"/>
    <w:rsid w:val="00051F84"/>
    <w:rsid w:val="00052355"/>
    <w:rsid w:val="000525DC"/>
    <w:rsid w:val="000525F6"/>
    <w:rsid w:val="00052CC5"/>
    <w:rsid w:val="00052E17"/>
    <w:rsid w:val="00053C92"/>
    <w:rsid w:val="00053DD2"/>
    <w:rsid w:val="00054281"/>
    <w:rsid w:val="0005437F"/>
    <w:rsid w:val="000545B1"/>
    <w:rsid w:val="00054AE8"/>
    <w:rsid w:val="00054C22"/>
    <w:rsid w:val="00054D5A"/>
    <w:rsid w:val="000557C1"/>
    <w:rsid w:val="00055F2F"/>
    <w:rsid w:val="00056124"/>
    <w:rsid w:val="0005690A"/>
    <w:rsid w:val="0005791A"/>
    <w:rsid w:val="000606B5"/>
    <w:rsid w:val="00060CF7"/>
    <w:rsid w:val="00061757"/>
    <w:rsid w:val="0006316D"/>
    <w:rsid w:val="00063F28"/>
    <w:rsid w:val="0006431B"/>
    <w:rsid w:val="0006452E"/>
    <w:rsid w:val="00064AF4"/>
    <w:rsid w:val="00064DE9"/>
    <w:rsid w:val="000653A8"/>
    <w:rsid w:val="00065BE1"/>
    <w:rsid w:val="00067667"/>
    <w:rsid w:val="00067E8F"/>
    <w:rsid w:val="00071F92"/>
    <w:rsid w:val="00071FA3"/>
    <w:rsid w:val="0007234A"/>
    <w:rsid w:val="0007395E"/>
    <w:rsid w:val="000746B6"/>
    <w:rsid w:val="00074CE0"/>
    <w:rsid w:val="0007568A"/>
    <w:rsid w:val="00076151"/>
    <w:rsid w:val="000761AB"/>
    <w:rsid w:val="00076254"/>
    <w:rsid w:val="00076EDD"/>
    <w:rsid w:val="0007700D"/>
    <w:rsid w:val="00077505"/>
    <w:rsid w:val="000777C6"/>
    <w:rsid w:val="00081182"/>
    <w:rsid w:val="00081E86"/>
    <w:rsid w:val="0008411F"/>
    <w:rsid w:val="0008516E"/>
    <w:rsid w:val="00085A77"/>
    <w:rsid w:val="00085D67"/>
    <w:rsid w:val="00087770"/>
    <w:rsid w:val="0009014E"/>
    <w:rsid w:val="000903E0"/>
    <w:rsid w:val="00090583"/>
    <w:rsid w:val="000905A5"/>
    <w:rsid w:val="00090C53"/>
    <w:rsid w:val="00090D83"/>
    <w:rsid w:val="00091ECD"/>
    <w:rsid w:val="00092BB6"/>
    <w:rsid w:val="00094126"/>
    <w:rsid w:val="00094614"/>
    <w:rsid w:val="00094F68"/>
    <w:rsid w:val="0009543D"/>
    <w:rsid w:val="000973D1"/>
    <w:rsid w:val="000A0652"/>
    <w:rsid w:val="000A07EF"/>
    <w:rsid w:val="000A0A9B"/>
    <w:rsid w:val="000A1180"/>
    <w:rsid w:val="000A316F"/>
    <w:rsid w:val="000A4952"/>
    <w:rsid w:val="000A4BD8"/>
    <w:rsid w:val="000A6489"/>
    <w:rsid w:val="000A7B51"/>
    <w:rsid w:val="000B01E5"/>
    <w:rsid w:val="000B02FD"/>
    <w:rsid w:val="000B08D2"/>
    <w:rsid w:val="000B0987"/>
    <w:rsid w:val="000B0A99"/>
    <w:rsid w:val="000B0C84"/>
    <w:rsid w:val="000B0E1C"/>
    <w:rsid w:val="000B1896"/>
    <w:rsid w:val="000B1DBD"/>
    <w:rsid w:val="000B2ADF"/>
    <w:rsid w:val="000B3182"/>
    <w:rsid w:val="000B44CE"/>
    <w:rsid w:val="000B47A6"/>
    <w:rsid w:val="000B6535"/>
    <w:rsid w:val="000B686D"/>
    <w:rsid w:val="000B6F50"/>
    <w:rsid w:val="000B724E"/>
    <w:rsid w:val="000B763C"/>
    <w:rsid w:val="000C0238"/>
    <w:rsid w:val="000C0372"/>
    <w:rsid w:val="000C089E"/>
    <w:rsid w:val="000C0A6D"/>
    <w:rsid w:val="000C122D"/>
    <w:rsid w:val="000C1B34"/>
    <w:rsid w:val="000C1C8D"/>
    <w:rsid w:val="000C205D"/>
    <w:rsid w:val="000C21CE"/>
    <w:rsid w:val="000C2B99"/>
    <w:rsid w:val="000C3315"/>
    <w:rsid w:val="000C4625"/>
    <w:rsid w:val="000C4831"/>
    <w:rsid w:val="000C5446"/>
    <w:rsid w:val="000C5F80"/>
    <w:rsid w:val="000C7FBC"/>
    <w:rsid w:val="000D0419"/>
    <w:rsid w:val="000D058E"/>
    <w:rsid w:val="000D0CC4"/>
    <w:rsid w:val="000D2D33"/>
    <w:rsid w:val="000D2D9B"/>
    <w:rsid w:val="000D3326"/>
    <w:rsid w:val="000D3671"/>
    <w:rsid w:val="000D36CB"/>
    <w:rsid w:val="000D37E5"/>
    <w:rsid w:val="000D48C7"/>
    <w:rsid w:val="000D4E83"/>
    <w:rsid w:val="000D4FC8"/>
    <w:rsid w:val="000D5648"/>
    <w:rsid w:val="000D5DE5"/>
    <w:rsid w:val="000D5E5E"/>
    <w:rsid w:val="000E0C4C"/>
    <w:rsid w:val="000E1452"/>
    <w:rsid w:val="000E27D2"/>
    <w:rsid w:val="000E319E"/>
    <w:rsid w:val="000E37B7"/>
    <w:rsid w:val="000E4622"/>
    <w:rsid w:val="000E5C83"/>
    <w:rsid w:val="000E5F26"/>
    <w:rsid w:val="000E637E"/>
    <w:rsid w:val="000E720A"/>
    <w:rsid w:val="000F0B2A"/>
    <w:rsid w:val="000F3AF6"/>
    <w:rsid w:val="000F4D59"/>
    <w:rsid w:val="000F4EE8"/>
    <w:rsid w:val="000F575E"/>
    <w:rsid w:val="000F5BE4"/>
    <w:rsid w:val="000F6437"/>
    <w:rsid w:val="000F6591"/>
    <w:rsid w:val="000F6CCE"/>
    <w:rsid w:val="000F7719"/>
    <w:rsid w:val="001001BB"/>
    <w:rsid w:val="00101A79"/>
    <w:rsid w:val="00101D4A"/>
    <w:rsid w:val="00102CF7"/>
    <w:rsid w:val="001030F8"/>
    <w:rsid w:val="001045C0"/>
    <w:rsid w:val="00104D4A"/>
    <w:rsid w:val="00104FAF"/>
    <w:rsid w:val="00105C95"/>
    <w:rsid w:val="00105EA8"/>
    <w:rsid w:val="00107374"/>
    <w:rsid w:val="001078CC"/>
    <w:rsid w:val="00110275"/>
    <w:rsid w:val="0011047B"/>
    <w:rsid w:val="001106F1"/>
    <w:rsid w:val="001109DE"/>
    <w:rsid w:val="001115C1"/>
    <w:rsid w:val="00111778"/>
    <w:rsid w:val="00111987"/>
    <w:rsid w:val="00111A4B"/>
    <w:rsid w:val="001144F6"/>
    <w:rsid w:val="00114595"/>
    <w:rsid w:val="00114CD7"/>
    <w:rsid w:val="00114D30"/>
    <w:rsid w:val="001152D4"/>
    <w:rsid w:val="0011545B"/>
    <w:rsid w:val="00116251"/>
    <w:rsid w:val="00116354"/>
    <w:rsid w:val="001164A6"/>
    <w:rsid w:val="0011736C"/>
    <w:rsid w:val="0011798A"/>
    <w:rsid w:val="00120241"/>
    <w:rsid w:val="00120966"/>
    <w:rsid w:val="00121344"/>
    <w:rsid w:val="0012161D"/>
    <w:rsid w:val="00121B3E"/>
    <w:rsid w:val="00121BD4"/>
    <w:rsid w:val="0012212B"/>
    <w:rsid w:val="001227AA"/>
    <w:rsid w:val="001230DF"/>
    <w:rsid w:val="00123E8B"/>
    <w:rsid w:val="00123F52"/>
    <w:rsid w:val="001248CB"/>
    <w:rsid w:val="00125BD0"/>
    <w:rsid w:val="00125E6F"/>
    <w:rsid w:val="00126A1B"/>
    <w:rsid w:val="0013084C"/>
    <w:rsid w:val="00130D43"/>
    <w:rsid w:val="00132589"/>
    <w:rsid w:val="00133393"/>
    <w:rsid w:val="001337B9"/>
    <w:rsid w:val="00133AE9"/>
    <w:rsid w:val="00133EC7"/>
    <w:rsid w:val="00135F6C"/>
    <w:rsid w:val="0013624E"/>
    <w:rsid w:val="00137454"/>
    <w:rsid w:val="00140065"/>
    <w:rsid w:val="0014041C"/>
    <w:rsid w:val="00141DAD"/>
    <w:rsid w:val="001422D6"/>
    <w:rsid w:val="00142626"/>
    <w:rsid w:val="00143499"/>
    <w:rsid w:val="001440FB"/>
    <w:rsid w:val="00145DF7"/>
    <w:rsid w:val="0014671D"/>
    <w:rsid w:val="00146938"/>
    <w:rsid w:val="001469C2"/>
    <w:rsid w:val="00147A41"/>
    <w:rsid w:val="00147E5B"/>
    <w:rsid w:val="00150242"/>
    <w:rsid w:val="001524EE"/>
    <w:rsid w:val="00155673"/>
    <w:rsid w:val="00157776"/>
    <w:rsid w:val="001602C3"/>
    <w:rsid w:val="001607D2"/>
    <w:rsid w:val="00162B76"/>
    <w:rsid w:val="00162C91"/>
    <w:rsid w:val="00163B54"/>
    <w:rsid w:val="00164476"/>
    <w:rsid w:val="0016474B"/>
    <w:rsid w:val="00164E71"/>
    <w:rsid w:val="001668CA"/>
    <w:rsid w:val="001669E2"/>
    <w:rsid w:val="00166E31"/>
    <w:rsid w:val="001673FC"/>
    <w:rsid w:val="00167E08"/>
    <w:rsid w:val="001700EB"/>
    <w:rsid w:val="00171613"/>
    <w:rsid w:val="00172DB0"/>
    <w:rsid w:val="00172DD9"/>
    <w:rsid w:val="001737EE"/>
    <w:rsid w:val="00173C76"/>
    <w:rsid w:val="00174535"/>
    <w:rsid w:val="001746F2"/>
    <w:rsid w:val="00175300"/>
    <w:rsid w:val="00176BD4"/>
    <w:rsid w:val="00177909"/>
    <w:rsid w:val="00177F6D"/>
    <w:rsid w:val="00181EAC"/>
    <w:rsid w:val="00182042"/>
    <w:rsid w:val="00182111"/>
    <w:rsid w:val="00182298"/>
    <w:rsid w:val="00182830"/>
    <w:rsid w:val="00182BC7"/>
    <w:rsid w:val="00183ACA"/>
    <w:rsid w:val="00183DCF"/>
    <w:rsid w:val="0018464B"/>
    <w:rsid w:val="00184C8D"/>
    <w:rsid w:val="0018509C"/>
    <w:rsid w:val="001858F4"/>
    <w:rsid w:val="0018753D"/>
    <w:rsid w:val="00187974"/>
    <w:rsid w:val="00187E62"/>
    <w:rsid w:val="00190347"/>
    <w:rsid w:val="00190600"/>
    <w:rsid w:val="0019065F"/>
    <w:rsid w:val="00190FBD"/>
    <w:rsid w:val="00191A97"/>
    <w:rsid w:val="00191C3C"/>
    <w:rsid w:val="00193117"/>
    <w:rsid w:val="001940CC"/>
    <w:rsid w:val="00194802"/>
    <w:rsid w:val="001948F9"/>
    <w:rsid w:val="00194E03"/>
    <w:rsid w:val="0019595E"/>
    <w:rsid w:val="00196D9E"/>
    <w:rsid w:val="00197951"/>
    <w:rsid w:val="001A02CC"/>
    <w:rsid w:val="001A0984"/>
    <w:rsid w:val="001A272F"/>
    <w:rsid w:val="001A2F2D"/>
    <w:rsid w:val="001A2F38"/>
    <w:rsid w:val="001A3DBA"/>
    <w:rsid w:val="001A411E"/>
    <w:rsid w:val="001A4B55"/>
    <w:rsid w:val="001A5001"/>
    <w:rsid w:val="001A53BD"/>
    <w:rsid w:val="001A6686"/>
    <w:rsid w:val="001A6935"/>
    <w:rsid w:val="001B00B7"/>
    <w:rsid w:val="001B02B1"/>
    <w:rsid w:val="001B1851"/>
    <w:rsid w:val="001B1984"/>
    <w:rsid w:val="001B2B28"/>
    <w:rsid w:val="001B39D6"/>
    <w:rsid w:val="001B3AEF"/>
    <w:rsid w:val="001B3B51"/>
    <w:rsid w:val="001B43F6"/>
    <w:rsid w:val="001B471F"/>
    <w:rsid w:val="001B4941"/>
    <w:rsid w:val="001B546A"/>
    <w:rsid w:val="001B6323"/>
    <w:rsid w:val="001B6456"/>
    <w:rsid w:val="001B69EE"/>
    <w:rsid w:val="001B7BE8"/>
    <w:rsid w:val="001C187B"/>
    <w:rsid w:val="001C1CED"/>
    <w:rsid w:val="001C1D1D"/>
    <w:rsid w:val="001C399E"/>
    <w:rsid w:val="001C428C"/>
    <w:rsid w:val="001C44CB"/>
    <w:rsid w:val="001C5A14"/>
    <w:rsid w:val="001C61C3"/>
    <w:rsid w:val="001C67E4"/>
    <w:rsid w:val="001C696D"/>
    <w:rsid w:val="001C7B6C"/>
    <w:rsid w:val="001C7B71"/>
    <w:rsid w:val="001C7BA7"/>
    <w:rsid w:val="001D0604"/>
    <w:rsid w:val="001D0F37"/>
    <w:rsid w:val="001D15E3"/>
    <w:rsid w:val="001D1714"/>
    <w:rsid w:val="001D3146"/>
    <w:rsid w:val="001D39CD"/>
    <w:rsid w:val="001D4052"/>
    <w:rsid w:val="001D42C9"/>
    <w:rsid w:val="001D4ACA"/>
    <w:rsid w:val="001D5DD7"/>
    <w:rsid w:val="001D5EB5"/>
    <w:rsid w:val="001D6131"/>
    <w:rsid w:val="001D71D2"/>
    <w:rsid w:val="001D7C2C"/>
    <w:rsid w:val="001D7E18"/>
    <w:rsid w:val="001E03D9"/>
    <w:rsid w:val="001E0502"/>
    <w:rsid w:val="001E0F08"/>
    <w:rsid w:val="001E1036"/>
    <w:rsid w:val="001E1734"/>
    <w:rsid w:val="001E1ACD"/>
    <w:rsid w:val="001E236E"/>
    <w:rsid w:val="001E2BF9"/>
    <w:rsid w:val="001E2D99"/>
    <w:rsid w:val="001E3235"/>
    <w:rsid w:val="001E50C5"/>
    <w:rsid w:val="001E5353"/>
    <w:rsid w:val="001E53E4"/>
    <w:rsid w:val="001E58FA"/>
    <w:rsid w:val="001E6F33"/>
    <w:rsid w:val="001E73D0"/>
    <w:rsid w:val="001E74C9"/>
    <w:rsid w:val="001F016A"/>
    <w:rsid w:val="001F0B09"/>
    <w:rsid w:val="001F0BF5"/>
    <w:rsid w:val="001F16E8"/>
    <w:rsid w:val="001F1942"/>
    <w:rsid w:val="001F2208"/>
    <w:rsid w:val="001F34C3"/>
    <w:rsid w:val="001F4BD0"/>
    <w:rsid w:val="001F557B"/>
    <w:rsid w:val="001F6187"/>
    <w:rsid w:val="001F62D4"/>
    <w:rsid w:val="001F669F"/>
    <w:rsid w:val="001F6B7D"/>
    <w:rsid w:val="001F7C03"/>
    <w:rsid w:val="00200441"/>
    <w:rsid w:val="002010C9"/>
    <w:rsid w:val="002027DB"/>
    <w:rsid w:val="0020317A"/>
    <w:rsid w:val="002033D6"/>
    <w:rsid w:val="0020371D"/>
    <w:rsid w:val="00203A45"/>
    <w:rsid w:val="00203C50"/>
    <w:rsid w:val="00204538"/>
    <w:rsid w:val="002045E6"/>
    <w:rsid w:val="00204C50"/>
    <w:rsid w:val="002068C1"/>
    <w:rsid w:val="002068E6"/>
    <w:rsid w:val="00206B9D"/>
    <w:rsid w:val="00206FFD"/>
    <w:rsid w:val="00210A93"/>
    <w:rsid w:val="00210B87"/>
    <w:rsid w:val="00210C65"/>
    <w:rsid w:val="00210D48"/>
    <w:rsid w:val="00210D8B"/>
    <w:rsid w:val="002112DF"/>
    <w:rsid w:val="00211845"/>
    <w:rsid w:val="00211922"/>
    <w:rsid w:val="00211F41"/>
    <w:rsid w:val="00213372"/>
    <w:rsid w:val="00213457"/>
    <w:rsid w:val="00213E32"/>
    <w:rsid w:val="002151CB"/>
    <w:rsid w:val="002153CD"/>
    <w:rsid w:val="002154C8"/>
    <w:rsid w:val="00215946"/>
    <w:rsid w:val="00215A85"/>
    <w:rsid w:val="00215C5B"/>
    <w:rsid w:val="00215FF2"/>
    <w:rsid w:val="002161ED"/>
    <w:rsid w:val="0021623B"/>
    <w:rsid w:val="0021732D"/>
    <w:rsid w:val="00220C51"/>
    <w:rsid w:val="00221274"/>
    <w:rsid w:val="002219C4"/>
    <w:rsid w:val="00221F88"/>
    <w:rsid w:val="0022357C"/>
    <w:rsid w:val="00223BD4"/>
    <w:rsid w:val="00224165"/>
    <w:rsid w:val="0022446C"/>
    <w:rsid w:val="00224A4E"/>
    <w:rsid w:val="00225685"/>
    <w:rsid w:val="0022573A"/>
    <w:rsid w:val="002258A1"/>
    <w:rsid w:val="00226495"/>
    <w:rsid w:val="00226B8E"/>
    <w:rsid w:val="00226D29"/>
    <w:rsid w:val="0022779E"/>
    <w:rsid w:val="00227DAD"/>
    <w:rsid w:val="002316B3"/>
    <w:rsid w:val="002325C2"/>
    <w:rsid w:val="00233898"/>
    <w:rsid w:val="0023485B"/>
    <w:rsid w:val="00234C01"/>
    <w:rsid w:val="002352F5"/>
    <w:rsid w:val="002367CE"/>
    <w:rsid w:val="00236E31"/>
    <w:rsid w:val="00237ADE"/>
    <w:rsid w:val="002409FF"/>
    <w:rsid w:val="00240E99"/>
    <w:rsid w:val="002411F4"/>
    <w:rsid w:val="00242925"/>
    <w:rsid w:val="002439EA"/>
    <w:rsid w:val="0024493C"/>
    <w:rsid w:val="00244A24"/>
    <w:rsid w:val="002458B5"/>
    <w:rsid w:val="0024607E"/>
    <w:rsid w:val="0024615F"/>
    <w:rsid w:val="0024676E"/>
    <w:rsid w:val="00246E12"/>
    <w:rsid w:val="002474FA"/>
    <w:rsid w:val="00247534"/>
    <w:rsid w:val="00247E84"/>
    <w:rsid w:val="00250246"/>
    <w:rsid w:val="002504BE"/>
    <w:rsid w:val="00250D6B"/>
    <w:rsid w:val="00250EEA"/>
    <w:rsid w:val="00251244"/>
    <w:rsid w:val="00251ED4"/>
    <w:rsid w:val="002521B2"/>
    <w:rsid w:val="00253087"/>
    <w:rsid w:val="002535AE"/>
    <w:rsid w:val="00253A11"/>
    <w:rsid w:val="002548B1"/>
    <w:rsid w:val="00256633"/>
    <w:rsid w:val="00256784"/>
    <w:rsid w:val="00256799"/>
    <w:rsid w:val="00257B37"/>
    <w:rsid w:val="002614CF"/>
    <w:rsid w:val="00263DB7"/>
    <w:rsid w:val="00265567"/>
    <w:rsid w:val="00265C31"/>
    <w:rsid w:val="00265D26"/>
    <w:rsid w:val="00265E10"/>
    <w:rsid w:val="002662A9"/>
    <w:rsid w:val="0026633B"/>
    <w:rsid w:val="0026734F"/>
    <w:rsid w:val="002674E8"/>
    <w:rsid w:val="0027023E"/>
    <w:rsid w:val="002702E2"/>
    <w:rsid w:val="002702EC"/>
    <w:rsid w:val="00270F8D"/>
    <w:rsid w:val="00271AD8"/>
    <w:rsid w:val="00272185"/>
    <w:rsid w:val="00272683"/>
    <w:rsid w:val="002728A8"/>
    <w:rsid w:val="00273126"/>
    <w:rsid w:val="00274E38"/>
    <w:rsid w:val="002752AB"/>
    <w:rsid w:val="002754CC"/>
    <w:rsid w:val="00276688"/>
    <w:rsid w:val="00276AE0"/>
    <w:rsid w:val="00280FEC"/>
    <w:rsid w:val="0028130D"/>
    <w:rsid w:val="00282464"/>
    <w:rsid w:val="00282B80"/>
    <w:rsid w:val="00282FA4"/>
    <w:rsid w:val="00283899"/>
    <w:rsid w:val="002852D0"/>
    <w:rsid w:val="0028679D"/>
    <w:rsid w:val="00286912"/>
    <w:rsid w:val="0028740F"/>
    <w:rsid w:val="0028765D"/>
    <w:rsid w:val="002876F1"/>
    <w:rsid w:val="00290BD2"/>
    <w:rsid w:val="00291314"/>
    <w:rsid w:val="00292482"/>
    <w:rsid w:val="00292E26"/>
    <w:rsid w:val="002934B0"/>
    <w:rsid w:val="00293B10"/>
    <w:rsid w:val="00294607"/>
    <w:rsid w:val="00294FD0"/>
    <w:rsid w:val="00297885"/>
    <w:rsid w:val="002A0B57"/>
    <w:rsid w:val="002A0F72"/>
    <w:rsid w:val="002A2B19"/>
    <w:rsid w:val="002A3D0A"/>
    <w:rsid w:val="002A4A27"/>
    <w:rsid w:val="002A5DAA"/>
    <w:rsid w:val="002A6B8F"/>
    <w:rsid w:val="002A6BFA"/>
    <w:rsid w:val="002A6E4E"/>
    <w:rsid w:val="002A74CF"/>
    <w:rsid w:val="002A75FE"/>
    <w:rsid w:val="002B14F6"/>
    <w:rsid w:val="002B1544"/>
    <w:rsid w:val="002B16F0"/>
    <w:rsid w:val="002B24F2"/>
    <w:rsid w:val="002B2BB4"/>
    <w:rsid w:val="002B42AC"/>
    <w:rsid w:val="002B55CB"/>
    <w:rsid w:val="002B5706"/>
    <w:rsid w:val="002B5841"/>
    <w:rsid w:val="002B6862"/>
    <w:rsid w:val="002B6BBB"/>
    <w:rsid w:val="002C00DA"/>
    <w:rsid w:val="002C3D32"/>
    <w:rsid w:val="002C4308"/>
    <w:rsid w:val="002C444F"/>
    <w:rsid w:val="002C604C"/>
    <w:rsid w:val="002C6FCF"/>
    <w:rsid w:val="002C757D"/>
    <w:rsid w:val="002C7FAD"/>
    <w:rsid w:val="002D05F4"/>
    <w:rsid w:val="002D067F"/>
    <w:rsid w:val="002D10CF"/>
    <w:rsid w:val="002D1707"/>
    <w:rsid w:val="002D1F64"/>
    <w:rsid w:val="002D28B0"/>
    <w:rsid w:val="002D2A45"/>
    <w:rsid w:val="002D36E1"/>
    <w:rsid w:val="002D40FD"/>
    <w:rsid w:val="002D6040"/>
    <w:rsid w:val="002D60B8"/>
    <w:rsid w:val="002D7865"/>
    <w:rsid w:val="002E00B8"/>
    <w:rsid w:val="002E1CDA"/>
    <w:rsid w:val="002E1FF0"/>
    <w:rsid w:val="002E22A1"/>
    <w:rsid w:val="002E2F93"/>
    <w:rsid w:val="002E3162"/>
    <w:rsid w:val="002E44B9"/>
    <w:rsid w:val="002E6150"/>
    <w:rsid w:val="002E65A7"/>
    <w:rsid w:val="002E6E51"/>
    <w:rsid w:val="002F03A3"/>
    <w:rsid w:val="002F11F4"/>
    <w:rsid w:val="002F1991"/>
    <w:rsid w:val="002F1C8F"/>
    <w:rsid w:val="002F1E9E"/>
    <w:rsid w:val="002F25FE"/>
    <w:rsid w:val="002F2911"/>
    <w:rsid w:val="002F39EA"/>
    <w:rsid w:val="002F4E5A"/>
    <w:rsid w:val="002F7E5F"/>
    <w:rsid w:val="00300893"/>
    <w:rsid w:val="003008BC"/>
    <w:rsid w:val="00300BBE"/>
    <w:rsid w:val="0030172D"/>
    <w:rsid w:val="00301ED8"/>
    <w:rsid w:val="00303276"/>
    <w:rsid w:val="00304476"/>
    <w:rsid w:val="00304974"/>
    <w:rsid w:val="00307FA6"/>
    <w:rsid w:val="0031003B"/>
    <w:rsid w:val="00310128"/>
    <w:rsid w:val="0031164B"/>
    <w:rsid w:val="0031293D"/>
    <w:rsid w:val="00312B48"/>
    <w:rsid w:val="00313623"/>
    <w:rsid w:val="00314D09"/>
    <w:rsid w:val="00314D21"/>
    <w:rsid w:val="003161D9"/>
    <w:rsid w:val="00316376"/>
    <w:rsid w:val="00316875"/>
    <w:rsid w:val="0031696B"/>
    <w:rsid w:val="00316D9D"/>
    <w:rsid w:val="00316EC2"/>
    <w:rsid w:val="0031758D"/>
    <w:rsid w:val="00317F11"/>
    <w:rsid w:val="00320AE9"/>
    <w:rsid w:val="00320B15"/>
    <w:rsid w:val="00320BD0"/>
    <w:rsid w:val="00321458"/>
    <w:rsid w:val="00321D4F"/>
    <w:rsid w:val="0032246D"/>
    <w:rsid w:val="00324203"/>
    <w:rsid w:val="0032457D"/>
    <w:rsid w:val="00324796"/>
    <w:rsid w:val="0032488E"/>
    <w:rsid w:val="00324E1B"/>
    <w:rsid w:val="0032607D"/>
    <w:rsid w:val="00326ADF"/>
    <w:rsid w:val="003278D4"/>
    <w:rsid w:val="00330672"/>
    <w:rsid w:val="00331FBC"/>
    <w:rsid w:val="0033219A"/>
    <w:rsid w:val="003324EC"/>
    <w:rsid w:val="003343A9"/>
    <w:rsid w:val="00334CD9"/>
    <w:rsid w:val="003358F6"/>
    <w:rsid w:val="00340BAC"/>
    <w:rsid w:val="00341826"/>
    <w:rsid w:val="00341F23"/>
    <w:rsid w:val="00341F3C"/>
    <w:rsid w:val="0034203F"/>
    <w:rsid w:val="00342A4F"/>
    <w:rsid w:val="00342DD8"/>
    <w:rsid w:val="003435D8"/>
    <w:rsid w:val="00344849"/>
    <w:rsid w:val="003451C9"/>
    <w:rsid w:val="00345585"/>
    <w:rsid w:val="00346A7F"/>
    <w:rsid w:val="00346C1A"/>
    <w:rsid w:val="0035002C"/>
    <w:rsid w:val="003505E3"/>
    <w:rsid w:val="003507B4"/>
    <w:rsid w:val="00351225"/>
    <w:rsid w:val="00351C3B"/>
    <w:rsid w:val="00352637"/>
    <w:rsid w:val="00352925"/>
    <w:rsid w:val="003532CA"/>
    <w:rsid w:val="00353669"/>
    <w:rsid w:val="0035369A"/>
    <w:rsid w:val="00354DCF"/>
    <w:rsid w:val="00355289"/>
    <w:rsid w:val="003552FE"/>
    <w:rsid w:val="00356543"/>
    <w:rsid w:val="00356597"/>
    <w:rsid w:val="00356625"/>
    <w:rsid w:val="00357973"/>
    <w:rsid w:val="0036083B"/>
    <w:rsid w:val="00361230"/>
    <w:rsid w:val="00361ABB"/>
    <w:rsid w:val="00363334"/>
    <w:rsid w:val="00363FA0"/>
    <w:rsid w:val="00363FAC"/>
    <w:rsid w:val="003648E7"/>
    <w:rsid w:val="00365089"/>
    <w:rsid w:val="0036614E"/>
    <w:rsid w:val="00366F37"/>
    <w:rsid w:val="0036725E"/>
    <w:rsid w:val="00371DA2"/>
    <w:rsid w:val="00371F99"/>
    <w:rsid w:val="003721D0"/>
    <w:rsid w:val="003724A0"/>
    <w:rsid w:val="00372FE3"/>
    <w:rsid w:val="003731DC"/>
    <w:rsid w:val="00373C36"/>
    <w:rsid w:val="00373FDF"/>
    <w:rsid w:val="0037487D"/>
    <w:rsid w:val="003765AF"/>
    <w:rsid w:val="0037680A"/>
    <w:rsid w:val="0037704E"/>
    <w:rsid w:val="003772AF"/>
    <w:rsid w:val="00377C09"/>
    <w:rsid w:val="003800B8"/>
    <w:rsid w:val="0038031E"/>
    <w:rsid w:val="00380A7B"/>
    <w:rsid w:val="003813A4"/>
    <w:rsid w:val="003813AD"/>
    <w:rsid w:val="00381BA5"/>
    <w:rsid w:val="00382B95"/>
    <w:rsid w:val="00382CDE"/>
    <w:rsid w:val="00384052"/>
    <w:rsid w:val="003847C0"/>
    <w:rsid w:val="00385CDF"/>
    <w:rsid w:val="00385E2E"/>
    <w:rsid w:val="00386093"/>
    <w:rsid w:val="003861A2"/>
    <w:rsid w:val="00387206"/>
    <w:rsid w:val="00387FDA"/>
    <w:rsid w:val="00390451"/>
    <w:rsid w:val="00391522"/>
    <w:rsid w:val="00391528"/>
    <w:rsid w:val="0039297A"/>
    <w:rsid w:val="003940B4"/>
    <w:rsid w:val="00394AFC"/>
    <w:rsid w:val="003951F4"/>
    <w:rsid w:val="0039552A"/>
    <w:rsid w:val="00395B28"/>
    <w:rsid w:val="00396DAF"/>
    <w:rsid w:val="00397A19"/>
    <w:rsid w:val="003A019D"/>
    <w:rsid w:val="003A0B39"/>
    <w:rsid w:val="003A1AD9"/>
    <w:rsid w:val="003A2CDB"/>
    <w:rsid w:val="003A30D7"/>
    <w:rsid w:val="003A3660"/>
    <w:rsid w:val="003A46EB"/>
    <w:rsid w:val="003A55F1"/>
    <w:rsid w:val="003A5DD1"/>
    <w:rsid w:val="003A60BB"/>
    <w:rsid w:val="003A65AB"/>
    <w:rsid w:val="003A762F"/>
    <w:rsid w:val="003A7B65"/>
    <w:rsid w:val="003B0260"/>
    <w:rsid w:val="003B03B6"/>
    <w:rsid w:val="003B0709"/>
    <w:rsid w:val="003B12C0"/>
    <w:rsid w:val="003B17F9"/>
    <w:rsid w:val="003B21B2"/>
    <w:rsid w:val="003B2AEE"/>
    <w:rsid w:val="003B31F5"/>
    <w:rsid w:val="003B3695"/>
    <w:rsid w:val="003B48F0"/>
    <w:rsid w:val="003B5D05"/>
    <w:rsid w:val="003B5EE6"/>
    <w:rsid w:val="003B6288"/>
    <w:rsid w:val="003B62EA"/>
    <w:rsid w:val="003B6DBB"/>
    <w:rsid w:val="003C08EA"/>
    <w:rsid w:val="003C106A"/>
    <w:rsid w:val="003C297F"/>
    <w:rsid w:val="003C3203"/>
    <w:rsid w:val="003C3879"/>
    <w:rsid w:val="003C3ABD"/>
    <w:rsid w:val="003C3E0B"/>
    <w:rsid w:val="003C5B33"/>
    <w:rsid w:val="003C72D7"/>
    <w:rsid w:val="003C78A7"/>
    <w:rsid w:val="003C78D1"/>
    <w:rsid w:val="003D0AAD"/>
    <w:rsid w:val="003D0AB0"/>
    <w:rsid w:val="003D0B41"/>
    <w:rsid w:val="003D1978"/>
    <w:rsid w:val="003D1ADC"/>
    <w:rsid w:val="003D1BF3"/>
    <w:rsid w:val="003D1D98"/>
    <w:rsid w:val="003D3331"/>
    <w:rsid w:val="003D3684"/>
    <w:rsid w:val="003D380B"/>
    <w:rsid w:val="003D39CC"/>
    <w:rsid w:val="003D498E"/>
    <w:rsid w:val="003D4C72"/>
    <w:rsid w:val="003D50D8"/>
    <w:rsid w:val="003D59B6"/>
    <w:rsid w:val="003D6725"/>
    <w:rsid w:val="003D7B7A"/>
    <w:rsid w:val="003D7C8D"/>
    <w:rsid w:val="003E0954"/>
    <w:rsid w:val="003E2166"/>
    <w:rsid w:val="003E4A69"/>
    <w:rsid w:val="003E4B8C"/>
    <w:rsid w:val="003E5E20"/>
    <w:rsid w:val="003E7D73"/>
    <w:rsid w:val="003F00B9"/>
    <w:rsid w:val="003F0B54"/>
    <w:rsid w:val="003F0CFD"/>
    <w:rsid w:val="003F1C5E"/>
    <w:rsid w:val="003F1FBF"/>
    <w:rsid w:val="003F2254"/>
    <w:rsid w:val="003F28A4"/>
    <w:rsid w:val="003F2E90"/>
    <w:rsid w:val="003F4D30"/>
    <w:rsid w:val="003F54E1"/>
    <w:rsid w:val="003F5B16"/>
    <w:rsid w:val="003F61A2"/>
    <w:rsid w:val="00400B1E"/>
    <w:rsid w:val="00400E29"/>
    <w:rsid w:val="00401CA7"/>
    <w:rsid w:val="00402896"/>
    <w:rsid w:val="004031CA"/>
    <w:rsid w:val="00403700"/>
    <w:rsid w:val="00403F1D"/>
    <w:rsid w:val="004040D7"/>
    <w:rsid w:val="00404429"/>
    <w:rsid w:val="004046C3"/>
    <w:rsid w:val="00404E01"/>
    <w:rsid w:val="00406225"/>
    <w:rsid w:val="00406227"/>
    <w:rsid w:val="00407FE3"/>
    <w:rsid w:val="004111D9"/>
    <w:rsid w:val="004112B0"/>
    <w:rsid w:val="004117BE"/>
    <w:rsid w:val="004136FE"/>
    <w:rsid w:val="00413A30"/>
    <w:rsid w:val="004200E6"/>
    <w:rsid w:val="004202F2"/>
    <w:rsid w:val="00420970"/>
    <w:rsid w:val="004211D8"/>
    <w:rsid w:val="00421DD8"/>
    <w:rsid w:val="00422A1F"/>
    <w:rsid w:val="00422AB3"/>
    <w:rsid w:val="00422B6E"/>
    <w:rsid w:val="00422C84"/>
    <w:rsid w:val="00425712"/>
    <w:rsid w:val="00425D9A"/>
    <w:rsid w:val="00425F53"/>
    <w:rsid w:val="004279D6"/>
    <w:rsid w:val="004309F4"/>
    <w:rsid w:val="00430ADB"/>
    <w:rsid w:val="004312FE"/>
    <w:rsid w:val="00431595"/>
    <w:rsid w:val="00431E52"/>
    <w:rsid w:val="004326AC"/>
    <w:rsid w:val="00433241"/>
    <w:rsid w:val="004332A7"/>
    <w:rsid w:val="004335F6"/>
    <w:rsid w:val="00433906"/>
    <w:rsid w:val="00433F25"/>
    <w:rsid w:val="004341BD"/>
    <w:rsid w:val="00435A56"/>
    <w:rsid w:val="00435E9D"/>
    <w:rsid w:val="004370FB"/>
    <w:rsid w:val="00440EFD"/>
    <w:rsid w:val="00441953"/>
    <w:rsid w:val="00442201"/>
    <w:rsid w:val="004430B0"/>
    <w:rsid w:val="00443380"/>
    <w:rsid w:val="00443588"/>
    <w:rsid w:val="004445E4"/>
    <w:rsid w:val="0044534F"/>
    <w:rsid w:val="0044676C"/>
    <w:rsid w:val="00447F5D"/>
    <w:rsid w:val="004506B2"/>
    <w:rsid w:val="00451D67"/>
    <w:rsid w:val="004531B7"/>
    <w:rsid w:val="0045425D"/>
    <w:rsid w:val="004544D5"/>
    <w:rsid w:val="00455026"/>
    <w:rsid w:val="0045697B"/>
    <w:rsid w:val="004616D6"/>
    <w:rsid w:val="00461D16"/>
    <w:rsid w:val="00461DFC"/>
    <w:rsid w:val="0046285A"/>
    <w:rsid w:val="004632FC"/>
    <w:rsid w:val="00463357"/>
    <w:rsid w:val="004638A9"/>
    <w:rsid w:val="00465371"/>
    <w:rsid w:val="0046554C"/>
    <w:rsid w:val="004667C2"/>
    <w:rsid w:val="004674E8"/>
    <w:rsid w:val="00467EBB"/>
    <w:rsid w:val="00470FE6"/>
    <w:rsid w:val="00471396"/>
    <w:rsid w:val="004719B9"/>
    <w:rsid w:val="00471FB4"/>
    <w:rsid w:val="00472A50"/>
    <w:rsid w:val="00474367"/>
    <w:rsid w:val="004748DC"/>
    <w:rsid w:val="0047668F"/>
    <w:rsid w:val="00476B98"/>
    <w:rsid w:val="00476BE7"/>
    <w:rsid w:val="004773A5"/>
    <w:rsid w:val="00477E65"/>
    <w:rsid w:val="00477FE2"/>
    <w:rsid w:val="004801DA"/>
    <w:rsid w:val="004803CA"/>
    <w:rsid w:val="00480846"/>
    <w:rsid w:val="00480941"/>
    <w:rsid w:val="004809FE"/>
    <w:rsid w:val="004816DB"/>
    <w:rsid w:val="00481FBA"/>
    <w:rsid w:val="004835F0"/>
    <w:rsid w:val="004835F2"/>
    <w:rsid w:val="0048392A"/>
    <w:rsid w:val="00484215"/>
    <w:rsid w:val="0048543A"/>
    <w:rsid w:val="00485583"/>
    <w:rsid w:val="00485602"/>
    <w:rsid w:val="00485E45"/>
    <w:rsid w:val="00485E63"/>
    <w:rsid w:val="00486F42"/>
    <w:rsid w:val="00487B2D"/>
    <w:rsid w:val="00487DBE"/>
    <w:rsid w:val="004904E9"/>
    <w:rsid w:val="0049098D"/>
    <w:rsid w:val="004912A7"/>
    <w:rsid w:val="00491A8D"/>
    <w:rsid w:val="00491FDF"/>
    <w:rsid w:val="00492E75"/>
    <w:rsid w:val="004931D0"/>
    <w:rsid w:val="004938BF"/>
    <w:rsid w:val="00495609"/>
    <w:rsid w:val="00495B73"/>
    <w:rsid w:val="00495E23"/>
    <w:rsid w:val="00496460"/>
    <w:rsid w:val="00496D46"/>
    <w:rsid w:val="00497421"/>
    <w:rsid w:val="00497D29"/>
    <w:rsid w:val="004A0434"/>
    <w:rsid w:val="004A1E9D"/>
    <w:rsid w:val="004A2611"/>
    <w:rsid w:val="004A2EB1"/>
    <w:rsid w:val="004A3053"/>
    <w:rsid w:val="004A30DC"/>
    <w:rsid w:val="004A34A3"/>
    <w:rsid w:val="004A4E63"/>
    <w:rsid w:val="004A5145"/>
    <w:rsid w:val="004A54CD"/>
    <w:rsid w:val="004A5ADA"/>
    <w:rsid w:val="004A797C"/>
    <w:rsid w:val="004B07BF"/>
    <w:rsid w:val="004B0CD8"/>
    <w:rsid w:val="004B127E"/>
    <w:rsid w:val="004B1D28"/>
    <w:rsid w:val="004B2041"/>
    <w:rsid w:val="004B26FD"/>
    <w:rsid w:val="004B2B82"/>
    <w:rsid w:val="004B363A"/>
    <w:rsid w:val="004B4126"/>
    <w:rsid w:val="004B459E"/>
    <w:rsid w:val="004B4744"/>
    <w:rsid w:val="004B588E"/>
    <w:rsid w:val="004B621A"/>
    <w:rsid w:val="004B631D"/>
    <w:rsid w:val="004B7E6F"/>
    <w:rsid w:val="004C0632"/>
    <w:rsid w:val="004C0DCD"/>
    <w:rsid w:val="004C2C8C"/>
    <w:rsid w:val="004C38BC"/>
    <w:rsid w:val="004C3944"/>
    <w:rsid w:val="004C5401"/>
    <w:rsid w:val="004C5D03"/>
    <w:rsid w:val="004C716D"/>
    <w:rsid w:val="004D10A2"/>
    <w:rsid w:val="004D1828"/>
    <w:rsid w:val="004D1F6B"/>
    <w:rsid w:val="004D266C"/>
    <w:rsid w:val="004D2F79"/>
    <w:rsid w:val="004D3944"/>
    <w:rsid w:val="004D48A4"/>
    <w:rsid w:val="004D4D4B"/>
    <w:rsid w:val="004D5C97"/>
    <w:rsid w:val="004D5D17"/>
    <w:rsid w:val="004D5F26"/>
    <w:rsid w:val="004D7A9A"/>
    <w:rsid w:val="004E23C2"/>
    <w:rsid w:val="004E2ACE"/>
    <w:rsid w:val="004E2ADA"/>
    <w:rsid w:val="004E2C9A"/>
    <w:rsid w:val="004E3179"/>
    <w:rsid w:val="004E35DD"/>
    <w:rsid w:val="004E386B"/>
    <w:rsid w:val="004E5189"/>
    <w:rsid w:val="004E5202"/>
    <w:rsid w:val="004E535D"/>
    <w:rsid w:val="004E6B3D"/>
    <w:rsid w:val="004E6E0A"/>
    <w:rsid w:val="004E6F0E"/>
    <w:rsid w:val="004F06DA"/>
    <w:rsid w:val="004F0D14"/>
    <w:rsid w:val="004F0E02"/>
    <w:rsid w:val="004F2A47"/>
    <w:rsid w:val="004F2CD0"/>
    <w:rsid w:val="004F373C"/>
    <w:rsid w:val="004F3DCB"/>
    <w:rsid w:val="004F511D"/>
    <w:rsid w:val="004F668A"/>
    <w:rsid w:val="004F6CF4"/>
    <w:rsid w:val="005008B4"/>
    <w:rsid w:val="00500C38"/>
    <w:rsid w:val="00501FD0"/>
    <w:rsid w:val="005029FA"/>
    <w:rsid w:val="0050480C"/>
    <w:rsid w:val="005052FC"/>
    <w:rsid w:val="005073C6"/>
    <w:rsid w:val="00507B78"/>
    <w:rsid w:val="00507FEF"/>
    <w:rsid w:val="005109DE"/>
    <w:rsid w:val="00511438"/>
    <w:rsid w:val="0051145B"/>
    <w:rsid w:val="00511D5B"/>
    <w:rsid w:val="00512176"/>
    <w:rsid w:val="00512A9A"/>
    <w:rsid w:val="00512B72"/>
    <w:rsid w:val="00513279"/>
    <w:rsid w:val="005136F0"/>
    <w:rsid w:val="00514037"/>
    <w:rsid w:val="00514252"/>
    <w:rsid w:val="005144DF"/>
    <w:rsid w:val="0051466D"/>
    <w:rsid w:val="00514BEC"/>
    <w:rsid w:val="005150AA"/>
    <w:rsid w:val="00515E14"/>
    <w:rsid w:val="00515E29"/>
    <w:rsid w:val="0051677E"/>
    <w:rsid w:val="00520EFE"/>
    <w:rsid w:val="00520F3A"/>
    <w:rsid w:val="00521AD6"/>
    <w:rsid w:val="00521E85"/>
    <w:rsid w:val="0052240B"/>
    <w:rsid w:val="00522E37"/>
    <w:rsid w:val="005231E2"/>
    <w:rsid w:val="0052327C"/>
    <w:rsid w:val="005232F7"/>
    <w:rsid w:val="0052369B"/>
    <w:rsid w:val="00523A89"/>
    <w:rsid w:val="00524137"/>
    <w:rsid w:val="005246A2"/>
    <w:rsid w:val="005249B7"/>
    <w:rsid w:val="00525966"/>
    <w:rsid w:val="00525AB8"/>
    <w:rsid w:val="00525B18"/>
    <w:rsid w:val="005261E6"/>
    <w:rsid w:val="00527114"/>
    <w:rsid w:val="00527212"/>
    <w:rsid w:val="00527DE6"/>
    <w:rsid w:val="00530D80"/>
    <w:rsid w:val="00531AC2"/>
    <w:rsid w:val="00531F42"/>
    <w:rsid w:val="005332F3"/>
    <w:rsid w:val="00533380"/>
    <w:rsid w:val="00533440"/>
    <w:rsid w:val="00534E49"/>
    <w:rsid w:val="00535375"/>
    <w:rsid w:val="00536700"/>
    <w:rsid w:val="005367C5"/>
    <w:rsid w:val="0053788A"/>
    <w:rsid w:val="00540501"/>
    <w:rsid w:val="00540F73"/>
    <w:rsid w:val="005419A8"/>
    <w:rsid w:val="00541EBA"/>
    <w:rsid w:val="00542092"/>
    <w:rsid w:val="00542280"/>
    <w:rsid w:val="00542506"/>
    <w:rsid w:val="00542BC8"/>
    <w:rsid w:val="00543B70"/>
    <w:rsid w:val="0054435F"/>
    <w:rsid w:val="00544ABA"/>
    <w:rsid w:val="00545062"/>
    <w:rsid w:val="005453C1"/>
    <w:rsid w:val="0054656F"/>
    <w:rsid w:val="00546FFF"/>
    <w:rsid w:val="005472BB"/>
    <w:rsid w:val="0054737D"/>
    <w:rsid w:val="005476E5"/>
    <w:rsid w:val="00550AB3"/>
    <w:rsid w:val="005541BE"/>
    <w:rsid w:val="0055455E"/>
    <w:rsid w:val="00555C6A"/>
    <w:rsid w:val="00556F48"/>
    <w:rsid w:val="00560254"/>
    <w:rsid w:val="005614FE"/>
    <w:rsid w:val="005624B4"/>
    <w:rsid w:val="00563E66"/>
    <w:rsid w:val="005645BF"/>
    <w:rsid w:val="0056468B"/>
    <w:rsid w:val="0056495D"/>
    <w:rsid w:val="00564EA4"/>
    <w:rsid w:val="00565694"/>
    <w:rsid w:val="00565E10"/>
    <w:rsid w:val="005673F6"/>
    <w:rsid w:val="005674C0"/>
    <w:rsid w:val="00567512"/>
    <w:rsid w:val="00570401"/>
    <w:rsid w:val="00570648"/>
    <w:rsid w:val="005712AC"/>
    <w:rsid w:val="0057196B"/>
    <w:rsid w:val="00573627"/>
    <w:rsid w:val="005737A8"/>
    <w:rsid w:val="00573E19"/>
    <w:rsid w:val="00573E7B"/>
    <w:rsid w:val="005745A3"/>
    <w:rsid w:val="005758E7"/>
    <w:rsid w:val="00575AA9"/>
    <w:rsid w:val="00575D5C"/>
    <w:rsid w:val="0057795B"/>
    <w:rsid w:val="00580F56"/>
    <w:rsid w:val="00581139"/>
    <w:rsid w:val="005811E7"/>
    <w:rsid w:val="00581E09"/>
    <w:rsid w:val="00582A7F"/>
    <w:rsid w:val="005830E7"/>
    <w:rsid w:val="005837CA"/>
    <w:rsid w:val="00584A54"/>
    <w:rsid w:val="00585D87"/>
    <w:rsid w:val="005869D8"/>
    <w:rsid w:val="00586A58"/>
    <w:rsid w:val="00586EEF"/>
    <w:rsid w:val="00587C7C"/>
    <w:rsid w:val="00587E6B"/>
    <w:rsid w:val="005919CC"/>
    <w:rsid w:val="005920C4"/>
    <w:rsid w:val="00592902"/>
    <w:rsid w:val="00593916"/>
    <w:rsid w:val="00593F1A"/>
    <w:rsid w:val="005948AD"/>
    <w:rsid w:val="0059529D"/>
    <w:rsid w:val="005952EC"/>
    <w:rsid w:val="005955D8"/>
    <w:rsid w:val="00596048"/>
    <w:rsid w:val="005960F6"/>
    <w:rsid w:val="005965CA"/>
    <w:rsid w:val="00597485"/>
    <w:rsid w:val="0059772E"/>
    <w:rsid w:val="005A0758"/>
    <w:rsid w:val="005A1329"/>
    <w:rsid w:val="005A2963"/>
    <w:rsid w:val="005A35E8"/>
    <w:rsid w:val="005A3BC1"/>
    <w:rsid w:val="005A4B56"/>
    <w:rsid w:val="005A679D"/>
    <w:rsid w:val="005AC55D"/>
    <w:rsid w:val="005B01F0"/>
    <w:rsid w:val="005B097A"/>
    <w:rsid w:val="005B1018"/>
    <w:rsid w:val="005B2BB8"/>
    <w:rsid w:val="005B394D"/>
    <w:rsid w:val="005B39A9"/>
    <w:rsid w:val="005B5B68"/>
    <w:rsid w:val="005B6D5E"/>
    <w:rsid w:val="005B718A"/>
    <w:rsid w:val="005C06C3"/>
    <w:rsid w:val="005C0C08"/>
    <w:rsid w:val="005C108F"/>
    <w:rsid w:val="005C10DA"/>
    <w:rsid w:val="005C175D"/>
    <w:rsid w:val="005C1BA1"/>
    <w:rsid w:val="005C1CE7"/>
    <w:rsid w:val="005C3A34"/>
    <w:rsid w:val="005C3B6A"/>
    <w:rsid w:val="005C4F35"/>
    <w:rsid w:val="005C5228"/>
    <w:rsid w:val="005C5C89"/>
    <w:rsid w:val="005C6370"/>
    <w:rsid w:val="005C6508"/>
    <w:rsid w:val="005C6547"/>
    <w:rsid w:val="005C6B23"/>
    <w:rsid w:val="005D01E4"/>
    <w:rsid w:val="005D11C8"/>
    <w:rsid w:val="005D1272"/>
    <w:rsid w:val="005D3EDC"/>
    <w:rsid w:val="005D414D"/>
    <w:rsid w:val="005D46DD"/>
    <w:rsid w:val="005D48CB"/>
    <w:rsid w:val="005D54BE"/>
    <w:rsid w:val="005D6214"/>
    <w:rsid w:val="005D6571"/>
    <w:rsid w:val="005D6C3B"/>
    <w:rsid w:val="005D79D6"/>
    <w:rsid w:val="005E114E"/>
    <w:rsid w:val="005E1BFC"/>
    <w:rsid w:val="005E24D7"/>
    <w:rsid w:val="005E24FC"/>
    <w:rsid w:val="005E35B1"/>
    <w:rsid w:val="005E3A14"/>
    <w:rsid w:val="005E3B0D"/>
    <w:rsid w:val="005E3BAC"/>
    <w:rsid w:val="005E3C26"/>
    <w:rsid w:val="005E3D2F"/>
    <w:rsid w:val="005E4B6E"/>
    <w:rsid w:val="005E4B9D"/>
    <w:rsid w:val="005E4F8C"/>
    <w:rsid w:val="005E5013"/>
    <w:rsid w:val="005E57F1"/>
    <w:rsid w:val="005E623A"/>
    <w:rsid w:val="005E78E7"/>
    <w:rsid w:val="005E7D23"/>
    <w:rsid w:val="005E7E46"/>
    <w:rsid w:val="005F0259"/>
    <w:rsid w:val="005F07BB"/>
    <w:rsid w:val="005F0DD3"/>
    <w:rsid w:val="005F16D1"/>
    <w:rsid w:val="005F2E75"/>
    <w:rsid w:val="005F35E6"/>
    <w:rsid w:val="005F3855"/>
    <w:rsid w:val="005F46AE"/>
    <w:rsid w:val="005F5B0B"/>
    <w:rsid w:val="005F7066"/>
    <w:rsid w:val="005F7E43"/>
    <w:rsid w:val="0060097E"/>
    <w:rsid w:val="00601A20"/>
    <w:rsid w:val="00602366"/>
    <w:rsid w:val="0060281E"/>
    <w:rsid w:val="00602F3A"/>
    <w:rsid w:val="006042EF"/>
    <w:rsid w:val="006044F4"/>
    <w:rsid w:val="00606390"/>
    <w:rsid w:val="0060641F"/>
    <w:rsid w:val="00606944"/>
    <w:rsid w:val="006107B8"/>
    <w:rsid w:val="006107CF"/>
    <w:rsid w:val="00611DF1"/>
    <w:rsid w:val="00612DAA"/>
    <w:rsid w:val="00613AFD"/>
    <w:rsid w:val="006145A6"/>
    <w:rsid w:val="006147BB"/>
    <w:rsid w:val="00614C7A"/>
    <w:rsid w:val="006152C4"/>
    <w:rsid w:val="00615669"/>
    <w:rsid w:val="00615F29"/>
    <w:rsid w:val="006167F1"/>
    <w:rsid w:val="00616B10"/>
    <w:rsid w:val="00617EB8"/>
    <w:rsid w:val="0062124D"/>
    <w:rsid w:val="00624249"/>
    <w:rsid w:val="00624A44"/>
    <w:rsid w:val="00624FA7"/>
    <w:rsid w:val="0062508D"/>
    <w:rsid w:val="0062784E"/>
    <w:rsid w:val="006300A5"/>
    <w:rsid w:val="00630483"/>
    <w:rsid w:val="0063086B"/>
    <w:rsid w:val="00630BBF"/>
    <w:rsid w:val="006310F8"/>
    <w:rsid w:val="0063141F"/>
    <w:rsid w:val="00631581"/>
    <w:rsid w:val="00631828"/>
    <w:rsid w:val="00631BE3"/>
    <w:rsid w:val="00631EB8"/>
    <w:rsid w:val="00631F90"/>
    <w:rsid w:val="0063226F"/>
    <w:rsid w:val="00632833"/>
    <w:rsid w:val="00632E05"/>
    <w:rsid w:val="0063342A"/>
    <w:rsid w:val="00633473"/>
    <w:rsid w:val="00633B84"/>
    <w:rsid w:val="0063786B"/>
    <w:rsid w:val="006409D9"/>
    <w:rsid w:val="00640BBB"/>
    <w:rsid w:val="00642BB5"/>
    <w:rsid w:val="00642D68"/>
    <w:rsid w:val="0064448E"/>
    <w:rsid w:val="006448AA"/>
    <w:rsid w:val="00645912"/>
    <w:rsid w:val="00645919"/>
    <w:rsid w:val="00645F10"/>
    <w:rsid w:val="0064692B"/>
    <w:rsid w:val="00647C1B"/>
    <w:rsid w:val="00647D6B"/>
    <w:rsid w:val="00651ECC"/>
    <w:rsid w:val="006535B0"/>
    <w:rsid w:val="006539BD"/>
    <w:rsid w:val="00654650"/>
    <w:rsid w:val="006546AB"/>
    <w:rsid w:val="00654FB2"/>
    <w:rsid w:val="006553BC"/>
    <w:rsid w:val="00655970"/>
    <w:rsid w:val="00655D62"/>
    <w:rsid w:val="00656251"/>
    <w:rsid w:val="00656FC4"/>
    <w:rsid w:val="00657145"/>
    <w:rsid w:val="00657379"/>
    <w:rsid w:val="00657748"/>
    <w:rsid w:val="00657781"/>
    <w:rsid w:val="006578FD"/>
    <w:rsid w:val="00660F9D"/>
    <w:rsid w:val="00661225"/>
    <w:rsid w:val="00662A93"/>
    <w:rsid w:val="006633D9"/>
    <w:rsid w:val="006634D2"/>
    <w:rsid w:val="006639DC"/>
    <w:rsid w:val="00663FDA"/>
    <w:rsid w:val="00664659"/>
    <w:rsid w:val="00664E28"/>
    <w:rsid w:val="006650BE"/>
    <w:rsid w:val="00665286"/>
    <w:rsid w:val="0066591B"/>
    <w:rsid w:val="00665DD9"/>
    <w:rsid w:val="00670261"/>
    <w:rsid w:val="00670348"/>
    <w:rsid w:val="006704AF"/>
    <w:rsid w:val="00670912"/>
    <w:rsid w:val="00671A97"/>
    <w:rsid w:val="00673114"/>
    <w:rsid w:val="00673398"/>
    <w:rsid w:val="0067533E"/>
    <w:rsid w:val="00676642"/>
    <w:rsid w:val="00681CA6"/>
    <w:rsid w:val="00682234"/>
    <w:rsid w:val="006830D1"/>
    <w:rsid w:val="00683E6D"/>
    <w:rsid w:val="00684884"/>
    <w:rsid w:val="00685B56"/>
    <w:rsid w:val="00685D84"/>
    <w:rsid w:val="00686068"/>
    <w:rsid w:val="00687B4B"/>
    <w:rsid w:val="006904F3"/>
    <w:rsid w:val="006905E6"/>
    <w:rsid w:val="00690B4A"/>
    <w:rsid w:val="00693A2A"/>
    <w:rsid w:val="00694839"/>
    <w:rsid w:val="0069590D"/>
    <w:rsid w:val="006960FE"/>
    <w:rsid w:val="00696808"/>
    <w:rsid w:val="00696FC3"/>
    <w:rsid w:val="00697ED7"/>
    <w:rsid w:val="006A0709"/>
    <w:rsid w:val="006A0A18"/>
    <w:rsid w:val="006A0ED1"/>
    <w:rsid w:val="006A116F"/>
    <w:rsid w:val="006A2396"/>
    <w:rsid w:val="006A2541"/>
    <w:rsid w:val="006A341E"/>
    <w:rsid w:val="006A541A"/>
    <w:rsid w:val="006A6A43"/>
    <w:rsid w:val="006A6BD9"/>
    <w:rsid w:val="006A6FAB"/>
    <w:rsid w:val="006A745F"/>
    <w:rsid w:val="006A7695"/>
    <w:rsid w:val="006A76EB"/>
    <w:rsid w:val="006A7E6B"/>
    <w:rsid w:val="006B05CF"/>
    <w:rsid w:val="006B109F"/>
    <w:rsid w:val="006B1684"/>
    <w:rsid w:val="006B1A7E"/>
    <w:rsid w:val="006B1DC7"/>
    <w:rsid w:val="006B3A8D"/>
    <w:rsid w:val="006B48ED"/>
    <w:rsid w:val="006B5083"/>
    <w:rsid w:val="006B63E2"/>
    <w:rsid w:val="006B640E"/>
    <w:rsid w:val="006B6A6A"/>
    <w:rsid w:val="006B7990"/>
    <w:rsid w:val="006B7A50"/>
    <w:rsid w:val="006B7CCE"/>
    <w:rsid w:val="006C06BD"/>
    <w:rsid w:val="006C1A26"/>
    <w:rsid w:val="006C2DF4"/>
    <w:rsid w:val="006C4208"/>
    <w:rsid w:val="006C5627"/>
    <w:rsid w:val="006C60E8"/>
    <w:rsid w:val="006C628D"/>
    <w:rsid w:val="006C7789"/>
    <w:rsid w:val="006C7BB3"/>
    <w:rsid w:val="006D002B"/>
    <w:rsid w:val="006D08C9"/>
    <w:rsid w:val="006D0B23"/>
    <w:rsid w:val="006D0BCD"/>
    <w:rsid w:val="006D10AB"/>
    <w:rsid w:val="006D12F9"/>
    <w:rsid w:val="006D1574"/>
    <w:rsid w:val="006D1677"/>
    <w:rsid w:val="006D18C7"/>
    <w:rsid w:val="006D26FB"/>
    <w:rsid w:val="006D308D"/>
    <w:rsid w:val="006D31CA"/>
    <w:rsid w:val="006D4B76"/>
    <w:rsid w:val="006D50CD"/>
    <w:rsid w:val="006D5A0C"/>
    <w:rsid w:val="006D67D0"/>
    <w:rsid w:val="006D68A2"/>
    <w:rsid w:val="006D6965"/>
    <w:rsid w:val="006D6B61"/>
    <w:rsid w:val="006D6DC8"/>
    <w:rsid w:val="006D6E95"/>
    <w:rsid w:val="006D6F9F"/>
    <w:rsid w:val="006D7E30"/>
    <w:rsid w:val="006E029F"/>
    <w:rsid w:val="006E1304"/>
    <w:rsid w:val="006E199A"/>
    <w:rsid w:val="006E1F2D"/>
    <w:rsid w:val="006E1F3B"/>
    <w:rsid w:val="006E327D"/>
    <w:rsid w:val="006E3810"/>
    <w:rsid w:val="006E45A9"/>
    <w:rsid w:val="006E4C72"/>
    <w:rsid w:val="006E4C85"/>
    <w:rsid w:val="006E502A"/>
    <w:rsid w:val="006E58CA"/>
    <w:rsid w:val="006E5925"/>
    <w:rsid w:val="006E66B5"/>
    <w:rsid w:val="006E6CD1"/>
    <w:rsid w:val="006E6DD5"/>
    <w:rsid w:val="006E74C2"/>
    <w:rsid w:val="006E77A4"/>
    <w:rsid w:val="006F0231"/>
    <w:rsid w:val="006F08CB"/>
    <w:rsid w:val="006F0DD1"/>
    <w:rsid w:val="006F1AB0"/>
    <w:rsid w:val="006F278F"/>
    <w:rsid w:val="006F3B1B"/>
    <w:rsid w:val="006F3D02"/>
    <w:rsid w:val="006F450D"/>
    <w:rsid w:val="006F5642"/>
    <w:rsid w:val="006F60A7"/>
    <w:rsid w:val="006F70E5"/>
    <w:rsid w:val="006F73BF"/>
    <w:rsid w:val="006F76F1"/>
    <w:rsid w:val="006F775F"/>
    <w:rsid w:val="006F7887"/>
    <w:rsid w:val="0070007F"/>
    <w:rsid w:val="00700FAC"/>
    <w:rsid w:val="0070183C"/>
    <w:rsid w:val="007025B7"/>
    <w:rsid w:val="007039D5"/>
    <w:rsid w:val="00704EA6"/>
    <w:rsid w:val="0070726C"/>
    <w:rsid w:val="00707481"/>
    <w:rsid w:val="007075BF"/>
    <w:rsid w:val="00707AB5"/>
    <w:rsid w:val="00707F01"/>
    <w:rsid w:val="007106DE"/>
    <w:rsid w:val="0071114A"/>
    <w:rsid w:val="00711285"/>
    <w:rsid w:val="00713A1F"/>
    <w:rsid w:val="00713E5E"/>
    <w:rsid w:val="007143AC"/>
    <w:rsid w:val="00715C54"/>
    <w:rsid w:val="007174A3"/>
    <w:rsid w:val="007205A3"/>
    <w:rsid w:val="007208C3"/>
    <w:rsid w:val="00720CE5"/>
    <w:rsid w:val="00722589"/>
    <w:rsid w:val="007225C2"/>
    <w:rsid w:val="007230DC"/>
    <w:rsid w:val="00723700"/>
    <w:rsid w:val="00724288"/>
    <w:rsid w:val="00724B01"/>
    <w:rsid w:val="0072602F"/>
    <w:rsid w:val="00726711"/>
    <w:rsid w:val="0073159D"/>
    <w:rsid w:val="007329CE"/>
    <w:rsid w:val="00732AEC"/>
    <w:rsid w:val="00732CEA"/>
    <w:rsid w:val="00733066"/>
    <w:rsid w:val="00733C23"/>
    <w:rsid w:val="0073406A"/>
    <w:rsid w:val="00735A76"/>
    <w:rsid w:val="00736009"/>
    <w:rsid w:val="007363AA"/>
    <w:rsid w:val="00737CD3"/>
    <w:rsid w:val="00737EFC"/>
    <w:rsid w:val="00740410"/>
    <w:rsid w:val="007411DD"/>
    <w:rsid w:val="00741927"/>
    <w:rsid w:val="007420C1"/>
    <w:rsid w:val="00742AAD"/>
    <w:rsid w:val="00745B0B"/>
    <w:rsid w:val="0074640B"/>
    <w:rsid w:val="0074641E"/>
    <w:rsid w:val="00747078"/>
    <w:rsid w:val="0075039A"/>
    <w:rsid w:val="00750A0B"/>
    <w:rsid w:val="00750ADA"/>
    <w:rsid w:val="00750F9E"/>
    <w:rsid w:val="007510C2"/>
    <w:rsid w:val="00751FAE"/>
    <w:rsid w:val="007525A7"/>
    <w:rsid w:val="00752868"/>
    <w:rsid w:val="007536FD"/>
    <w:rsid w:val="007541D6"/>
    <w:rsid w:val="00754203"/>
    <w:rsid w:val="00755D75"/>
    <w:rsid w:val="00756366"/>
    <w:rsid w:val="00756651"/>
    <w:rsid w:val="00757E63"/>
    <w:rsid w:val="0076180C"/>
    <w:rsid w:val="00763B09"/>
    <w:rsid w:val="0076410A"/>
    <w:rsid w:val="00764B4C"/>
    <w:rsid w:val="00765A48"/>
    <w:rsid w:val="00765BCA"/>
    <w:rsid w:val="0076622E"/>
    <w:rsid w:val="007662D1"/>
    <w:rsid w:val="00766A2E"/>
    <w:rsid w:val="00766A65"/>
    <w:rsid w:val="00766BFD"/>
    <w:rsid w:val="007673AB"/>
    <w:rsid w:val="0077063B"/>
    <w:rsid w:val="007708C5"/>
    <w:rsid w:val="007708DF"/>
    <w:rsid w:val="00770A40"/>
    <w:rsid w:val="00770FEE"/>
    <w:rsid w:val="00771AC4"/>
    <w:rsid w:val="00772596"/>
    <w:rsid w:val="00773B37"/>
    <w:rsid w:val="00773BFE"/>
    <w:rsid w:val="007746FB"/>
    <w:rsid w:val="0077518C"/>
    <w:rsid w:val="007758A9"/>
    <w:rsid w:val="00775C40"/>
    <w:rsid w:val="007772F6"/>
    <w:rsid w:val="00777C63"/>
    <w:rsid w:val="00780573"/>
    <w:rsid w:val="00780693"/>
    <w:rsid w:val="007812E7"/>
    <w:rsid w:val="00781A48"/>
    <w:rsid w:val="00782908"/>
    <w:rsid w:val="00783BC6"/>
    <w:rsid w:val="0078563E"/>
    <w:rsid w:val="00786483"/>
    <w:rsid w:val="00787745"/>
    <w:rsid w:val="00790596"/>
    <w:rsid w:val="00791A29"/>
    <w:rsid w:val="00792214"/>
    <w:rsid w:val="00792357"/>
    <w:rsid w:val="00793E9D"/>
    <w:rsid w:val="007945BF"/>
    <w:rsid w:val="00795E25"/>
    <w:rsid w:val="00796EA2"/>
    <w:rsid w:val="0079722D"/>
    <w:rsid w:val="007973A8"/>
    <w:rsid w:val="007A2B0F"/>
    <w:rsid w:val="007A2C47"/>
    <w:rsid w:val="007A42A6"/>
    <w:rsid w:val="007A437F"/>
    <w:rsid w:val="007A5048"/>
    <w:rsid w:val="007A6A78"/>
    <w:rsid w:val="007B0730"/>
    <w:rsid w:val="007B0C1E"/>
    <w:rsid w:val="007B1891"/>
    <w:rsid w:val="007B1B5E"/>
    <w:rsid w:val="007B1F25"/>
    <w:rsid w:val="007B2488"/>
    <w:rsid w:val="007B2D75"/>
    <w:rsid w:val="007B4183"/>
    <w:rsid w:val="007B44FE"/>
    <w:rsid w:val="007B4CA8"/>
    <w:rsid w:val="007B5C26"/>
    <w:rsid w:val="007B7F8B"/>
    <w:rsid w:val="007C09D4"/>
    <w:rsid w:val="007C2962"/>
    <w:rsid w:val="007C38E7"/>
    <w:rsid w:val="007C42D0"/>
    <w:rsid w:val="007C5C0C"/>
    <w:rsid w:val="007C5ECD"/>
    <w:rsid w:val="007C6FA9"/>
    <w:rsid w:val="007C71DA"/>
    <w:rsid w:val="007C74F1"/>
    <w:rsid w:val="007C7529"/>
    <w:rsid w:val="007C7CD3"/>
    <w:rsid w:val="007D1A87"/>
    <w:rsid w:val="007D1B3A"/>
    <w:rsid w:val="007D1C57"/>
    <w:rsid w:val="007D3BF3"/>
    <w:rsid w:val="007D4012"/>
    <w:rsid w:val="007D436F"/>
    <w:rsid w:val="007D4A6A"/>
    <w:rsid w:val="007D604D"/>
    <w:rsid w:val="007D6D92"/>
    <w:rsid w:val="007D6F82"/>
    <w:rsid w:val="007D72D6"/>
    <w:rsid w:val="007DD7DD"/>
    <w:rsid w:val="007E2046"/>
    <w:rsid w:val="007E237E"/>
    <w:rsid w:val="007E270A"/>
    <w:rsid w:val="007E2865"/>
    <w:rsid w:val="007E3E9B"/>
    <w:rsid w:val="007E5060"/>
    <w:rsid w:val="007E51F4"/>
    <w:rsid w:val="007E7E87"/>
    <w:rsid w:val="007E7F4E"/>
    <w:rsid w:val="007F0346"/>
    <w:rsid w:val="007F05BF"/>
    <w:rsid w:val="007F0E68"/>
    <w:rsid w:val="007F1460"/>
    <w:rsid w:val="007F26D5"/>
    <w:rsid w:val="007F2B86"/>
    <w:rsid w:val="007F33E9"/>
    <w:rsid w:val="007F4A6E"/>
    <w:rsid w:val="007F4DE8"/>
    <w:rsid w:val="007F5354"/>
    <w:rsid w:val="007F56FE"/>
    <w:rsid w:val="007F577B"/>
    <w:rsid w:val="007F5E5C"/>
    <w:rsid w:val="007F6419"/>
    <w:rsid w:val="007F6B35"/>
    <w:rsid w:val="007F7022"/>
    <w:rsid w:val="007F76E1"/>
    <w:rsid w:val="008000BB"/>
    <w:rsid w:val="0080068F"/>
    <w:rsid w:val="00800E74"/>
    <w:rsid w:val="0080255F"/>
    <w:rsid w:val="0080271A"/>
    <w:rsid w:val="00802BB6"/>
    <w:rsid w:val="00803204"/>
    <w:rsid w:val="008039BC"/>
    <w:rsid w:val="008047E4"/>
    <w:rsid w:val="00804C2C"/>
    <w:rsid w:val="008054A7"/>
    <w:rsid w:val="008055C1"/>
    <w:rsid w:val="008065A5"/>
    <w:rsid w:val="00807468"/>
    <w:rsid w:val="00807703"/>
    <w:rsid w:val="00807966"/>
    <w:rsid w:val="00807C7E"/>
    <w:rsid w:val="00807FCE"/>
    <w:rsid w:val="00810571"/>
    <w:rsid w:val="00811633"/>
    <w:rsid w:val="00811A05"/>
    <w:rsid w:val="008120AD"/>
    <w:rsid w:val="008124D8"/>
    <w:rsid w:val="00812A91"/>
    <w:rsid w:val="00812F82"/>
    <w:rsid w:val="00813030"/>
    <w:rsid w:val="00813A42"/>
    <w:rsid w:val="00813C1C"/>
    <w:rsid w:val="008142BD"/>
    <w:rsid w:val="0081492B"/>
    <w:rsid w:val="008150DD"/>
    <w:rsid w:val="008156B6"/>
    <w:rsid w:val="00815F60"/>
    <w:rsid w:val="00816182"/>
    <w:rsid w:val="008161B7"/>
    <w:rsid w:val="00816F6D"/>
    <w:rsid w:val="008170BB"/>
    <w:rsid w:val="008177B5"/>
    <w:rsid w:val="00820355"/>
    <w:rsid w:val="008205F1"/>
    <w:rsid w:val="00820AF4"/>
    <w:rsid w:val="00820CE1"/>
    <w:rsid w:val="00821A02"/>
    <w:rsid w:val="00823840"/>
    <w:rsid w:val="0082391D"/>
    <w:rsid w:val="00824904"/>
    <w:rsid w:val="00824D89"/>
    <w:rsid w:val="00825889"/>
    <w:rsid w:val="0082623A"/>
    <w:rsid w:val="00826D71"/>
    <w:rsid w:val="00826E58"/>
    <w:rsid w:val="0082768D"/>
    <w:rsid w:val="00827AB2"/>
    <w:rsid w:val="00830C87"/>
    <w:rsid w:val="008310B1"/>
    <w:rsid w:val="0083194D"/>
    <w:rsid w:val="00832632"/>
    <w:rsid w:val="00833832"/>
    <w:rsid w:val="00835856"/>
    <w:rsid w:val="008358AB"/>
    <w:rsid w:val="00835B35"/>
    <w:rsid w:val="008366C2"/>
    <w:rsid w:val="00837271"/>
    <w:rsid w:val="00837930"/>
    <w:rsid w:val="00837D12"/>
    <w:rsid w:val="00840ADB"/>
    <w:rsid w:val="00840C69"/>
    <w:rsid w:val="00842850"/>
    <w:rsid w:val="00843B86"/>
    <w:rsid w:val="00845D56"/>
    <w:rsid w:val="00846C3A"/>
    <w:rsid w:val="00846DEA"/>
    <w:rsid w:val="00847C6C"/>
    <w:rsid w:val="0085009A"/>
    <w:rsid w:val="00850117"/>
    <w:rsid w:val="0085028E"/>
    <w:rsid w:val="0085034E"/>
    <w:rsid w:val="008506D4"/>
    <w:rsid w:val="00851128"/>
    <w:rsid w:val="008512DF"/>
    <w:rsid w:val="008532DB"/>
    <w:rsid w:val="00854739"/>
    <w:rsid w:val="0085483D"/>
    <w:rsid w:val="008554E7"/>
    <w:rsid w:val="008556A7"/>
    <w:rsid w:val="00855DD1"/>
    <w:rsid w:val="00857356"/>
    <w:rsid w:val="0085756F"/>
    <w:rsid w:val="0086008B"/>
    <w:rsid w:val="008605D5"/>
    <w:rsid w:val="008617BA"/>
    <w:rsid w:val="00861A52"/>
    <w:rsid w:val="008628A7"/>
    <w:rsid w:val="0086310A"/>
    <w:rsid w:val="00863249"/>
    <w:rsid w:val="00863683"/>
    <w:rsid w:val="00863EFF"/>
    <w:rsid w:val="00864A38"/>
    <w:rsid w:val="00864B9F"/>
    <w:rsid w:val="00866216"/>
    <w:rsid w:val="008665A3"/>
    <w:rsid w:val="00866724"/>
    <w:rsid w:val="0086678E"/>
    <w:rsid w:val="0086749D"/>
    <w:rsid w:val="00867861"/>
    <w:rsid w:val="00867A33"/>
    <w:rsid w:val="00867D9E"/>
    <w:rsid w:val="0087021A"/>
    <w:rsid w:val="00870A6C"/>
    <w:rsid w:val="00870CC0"/>
    <w:rsid w:val="00870D59"/>
    <w:rsid w:val="008710E7"/>
    <w:rsid w:val="00871885"/>
    <w:rsid w:val="00871E8C"/>
    <w:rsid w:val="00871EC0"/>
    <w:rsid w:val="00872950"/>
    <w:rsid w:val="00873266"/>
    <w:rsid w:val="00873453"/>
    <w:rsid w:val="008737C7"/>
    <w:rsid w:val="00873D09"/>
    <w:rsid w:val="00874723"/>
    <w:rsid w:val="00877503"/>
    <w:rsid w:val="00880135"/>
    <w:rsid w:val="00880771"/>
    <w:rsid w:val="00880AD4"/>
    <w:rsid w:val="00884083"/>
    <w:rsid w:val="0088444D"/>
    <w:rsid w:val="0088446C"/>
    <w:rsid w:val="00884EE5"/>
    <w:rsid w:val="0088634C"/>
    <w:rsid w:val="00886A5E"/>
    <w:rsid w:val="008876D3"/>
    <w:rsid w:val="00887EB5"/>
    <w:rsid w:val="00890003"/>
    <w:rsid w:val="00890333"/>
    <w:rsid w:val="0089091F"/>
    <w:rsid w:val="00892115"/>
    <w:rsid w:val="0089218A"/>
    <w:rsid w:val="00892794"/>
    <w:rsid w:val="00892B2D"/>
    <w:rsid w:val="00892C4F"/>
    <w:rsid w:val="00892C52"/>
    <w:rsid w:val="008937ED"/>
    <w:rsid w:val="00894276"/>
    <w:rsid w:val="00894888"/>
    <w:rsid w:val="008949D2"/>
    <w:rsid w:val="00897AC2"/>
    <w:rsid w:val="00897F1B"/>
    <w:rsid w:val="008A04E8"/>
    <w:rsid w:val="008A14B1"/>
    <w:rsid w:val="008A17A2"/>
    <w:rsid w:val="008A2F1E"/>
    <w:rsid w:val="008A317F"/>
    <w:rsid w:val="008A3E0E"/>
    <w:rsid w:val="008A41AD"/>
    <w:rsid w:val="008A4E01"/>
    <w:rsid w:val="008A52F2"/>
    <w:rsid w:val="008A5B34"/>
    <w:rsid w:val="008A7123"/>
    <w:rsid w:val="008B0CDD"/>
    <w:rsid w:val="008B0FA9"/>
    <w:rsid w:val="008B107B"/>
    <w:rsid w:val="008B1CCA"/>
    <w:rsid w:val="008B3B44"/>
    <w:rsid w:val="008B550F"/>
    <w:rsid w:val="008B571C"/>
    <w:rsid w:val="008B5C53"/>
    <w:rsid w:val="008B6961"/>
    <w:rsid w:val="008B7849"/>
    <w:rsid w:val="008B7A6E"/>
    <w:rsid w:val="008C0114"/>
    <w:rsid w:val="008C04FD"/>
    <w:rsid w:val="008C0BB1"/>
    <w:rsid w:val="008C103E"/>
    <w:rsid w:val="008C288F"/>
    <w:rsid w:val="008C2BC1"/>
    <w:rsid w:val="008C30E3"/>
    <w:rsid w:val="008C3257"/>
    <w:rsid w:val="008C3714"/>
    <w:rsid w:val="008C3781"/>
    <w:rsid w:val="008C4379"/>
    <w:rsid w:val="008C491C"/>
    <w:rsid w:val="008C49A6"/>
    <w:rsid w:val="008C4E44"/>
    <w:rsid w:val="008C5866"/>
    <w:rsid w:val="008C628F"/>
    <w:rsid w:val="008C77FB"/>
    <w:rsid w:val="008C7B8D"/>
    <w:rsid w:val="008D0465"/>
    <w:rsid w:val="008D12BE"/>
    <w:rsid w:val="008D17F9"/>
    <w:rsid w:val="008D1F2B"/>
    <w:rsid w:val="008D2617"/>
    <w:rsid w:val="008D2CC3"/>
    <w:rsid w:val="008D3B77"/>
    <w:rsid w:val="008D4102"/>
    <w:rsid w:val="008D44B0"/>
    <w:rsid w:val="008D60F3"/>
    <w:rsid w:val="008D63B6"/>
    <w:rsid w:val="008D6572"/>
    <w:rsid w:val="008D6874"/>
    <w:rsid w:val="008D6B73"/>
    <w:rsid w:val="008D7B6A"/>
    <w:rsid w:val="008E0234"/>
    <w:rsid w:val="008E0D58"/>
    <w:rsid w:val="008E113B"/>
    <w:rsid w:val="008E13DB"/>
    <w:rsid w:val="008E2934"/>
    <w:rsid w:val="008E2A68"/>
    <w:rsid w:val="008E2EE0"/>
    <w:rsid w:val="008E4205"/>
    <w:rsid w:val="008E4208"/>
    <w:rsid w:val="008E4255"/>
    <w:rsid w:val="008E4917"/>
    <w:rsid w:val="008E4AE7"/>
    <w:rsid w:val="008E567A"/>
    <w:rsid w:val="008E5945"/>
    <w:rsid w:val="008F16CD"/>
    <w:rsid w:val="008F1C52"/>
    <w:rsid w:val="008F1DDD"/>
    <w:rsid w:val="008F20CA"/>
    <w:rsid w:val="008F2EB9"/>
    <w:rsid w:val="008F3071"/>
    <w:rsid w:val="008F307D"/>
    <w:rsid w:val="008F421A"/>
    <w:rsid w:val="008F5473"/>
    <w:rsid w:val="008F664D"/>
    <w:rsid w:val="008F6F74"/>
    <w:rsid w:val="008F7459"/>
    <w:rsid w:val="00901EA4"/>
    <w:rsid w:val="00901EC7"/>
    <w:rsid w:val="0090251F"/>
    <w:rsid w:val="00902B94"/>
    <w:rsid w:val="00902E38"/>
    <w:rsid w:val="0090360B"/>
    <w:rsid w:val="00903A83"/>
    <w:rsid w:val="00904CB3"/>
    <w:rsid w:val="00904CDA"/>
    <w:rsid w:val="009050AB"/>
    <w:rsid w:val="00905851"/>
    <w:rsid w:val="00905E5C"/>
    <w:rsid w:val="0090649F"/>
    <w:rsid w:val="00906531"/>
    <w:rsid w:val="00906BB0"/>
    <w:rsid w:val="00907122"/>
    <w:rsid w:val="00907689"/>
    <w:rsid w:val="00907B2D"/>
    <w:rsid w:val="009127FA"/>
    <w:rsid w:val="00912873"/>
    <w:rsid w:val="00912F4F"/>
    <w:rsid w:val="009142E3"/>
    <w:rsid w:val="009145AE"/>
    <w:rsid w:val="009146E6"/>
    <w:rsid w:val="00915B74"/>
    <w:rsid w:val="009175B7"/>
    <w:rsid w:val="009177B2"/>
    <w:rsid w:val="00917ABA"/>
    <w:rsid w:val="0091912B"/>
    <w:rsid w:val="0092039C"/>
    <w:rsid w:val="00920CC0"/>
    <w:rsid w:val="00921CE4"/>
    <w:rsid w:val="00922411"/>
    <w:rsid w:val="009224D9"/>
    <w:rsid w:val="00923C62"/>
    <w:rsid w:val="009240C2"/>
    <w:rsid w:val="009242AE"/>
    <w:rsid w:val="00926B32"/>
    <w:rsid w:val="009275F4"/>
    <w:rsid w:val="009277BC"/>
    <w:rsid w:val="00927A5F"/>
    <w:rsid w:val="00927FF3"/>
    <w:rsid w:val="00930A85"/>
    <w:rsid w:val="00931C5C"/>
    <w:rsid w:val="00932F83"/>
    <w:rsid w:val="009333E1"/>
    <w:rsid w:val="0093377E"/>
    <w:rsid w:val="00933DEE"/>
    <w:rsid w:val="00933ED2"/>
    <w:rsid w:val="00933ED9"/>
    <w:rsid w:val="00934396"/>
    <w:rsid w:val="00934844"/>
    <w:rsid w:val="009353C3"/>
    <w:rsid w:val="00935A1E"/>
    <w:rsid w:val="00935A96"/>
    <w:rsid w:val="00940074"/>
    <w:rsid w:val="00941D11"/>
    <w:rsid w:val="00942300"/>
    <w:rsid w:val="009426EE"/>
    <w:rsid w:val="0094289C"/>
    <w:rsid w:val="009439C0"/>
    <w:rsid w:val="00944358"/>
    <w:rsid w:val="0094541A"/>
    <w:rsid w:val="0094543C"/>
    <w:rsid w:val="00945BA9"/>
    <w:rsid w:val="009478B8"/>
    <w:rsid w:val="0095116B"/>
    <w:rsid w:val="00951ADB"/>
    <w:rsid w:val="00951F35"/>
    <w:rsid w:val="009529AB"/>
    <w:rsid w:val="00953328"/>
    <w:rsid w:val="00953D89"/>
    <w:rsid w:val="00953E41"/>
    <w:rsid w:val="00954842"/>
    <w:rsid w:val="00955B3B"/>
    <w:rsid w:val="00955BF1"/>
    <w:rsid w:val="009565AF"/>
    <w:rsid w:val="00956DEE"/>
    <w:rsid w:val="00956FA6"/>
    <w:rsid w:val="00957885"/>
    <w:rsid w:val="00957C68"/>
    <w:rsid w:val="00957CAC"/>
    <w:rsid w:val="009600B3"/>
    <w:rsid w:val="009635AB"/>
    <w:rsid w:val="00963E6F"/>
    <w:rsid w:val="0096456C"/>
    <w:rsid w:val="0096484B"/>
    <w:rsid w:val="00964B28"/>
    <w:rsid w:val="00965ACE"/>
    <w:rsid w:val="009661BE"/>
    <w:rsid w:val="009675EF"/>
    <w:rsid w:val="00967D02"/>
    <w:rsid w:val="0097094C"/>
    <w:rsid w:val="009711BC"/>
    <w:rsid w:val="00974338"/>
    <w:rsid w:val="009749A5"/>
    <w:rsid w:val="00974FA4"/>
    <w:rsid w:val="00975335"/>
    <w:rsid w:val="009760A4"/>
    <w:rsid w:val="009764E3"/>
    <w:rsid w:val="009770E9"/>
    <w:rsid w:val="0097767F"/>
    <w:rsid w:val="00980434"/>
    <w:rsid w:val="00980A9B"/>
    <w:rsid w:val="0098130D"/>
    <w:rsid w:val="00983156"/>
    <w:rsid w:val="0098350C"/>
    <w:rsid w:val="00984138"/>
    <w:rsid w:val="00984A56"/>
    <w:rsid w:val="00985D6D"/>
    <w:rsid w:val="009864F9"/>
    <w:rsid w:val="009878A9"/>
    <w:rsid w:val="00987B76"/>
    <w:rsid w:val="009928B4"/>
    <w:rsid w:val="009938E6"/>
    <w:rsid w:val="009942D1"/>
    <w:rsid w:val="00994797"/>
    <w:rsid w:val="00994E5C"/>
    <w:rsid w:val="00996AE7"/>
    <w:rsid w:val="00996DCD"/>
    <w:rsid w:val="009970F4"/>
    <w:rsid w:val="00997D26"/>
    <w:rsid w:val="00997D4C"/>
    <w:rsid w:val="009A01C9"/>
    <w:rsid w:val="009A0787"/>
    <w:rsid w:val="009A0B92"/>
    <w:rsid w:val="009A0C18"/>
    <w:rsid w:val="009A16CD"/>
    <w:rsid w:val="009A1A93"/>
    <w:rsid w:val="009A1E32"/>
    <w:rsid w:val="009A23E9"/>
    <w:rsid w:val="009A2486"/>
    <w:rsid w:val="009A2FD5"/>
    <w:rsid w:val="009A3378"/>
    <w:rsid w:val="009A384D"/>
    <w:rsid w:val="009A4F5A"/>
    <w:rsid w:val="009A5023"/>
    <w:rsid w:val="009A588D"/>
    <w:rsid w:val="009A6F28"/>
    <w:rsid w:val="009A70D0"/>
    <w:rsid w:val="009A757D"/>
    <w:rsid w:val="009A78D6"/>
    <w:rsid w:val="009A78FD"/>
    <w:rsid w:val="009B0412"/>
    <w:rsid w:val="009B0CC7"/>
    <w:rsid w:val="009B18C2"/>
    <w:rsid w:val="009B1EEC"/>
    <w:rsid w:val="009B32CC"/>
    <w:rsid w:val="009B3524"/>
    <w:rsid w:val="009B3A05"/>
    <w:rsid w:val="009B4A04"/>
    <w:rsid w:val="009B4F89"/>
    <w:rsid w:val="009B58A5"/>
    <w:rsid w:val="009B5AB3"/>
    <w:rsid w:val="009B5C64"/>
    <w:rsid w:val="009B711B"/>
    <w:rsid w:val="009C03A7"/>
    <w:rsid w:val="009C072F"/>
    <w:rsid w:val="009C07F9"/>
    <w:rsid w:val="009C12A6"/>
    <w:rsid w:val="009C25BF"/>
    <w:rsid w:val="009C31DC"/>
    <w:rsid w:val="009C3C71"/>
    <w:rsid w:val="009C4234"/>
    <w:rsid w:val="009C4401"/>
    <w:rsid w:val="009C59DD"/>
    <w:rsid w:val="009C5B35"/>
    <w:rsid w:val="009C635D"/>
    <w:rsid w:val="009C694C"/>
    <w:rsid w:val="009D18AA"/>
    <w:rsid w:val="009D1A4B"/>
    <w:rsid w:val="009D2694"/>
    <w:rsid w:val="009D2699"/>
    <w:rsid w:val="009D5166"/>
    <w:rsid w:val="009D53A7"/>
    <w:rsid w:val="009D7462"/>
    <w:rsid w:val="009E0137"/>
    <w:rsid w:val="009E0447"/>
    <w:rsid w:val="009E04EB"/>
    <w:rsid w:val="009E0CF7"/>
    <w:rsid w:val="009E25D9"/>
    <w:rsid w:val="009E2A8A"/>
    <w:rsid w:val="009E2B23"/>
    <w:rsid w:val="009E2CDE"/>
    <w:rsid w:val="009E36A3"/>
    <w:rsid w:val="009E3BB1"/>
    <w:rsid w:val="009E4786"/>
    <w:rsid w:val="009E4EB8"/>
    <w:rsid w:val="009E5555"/>
    <w:rsid w:val="009E58B9"/>
    <w:rsid w:val="009E6D45"/>
    <w:rsid w:val="009E73A5"/>
    <w:rsid w:val="009E74A7"/>
    <w:rsid w:val="009E7D47"/>
    <w:rsid w:val="009F09C5"/>
    <w:rsid w:val="009F178B"/>
    <w:rsid w:val="009F1E0D"/>
    <w:rsid w:val="009F1E4F"/>
    <w:rsid w:val="009F22B1"/>
    <w:rsid w:val="009F2301"/>
    <w:rsid w:val="009F2C3C"/>
    <w:rsid w:val="009F359B"/>
    <w:rsid w:val="009F4369"/>
    <w:rsid w:val="009F5552"/>
    <w:rsid w:val="009F676C"/>
    <w:rsid w:val="009F67A9"/>
    <w:rsid w:val="009F7056"/>
    <w:rsid w:val="00A0063C"/>
    <w:rsid w:val="00A0163C"/>
    <w:rsid w:val="00A019FD"/>
    <w:rsid w:val="00A02CCA"/>
    <w:rsid w:val="00A02FA8"/>
    <w:rsid w:val="00A03259"/>
    <w:rsid w:val="00A03874"/>
    <w:rsid w:val="00A0389C"/>
    <w:rsid w:val="00A04578"/>
    <w:rsid w:val="00A04FE0"/>
    <w:rsid w:val="00A05992"/>
    <w:rsid w:val="00A065E7"/>
    <w:rsid w:val="00A06790"/>
    <w:rsid w:val="00A06A2A"/>
    <w:rsid w:val="00A07A79"/>
    <w:rsid w:val="00A07D5A"/>
    <w:rsid w:val="00A07F77"/>
    <w:rsid w:val="00A10024"/>
    <w:rsid w:val="00A106A7"/>
    <w:rsid w:val="00A10E63"/>
    <w:rsid w:val="00A11323"/>
    <w:rsid w:val="00A12760"/>
    <w:rsid w:val="00A12773"/>
    <w:rsid w:val="00A12B2A"/>
    <w:rsid w:val="00A139E4"/>
    <w:rsid w:val="00A13F34"/>
    <w:rsid w:val="00A149AC"/>
    <w:rsid w:val="00A14D1D"/>
    <w:rsid w:val="00A15327"/>
    <w:rsid w:val="00A15666"/>
    <w:rsid w:val="00A16655"/>
    <w:rsid w:val="00A17AC7"/>
    <w:rsid w:val="00A2042B"/>
    <w:rsid w:val="00A22EB7"/>
    <w:rsid w:val="00A2364F"/>
    <w:rsid w:val="00A247EE"/>
    <w:rsid w:val="00A24BB9"/>
    <w:rsid w:val="00A24D6A"/>
    <w:rsid w:val="00A25617"/>
    <w:rsid w:val="00A258C1"/>
    <w:rsid w:val="00A25A8B"/>
    <w:rsid w:val="00A25CB0"/>
    <w:rsid w:val="00A25FE6"/>
    <w:rsid w:val="00A26855"/>
    <w:rsid w:val="00A26CB7"/>
    <w:rsid w:val="00A278C3"/>
    <w:rsid w:val="00A27BB7"/>
    <w:rsid w:val="00A27FB7"/>
    <w:rsid w:val="00A30700"/>
    <w:rsid w:val="00A3227D"/>
    <w:rsid w:val="00A32688"/>
    <w:rsid w:val="00A32747"/>
    <w:rsid w:val="00A32D05"/>
    <w:rsid w:val="00A3351D"/>
    <w:rsid w:val="00A33B46"/>
    <w:rsid w:val="00A35252"/>
    <w:rsid w:val="00A356C1"/>
    <w:rsid w:val="00A35F04"/>
    <w:rsid w:val="00A3624B"/>
    <w:rsid w:val="00A365B0"/>
    <w:rsid w:val="00A3779E"/>
    <w:rsid w:val="00A40584"/>
    <w:rsid w:val="00A40782"/>
    <w:rsid w:val="00A41139"/>
    <w:rsid w:val="00A42BE0"/>
    <w:rsid w:val="00A43481"/>
    <w:rsid w:val="00A4391A"/>
    <w:rsid w:val="00A43A16"/>
    <w:rsid w:val="00A4467C"/>
    <w:rsid w:val="00A44BEA"/>
    <w:rsid w:val="00A44E5D"/>
    <w:rsid w:val="00A45127"/>
    <w:rsid w:val="00A4608F"/>
    <w:rsid w:val="00A46148"/>
    <w:rsid w:val="00A46176"/>
    <w:rsid w:val="00A46FB3"/>
    <w:rsid w:val="00A47858"/>
    <w:rsid w:val="00A47F3F"/>
    <w:rsid w:val="00A50AFD"/>
    <w:rsid w:val="00A51007"/>
    <w:rsid w:val="00A510CB"/>
    <w:rsid w:val="00A51B74"/>
    <w:rsid w:val="00A51FEB"/>
    <w:rsid w:val="00A52427"/>
    <w:rsid w:val="00A5247C"/>
    <w:rsid w:val="00A53543"/>
    <w:rsid w:val="00A543F3"/>
    <w:rsid w:val="00A55E08"/>
    <w:rsid w:val="00A57506"/>
    <w:rsid w:val="00A604C5"/>
    <w:rsid w:val="00A615E5"/>
    <w:rsid w:val="00A61775"/>
    <w:rsid w:val="00A61DEF"/>
    <w:rsid w:val="00A622C6"/>
    <w:rsid w:val="00A630C2"/>
    <w:rsid w:val="00A63822"/>
    <w:rsid w:val="00A63B5A"/>
    <w:rsid w:val="00A6407C"/>
    <w:rsid w:val="00A64933"/>
    <w:rsid w:val="00A64CF2"/>
    <w:rsid w:val="00A655F5"/>
    <w:rsid w:val="00A65BF3"/>
    <w:rsid w:val="00A66C0B"/>
    <w:rsid w:val="00A67A21"/>
    <w:rsid w:val="00A7035E"/>
    <w:rsid w:val="00A72309"/>
    <w:rsid w:val="00A737AE"/>
    <w:rsid w:val="00A739BE"/>
    <w:rsid w:val="00A74035"/>
    <w:rsid w:val="00A74173"/>
    <w:rsid w:val="00A74687"/>
    <w:rsid w:val="00A747C2"/>
    <w:rsid w:val="00A7489A"/>
    <w:rsid w:val="00A749BC"/>
    <w:rsid w:val="00A74F31"/>
    <w:rsid w:val="00A764B1"/>
    <w:rsid w:val="00A7655B"/>
    <w:rsid w:val="00A76ED4"/>
    <w:rsid w:val="00A772A3"/>
    <w:rsid w:val="00A773CF"/>
    <w:rsid w:val="00A7740A"/>
    <w:rsid w:val="00A7752E"/>
    <w:rsid w:val="00A77687"/>
    <w:rsid w:val="00A77B5D"/>
    <w:rsid w:val="00A77C9A"/>
    <w:rsid w:val="00A77DAE"/>
    <w:rsid w:val="00A80013"/>
    <w:rsid w:val="00A8068A"/>
    <w:rsid w:val="00A80D55"/>
    <w:rsid w:val="00A81794"/>
    <w:rsid w:val="00A81CDB"/>
    <w:rsid w:val="00A838E6"/>
    <w:rsid w:val="00A83DAE"/>
    <w:rsid w:val="00A83FC0"/>
    <w:rsid w:val="00A8410F"/>
    <w:rsid w:val="00A84444"/>
    <w:rsid w:val="00A84BAD"/>
    <w:rsid w:val="00A84DB0"/>
    <w:rsid w:val="00A852BE"/>
    <w:rsid w:val="00A85751"/>
    <w:rsid w:val="00A85E44"/>
    <w:rsid w:val="00A8623B"/>
    <w:rsid w:val="00A86A38"/>
    <w:rsid w:val="00A8700E"/>
    <w:rsid w:val="00A87093"/>
    <w:rsid w:val="00A8727A"/>
    <w:rsid w:val="00A91113"/>
    <w:rsid w:val="00A914A8"/>
    <w:rsid w:val="00A92063"/>
    <w:rsid w:val="00A92374"/>
    <w:rsid w:val="00A94A0B"/>
    <w:rsid w:val="00A95563"/>
    <w:rsid w:val="00A9576D"/>
    <w:rsid w:val="00A95915"/>
    <w:rsid w:val="00A9599A"/>
    <w:rsid w:val="00A95A42"/>
    <w:rsid w:val="00A9634F"/>
    <w:rsid w:val="00A96B8B"/>
    <w:rsid w:val="00A976B6"/>
    <w:rsid w:val="00A978E9"/>
    <w:rsid w:val="00A97EF9"/>
    <w:rsid w:val="00AA0645"/>
    <w:rsid w:val="00AA12A9"/>
    <w:rsid w:val="00AA12B0"/>
    <w:rsid w:val="00AA1502"/>
    <w:rsid w:val="00AA21F1"/>
    <w:rsid w:val="00AA2B6D"/>
    <w:rsid w:val="00AA2DF2"/>
    <w:rsid w:val="00AA3804"/>
    <w:rsid w:val="00AA381B"/>
    <w:rsid w:val="00AA3D3F"/>
    <w:rsid w:val="00AA3D74"/>
    <w:rsid w:val="00AA57DA"/>
    <w:rsid w:val="00AA64BC"/>
    <w:rsid w:val="00AA657B"/>
    <w:rsid w:val="00AA7426"/>
    <w:rsid w:val="00AA768F"/>
    <w:rsid w:val="00AA7A73"/>
    <w:rsid w:val="00AA7CD8"/>
    <w:rsid w:val="00AB1779"/>
    <w:rsid w:val="00AB1C24"/>
    <w:rsid w:val="00AB2951"/>
    <w:rsid w:val="00AB3631"/>
    <w:rsid w:val="00AB4C9D"/>
    <w:rsid w:val="00AB4F35"/>
    <w:rsid w:val="00AB5EF4"/>
    <w:rsid w:val="00AB6087"/>
    <w:rsid w:val="00AB61C6"/>
    <w:rsid w:val="00AB61F1"/>
    <w:rsid w:val="00AB6FBD"/>
    <w:rsid w:val="00AB75B5"/>
    <w:rsid w:val="00AB7C23"/>
    <w:rsid w:val="00AC00EE"/>
    <w:rsid w:val="00AC07FC"/>
    <w:rsid w:val="00AC0F94"/>
    <w:rsid w:val="00AC290C"/>
    <w:rsid w:val="00AC343E"/>
    <w:rsid w:val="00AC3815"/>
    <w:rsid w:val="00AC5A11"/>
    <w:rsid w:val="00AC6650"/>
    <w:rsid w:val="00AC669A"/>
    <w:rsid w:val="00AC67BF"/>
    <w:rsid w:val="00AC771A"/>
    <w:rsid w:val="00AD0A04"/>
    <w:rsid w:val="00AD0B50"/>
    <w:rsid w:val="00AD1349"/>
    <w:rsid w:val="00AD199B"/>
    <w:rsid w:val="00AD3148"/>
    <w:rsid w:val="00AD3DC4"/>
    <w:rsid w:val="00AD4D98"/>
    <w:rsid w:val="00AD50DD"/>
    <w:rsid w:val="00AD53F9"/>
    <w:rsid w:val="00AD54D7"/>
    <w:rsid w:val="00AD55B8"/>
    <w:rsid w:val="00AD6000"/>
    <w:rsid w:val="00AD78A0"/>
    <w:rsid w:val="00AD7F97"/>
    <w:rsid w:val="00AE2C8A"/>
    <w:rsid w:val="00AE3DB3"/>
    <w:rsid w:val="00AE4AD5"/>
    <w:rsid w:val="00AE4AF0"/>
    <w:rsid w:val="00AE58FB"/>
    <w:rsid w:val="00AE6CF7"/>
    <w:rsid w:val="00AF0028"/>
    <w:rsid w:val="00AF02A1"/>
    <w:rsid w:val="00AF0F84"/>
    <w:rsid w:val="00AF1468"/>
    <w:rsid w:val="00AF3A7E"/>
    <w:rsid w:val="00AF3EA3"/>
    <w:rsid w:val="00AF3FE1"/>
    <w:rsid w:val="00AF405D"/>
    <w:rsid w:val="00AF469F"/>
    <w:rsid w:val="00AF4C9A"/>
    <w:rsid w:val="00AF70F2"/>
    <w:rsid w:val="00AF7824"/>
    <w:rsid w:val="00AF7C4D"/>
    <w:rsid w:val="00AF7ECA"/>
    <w:rsid w:val="00B01554"/>
    <w:rsid w:val="00B019DE"/>
    <w:rsid w:val="00B01ABF"/>
    <w:rsid w:val="00B0272A"/>
    <w:rsid w:val="00B02EA6"/>
    <w:rsid w:val="00B034C4"/>
    <w:rsid w:val="00B038DA"/>
    <w:rsid w:val="00B03CD1"/>
    <w:rsid w:val="00B045E9"/>
    <w:rsid w:val="00B079DB"/>
    <w:rsid w:val="00B07F02"/>
    <w:rsid w:val="00B110EC"/>
    <w:rsid w:val="00B1120B"/>
    <w:rsid w:val="00B11365"/>
    <w:rsid w:val="00B11939"/>
    <w:rsid w:val="00B11C81"/>
    <w:rsid w:val="00B1259B"/>
    <w:rsid w:val="00B146A1"/>
    <w:rsid w:val="00B14F62"/>
    <w:rsid w:val="00B15398"/>
    <w:rsid w:val="00B168CB"/>
    <w:rsid w:val="00B16E98"/>
    <w:rsid w:val="00B178DA"/>
    <w:rsid w:val="00B179D4"/>
    <w:rsid w:val="00B207A7"/>
    <w:rsid w:val="00B21560"/>
    <w:rsid w:val="00B21A73"/>
    <w:rsid w:val="00B22352"/>
    <w:rsid w:val="00B27A53"/>
    <w:rsid w:val="00B27F25"/>
    <w:rsid w:val="00B30927"/>
    <w:rsid w:val="00B31DA3"/>
    <w:rsid w:val="00B31E5C"/>
    <w:rsid w:val="00B31EF3"/>
    <w:rsid w:val="00B3346E"/>
    <w:rsid w:val="00B335EA"/>
    <w:rsid w:val="00B34336"/>
    <w:rsid w:val="00B34542"/>
    <w:rsid w:val="00B345AB"/>
    <w:rsid w:val="00B346A2"/>
    <w:rsid w:val="00B34BC3"/>
    <w:rsid w:val="00B35E08"/>
    <w:rsid w:val="00B36462"/>
    <w:rsid w:val="00B36C12"/>
    <w:rsid w:val="00B3765F"/>
    <w:rsid w:val="00B37675"/>
    <w:rsid w:val="00B402B7"/>
    <w:rsid w:val="00B40D94"/>
    <w:rsid w:val="00B415D5"/>
    <w:rsid w:val="00B41F49"/>
    <w:rsid w:val="00B42088"/>
    <w:rsid w:val="00B433CC"/>
    <w:rsid w:val="00B43B64"/>
    <w:rsid w:val="00B43F10"/>
    <w:rsid w:val="00B45010"/>
    <w:rsid w:val="00B452C3"/>
    <w:rsid w:val="00B463D1"/>
    <w:rsid w:val="00B46853"/>
    <w:rsid w:val="00B46C38"/>
    <w:rsid w:val="00B46FE3"/>
    <w:rsid w:val="00B471C0"/>
    <w:rsid w:val="00B47811"/>
    <w:rsid w:val="00B50062"/>
    <w:rsid w:val="00B512A9"/>
    <w:rsid w:val="00B515CD"/>
    <w:rsid w:val="00B51706"/>
    <w:rsid w:val="00B517E8"/>
    <w:rsid w:val="00B51D24"/>
    <w:rsid w:val="00B51FCB"/>
    <w:rsid w:val="00B528CA"/>
    <w:rsid w:val="00B54524"/>
    <w:rsid w:val="00B546B5"/>
    <w:rsid w:val="00B60A76"/>
    <w:rsid w:val="00B617FB"/>
    <w:rsid w:val="00B6224E"/>
    <w:rsid w:val="00B63DBD"/>
    <w:rsid w:val="00B646E8"/>
    <w:rsid w:val="00B65748"/>
    <w:rsid w:val="00B65BF7"/>
    <w:rsid w:val="00B66658"/>
    <w:rsid w:val="00B66D36"/>
    <w:rsid w:val="00B67315"/>
    <w:rsid w:val="00B676D9"/>
    <w:rsid w:val="00B67BB4"/>
    <w:rsid w:val="00B708DF"/>
    <w:rsid w:val="00B71AD5"/>
    <w:rsid w:val="00B71ECF"/>
    <w:rsid w:val="00B7250F"/>
    <w:rsid w:val="00B731C7"/>
    <w:rsid w:val="00B73564"/>
    <w:rsid w:val="00B735F0"/>
    <w:rsid w:val="00B73E4D"/>
    <w:rsid w:val="00B74217"/>
    <w:rsid w:val="00B74366"/>
    <w:rsid w:val="00B74827"/>
    <w:rsid w:val="00B749A5"/>
    <w:rsid w:val="00B75F32"/>
    <w:rsid w:val="00B76FAB"/>
    <w:rsid w:val="00B80224"/>
    <w:rsid w:val="00B80442"/>
    <w:rsid w:val="00B805B4"/>
    <w:rsid w:val="00B80628"/>
    <w:rsid w:val="00B80993"/>
    <w:rsid w:val="00B81546"/>
    <w:rsid w:val="00B817F0"/>
    <w:rsid w:val="00B81A67"/>
    <w:rsid w:val="00B81BDB"/>
    <w:rsid w:val="00B82EBB"/>
    <w:rsid w:val="00B83017"/>
    <w:rsid w:val="00B83020"/>
    <w:rsid w:val="00B833ED"/>
    <w:rsid w:val="00B85E98"/>
    <w:rsid w:val="00B86350"/>
    <w:rsid w:val="00B8664B"/>
    <w:rsid w:val="00B86AF5"/>
    <w:rsid w:val="00B86E48"/>
    <w:rsid w:val="00B87BE6"/>
    <w:rsid w:val="00B900B1"/>
    <w:rsid w:val="00B90AC2"/>
    <w:rsid w:val="00B915FE"/>
    <w:rsid w:val="00B91D05"/>
    <w:rsid w:val="00B92A2B"/>
    <w:rsid w:val="00B94875"/>
    <w:rsid w:val="00B958D3"/>
    <w:rsid w:val="00B95A44"/>
    <w:rsid w:val="00B95BA2"/>
    <w:rsid w:val="00B96621"/>
    <w:rsid w:val="00BA07B1"/>
    <w:rsid w:val="00BA084C"/>
    <w:rsid w:val="00BA0F16"/>
    <w:rsid w:val="00BA183E"/>
    <w:rsid w:val="00BA18D8"/>
    <w:rsid w:val="00BA2DB4"/>
    <w:rsid w:val="00BA4D53"/>
    <w:rsid w:val="00BA7791"/>
    <w:rsid w:val="00BB087B"/>
    <w:rsid w:val="00BB0FB5"/>
    <w:rsid w:val="00BB3B9D"/>
    <w:rsid w:val="00BB581D"/>
    <w:rsid w:val="00BB5B0D"/>
    <w:rsid w:val="00BB5C88"/>
    <w:rsid w:val="00BB6221"/>
    <w:rsid w:val="00BB63D1"/>
    <w:rsid w:val="00BB6B72"/>
    <w:rsid w:val="00BB71AE"/>
    <w:rsid w:val="00BB761A"/>
    <w:rsid w:val="00BC19AC"/>
    <w:rsid w:val="00BC1D9D"/>
    <w:rsid w:val="00BC1F82"/>
    <w:rsid w:val="00BC3095"/>
    <w:rsid w:val="00BC34E7"/>
    <w:rsid w:val="00BC39C3"/>
    <w:rsid w:val="00BC4218"/>
    <w:rsid w:val="00BC6A49"/>
    <w:rsid w:val="00BC75E1"/>
    <w:rsid w:val="00BC7903"/>
    <w:rsid w:val="00BD153A"/>
    <w:rsid w:val="00BD159A"/>
    <w:rsid w:val="00BD1FD9"/>
    <w:rsid w:val="00BD31A8"/>
    <w:rsid w:val="00BD3445"/>
    <w:rsid w:val="00BD398C"/>
    <w:rsid w:val="00BD3A47"/>
    <w:rsid w:val="00BD3A9D"/>
    <w:rsid w:val="00BD3F29"/>
    <w:rsid w:val="00BD477D"/>
    <w:rsid w:val="00BD543D"/>
    <w:rsid w:val="00BD56EC"/>
    <w:rsid w:val="00BD5E6E"/>
    <w:rsid w:val="00BD66C4"/>
    <w:rsid w:val="00BD79CE"/>
    <w:rsid w:val="00BE192E"/>
    <w:rsid w:val="00BE19EA"/>
    <w:rsid w:val="00BE1C62"/>
    <w:rsid w:val="00BE2049"/>
    <w:rsid w:val="00BE2598"/>
    <w:rsid w:val="00BE2773"/>
    <w:rsid w:val="00BE3832"/>
    <w:rsid w:val="00BE3CD8"/>
    <w:rsid w:val="00BE437F"/>
    <w:rsid w:val="00BE4C71"/>
    <w:rsid w:val="00BE6CFB"/>
    <w:rsid w:val="00BE7539"/>
    <w:rsid w:val="00BE773D"/>
    <w:rsid w:val="00BE794E"/>
    <w:rsid w:val="00BE7E97"/>
    <w:rsid w:val="00BF063A"/>
    <w:rsid w:val="00BF1AE6"/>
    <w:rsid w:val="00BF1D83"/>
    <w:rsid w:val="00BF20BF"/>
    <w:rsid w:val="00BF2B85"/>
    <w:rsid w:val="00BF3378"/>
    <w:rsid w:val="00BF341E"/>
    <w:rsid w:val="00BF393F"/>
    <w:rsid w:val="00BF4531"/>
    <w:rsid w:val="00BF644B"/>
    <w:rsid w:val="00C00744"/>
    <w:rsid w:val="00C009AF"/>
    <w:rsid w:val="00C01860"/>
    <w:rsid w:val="00C02238"/>
    <w:rsid w:val="00C022BF"/>
    <w:rsid w:val="00C02756"/>
    <w:rsid w:val="00C03DA6"/>
    <w:rsid w:val="00C03E95"/>
    <w:rsid w:val="00C04851"/>
    <w:rsid w:val="00C04AAC"/>
    <w:rsid w:val="00C04C54"/>
    <w:rsid w:val="00C06883"/>
    <w:rsid w:val="00C06BE8"/>
    <w:rsid w:val="00C07102"/>
    <w:rsid w:val="00C07FB3"/>
    <w:rsid w:val="00C10541"/>
    <w:rsid w:val="00C1097F"/>
    <w:rsid w:val="00C10A98"/>
    <w:rsid w:val="00C10E3A"/>
    <w:rsid w:val="00C10E73"/>
    <w:rsid w:val="00C12108"/>
    <w:rsid w:val="00C1255F"/>
    <w:rsid w:val="00C130C5"/>
    <w:rsid w:val="00C130F6"/>
    <w:rsid w:val="00C1400E"/>
    <w:rsid w:val="00C15385"/>
    <w:rsid w:val="00C153AB"/>
    <w:rsid w:val="00C15B97"/>
    <w:rsid w:val="00C1637C"/>
    <w:rsid w:val="00C20BAA"/>
    <w:rsid w:val="00C20D90"/>
    <w:rsid w:val="00C229AA"/>
    <w:rsid w:val="00C23408"/>
    <w:rsid w:val="00C2512A"/>
    <w:rsid w:val="00C26696"/>
    <w:rsid w:val="00C267CA"/>
    <w:rsid w:val="00C2713B"/>
    <w:rsid w:val="00C275AB"/>
    <w:rsid w:val="00C31250"/>
    <w:rsid w:val="00C31A98"/>
    <w:rsid w:val="00C31AD6"/>
    <w:rsid w:val="00C31B38"/>
    <w:rsid w:val="00C32322"/>
    <w:rsid w:val="00C32F21"/>
    <w:rsid w:val="00C338FB"/>
    <w:rsid w:val="00C33F05"/>
    <w:rsid w:val="00C348FB"/>
    <w:rsid w:val="00C34ADD"/>
    <w:rsid w:val="00C353ED"/>
    <w:rsid w:val="00C35436"/>
    <w:rsid w:val="00C3577E"/>
    <w:rsid w:val="00C35DAC"/>
    <w:rsid w:val="00C365B5"/>
    <w:rsid w:val="00C37BA8"/>
    <w:rsid w:val="00C37FCD"/>
    <w:rsid w:val="00C40CEF"/>
    <w:rsid w:val="00C43B55"/>
    <w:rsid w:val="00C44E9E"/>
    <w:rsid w:val="00C47725"/>
    <w:rsid w:val="00C51096"/>
    <w:rsid w:val="00C5138E"/>
    <w:rsid w:val="00C51437"/>
    <w:rsid w:val="00C52B2E"/>
    <w:rsid w:val="00C5372B"/>
    <w:rsid w:val="00C53906"/>
    <w:rsid w:val="00C543F4"/>
    <w:rsid w:val="00C5568A"/>
    <w:rsid w:val="00C560B9"/>
    <w:rsid w:val="00C56CDF"/>
    <w:rsid w:val="00C56D6F"/>
    <w:rsid w:val="00C57B66"/>
    <w:rsid w:val="00C60182"/>
    <w:rsid w:val="00C62247"/>
    <w:rsid w:val="00C625F3"/>
    <w:rsid w:val="00C62B95"/>
    <w:rsid w:val="00C6306A"/>
    <w:rsid w:val="00C63527"/>
    <w:rsid w:val="00C63C69"/>
    <w:rsid w:val="00C63DE5"/>
    <w:rsid w:val="00C644C8"/>
    <w:rsid w:val="00C646A9"/>
    <w:rsid w:val="00C64F5E"/>
    <w:rsid w:val="00C65B84"/>
    <w:rsid w:val="00C6617D"/>
    <w:rsid w:val="00C679E2"/>
    <w:rsid w:val="00C709C7"/>
    <w:rsid w:val="00C70EEE"/>
    <w:rsid w:val="00C71148"/>
    <w:rsid w:val="00C71175"/>
    <w:rsid w:val="00C71708"/>
    <w:rsid w:val="00C71C13"/>
    <w:rsid w:val="00C7221B"/>
    <w:rsid w:val="00C7270A"/>
    <w:rsid w:val="00C72CB9"/>
    <w:rsid w:val="00C730A8"/>
    <w:rsid w:val="00C7485F"/>
    <w:rsid w:val="00C74D17"/>
    <w:rsid w:val="00C74DF2"/>
    <w:rsid w:val="00C75313"/>
    <w:rsid w:val="00C75425"/>
    <w:rsid w:val="00C75DC8"/>
    <w:rsid w:val="00C77B30"/>
    <w:rsid w:val="00C802AF"/>
    <w:rsid w:val="00C8189C"/>
    <w:rsid w:val="00C81B52"/>
    <w:rsid w:val="00C82911"/>
    <w:rsid w:val="00C8292A"/>
    <w:rsid w:val="00C845F0"/>
    <w:rsid w:val="00C85120"/>
    <w:rsid w:val="00C857F9"/>
    <w:rsid w:val="00C8582E"/>
    <w:rsid w:val="00C85A16"/>
    <w:rsid w:val="00C85C6E"/>
    <w:rsid w:val="00C8624F"/>
    <w:rsid w:val="00C871A3"/>
    <w:rsid w:val="00C876B7"/>
    <w:rsid w:val="00C904F1"/>
    <w:rsid w:val="00C915EE"/>
    <w:rsid w:val="00C9161F"/>
    <w:rsid w:val="00C917E1"/>
    <w:rsid w:val="00C9181E"/>
    <w:rsid w:val="00C91F85"/>
    <w:rsid w:val="00C92124"/>
    <w:rsid w:val="00C92204"/>
    <w:rsid w:val="00C923B4"/>
    <w:rsid w:val="00C9585D"/>
    <w:rsid w:val="00C969C8"/>
    <w:rsid w:val="00C9717D"/>
    <w:rsid w:val="00C972D2"/>
    <w:rsid w:val="00CA19CD"/>
    <w:rsid w:val="00CA231E"/>
    <w:rsid w:val="00CA4D35"/>
    <w:rsid w:val="00CA5166"/>
    <w:rsid w:val="00CA5C15"/>
    <w:rsid w:val="00CA5F44"/>
    <w:rsid w:val="00CA7CAF"/>
    <w:rsid w:val="00CB0BA8"/>
    <w:rsid w:val="00CB1241"/>
    <w:rsid w:val="00CB131B"/>
    <w:rsid w:val="00CB225E"/>
    <w:rsid w:val="00CB3631"/>
    <w:rsid w:val="00CB375C"/>
    <w:rsid w:val="00CB5562"/>
    <w:rsid w:val="00CB5853"/>
    <w:rsid w:val="00CB6908"/>
    <w:rsid w:val="00CB6993"/>
    <w:rsid w:val="00CB72F6"/>
    <w:rsid w:val="00CB7374"/>
    <w:rsid w:val="00CB74DA"/>
    <w:rsid w:val="00CB7EDA"/>
    <w:rsid w:val="00CC038E"/>
    <w:rsid w:val="00CC1341"/>
    <w:rsid w:val="00CC20CE"/>
    <w:rsid w:val="00CC2334"/>
    <w:rsid w:val="00CC27CB"/>
    <w:rsid w:val="00CC2EFC"/>
    <w:rsid w:val="00CC3E76"/>
    <w:rsid w:val="00CC3F68"/>
    <w:rsid w:val="00CC4CC6"/>
    <w:rsid w:val="00CC4EA8"/>
    <w:rsid w:val="00CC50C7"/>
    <w:rsid w:val="00CC5447"/>
    <w:rsid w:val="00CC5BA1"/>
    <w:rsid w:val="00CC688F"/>
    <w:rsid w:val="00CC6F96"/>
    <w:rsid w:val="00CC7456"/>
    <w:rsid w:val="00CC7569"/>
    <w:rsid w:val="00CC7679"/>
    <w:rsid w:val="00CC78DB"/>
    <w:rsid w:val="00CD0155"/>
    <w:rsid w:val="00CD04B6"/>
    <w:rsid w:val="00CD0711"/>
    <w:rsid w:val="00CD115F"/>
    <w:rsid w:val="00CD1D5E"/>
    <w:rsid w:val="00CD1DA9"/>
    <w:rsid w:val="00CD26F4"/>
    <w:rsid w:val="00CD2E2A"/>
    <w:rsid w:val="00CD3460"/>
    <w:rsid w:val="00CD4219"/>
    <w:rsid w:val="00CD4C5B"/>
    <w:rsid w:val="00CD565C"/>
    <w:rsid w:val="00CD5A27"/>
    <w:rsid w:val="00CD5C83"/>
    <w:rsid w:val="00CD7B0C"/>
    <w:rsid w:val="00CE08D9"/>
    <w:rsid w:val="00CE0B2F"/>
    <w:rsid w:val="00CE1033"/>
    <w:rsid w:val="00CE2109"/>
    <w:rsid w:val="00CE3D23"/>
    <w:rsid w:val="00CE4A43"/>
    <w:rsid w:val="00CE4B7E"/>
    <w:rsid w:val="00CE4B88"/>
    <w:rsid w:val="00CE5334"/>
    <w:rsid w:val="00CE5817"/>
    <w:rsid w:val="00CE5E4B"/>
    <w:rsid w:val="00CE6791"/>
    <w:rsid w:val="00CE6FBB"/>
    <w:rsid w:val="00CE70C2"/>
    <w:rsid w:val="00CE713D"/>
    <w:rsid w:val="00CF040B"/>
    <w:rsid w:val="00CF0E88"/>
    <w:rsid w:val="00CF1DBD"/>
    <w:rsid w:val="00CF2EB5"/>
    <w:rsid w:val="00CF33CC"/>
    <w:rsid w:val="00CF3631"/>
    <w:rsid w:val="00CF3D08"/>
    <w:rsid w:val="00CF40A3"/>
    <w:rsid w:val="00CF40CE"/>
    <w:rsid w:val="00CF440E"/>
    <w:rsid w:val="00CF5885"/>
    <w:rsid w:val="00CF5A3F"/>
    <w:rsid w:val="00CF6C9A"/>
    <w:rsid w:val="00D00042"/>
    <w:rsid w:val="00D02A73"/>
    <w:rsid w:val="00D045C1"/>
    <w:rsid w:val="00D05B1A"/>
    <w:rsid w:val="00D10055"/>
    <w:rsid w:val="00D101C6"/>
    <w:rsid w:val="00D11262"/>
    <w:rsid w:val="00D11C3A"/>
    <w:rsid w:val="00D11DAB"/>
    <w:rsid w:val="00D124FF"/>
    <w:rsid w:val="00D1473F"/>
    <w:rsid w:val="00D14EDB"/>
    <w:rsid w:val="00D15B2A"/>
    <w:rsid w:val="00D16C55"/>
    <w:rsid w:val="00D170B5"/>
    <w:rsid w:val="00D175F1"/>
    <w:rsid w:val="00D2119A"/>
    <w:rsid w:val="00D22F7C"/>
    <w:rsid w:val="00D2304F"/>
    <w:rsid w:val="00D2312B"/>
    <w:rsid w:val="00D232D8"/>
    <w:rsid w:val="00D235C8"/>
    <w:rsid w:val="00D23E68"/>
    <w:rsid w:val="00D249CD"/>
    <w:rsid w:val="00D24BD1"/>
    <w:rsid w:val="00D24F7B"/>
    <w:rsid w:val="00D25C25"/>
    <w:rsid w:val="00D25D3A"/>
    <w:rsid w:val="00D26046"/>
    <w:rsid w:val="00D26BB6"/>
    <w:rsid w:val="00D26D0F"/>
    <w:rsid w:val="00D27585"/>
    <w:rsid w:val="00D30C77"/>
    <w:rsid w:val="00D31642"/>
    <w:rsid w:val="00D3312C"/>
    <w:rsid w:val="00D33A4E"/>
    <w:rsid w:val="00D33F37"/>
    <w:rsid w:val="00D34F3D"/>
    <w:rsid w:val="00D354D7"/>
    <w:rsid w:val="00D35EAA"/>
    <w:rsid w:val="00D40F7C"/>
    <w:rsid w:val="00D41771"/>
    <w:rsid w:val="00D41E11"/>
    <w:rsid w:val="00D41E37"/>
    <w:rsid w:val="00D42DAB"/>
    <w:rsid w:val="00D43028"/>
    <w:rsid w:val="00D43A27"/>
    <w:rsid w:val="00D444F0"/>
    <w:rsid w:val="00D4547D"/>
    <w:rsid w:val="00D454B8"/>
    <w:rsid w:val="00D4554A"/>
    <w:rsid w:val="00D45B48"/>
    <w:rsid w:val="00D45E5E"/>
    <w:rsid w:val="00D47F4B"/>
    <w:rsid w:val="00D51FBB"/>
    <w:rsid w:val="00D52347"/>
    <w:rsid w:val="00D5234A"/>
    <w:rsid w:val="00D52791"/>
    <w:rsid w:val="00D52ECC"/>
    <w:rsid w:val="00D53736"/>
    <w:rsid w:val="00D54495"/>
    <w:rsid w:val="00D568F3"/>
    <w:rsid w:val="00D572B4"/>
    <w:rsid w:val="00D576A8"/>
    <w:rsid w:val="00D57D98"/>
    <w:rsid w:val="00D61568"/>
    <w:rsid w:val="00D61677"/>
    <w:rsid w:val="00D622E3"/>
    <w:rsid w:val="00D62841"/>
    <w:rsid w:val="00D62B73"/>
    <w:rsid w:val="00D63CF7"/>
    <w:rsid w:val="00D64513"/>
    <w:rsid w:val="00D6467C"/>
    <w:rsid w:val="00D64DBC"/>
    <w:rsid w:val="00D65D36"/>
    <w:rsid w:val="00D65DA2"/>
    <w:rsid w:val="00D670E4"/>
    <w:rsid w:val="00D67AE7"/>
    <w:rsid w:val="00D71170"/>
    <w:rsid w:val="00D71C17"/>
    <w:rsid w:val="00D71E7C"/>
    <w:rsid w:val="00D7431C"/>
    <w:rsid w:val="00D75880"/>
    <w:rsid w:val="00D76CA2"/>
    <w:rsid w:val="00D770BA"/>
    <w:rsid w:val="00D774AF"/>
    <w:rsid w:val="00D778A4"/>
    <w:rsid w:val="00D77A60"/>
    <w:rsid w:val="00D828D3"/>
    <w:rsid w:val="00D82D28"/>
    <w:rsid w:val="00D82DE7"/>
    <w:rsid w:val="00D830BF"/>
    <w:rsid w:val="00D839B4"/>
    <w:rsid w:val="00D83BCF"/>
    <w:rsid w:val="00D84E05"/>
    <w:rsid w:val="00D863BA"/>
    <w:rsid w:val="00D86E69"/>
    <w:rsid w:val="00D87108"/>
    <w:rsid w:val="00D874D8"/>
    <w:rsid w:val="00D876C9"/>
    <w:rsid w:val="00D90889"/>
    <w:rsid w:val="00D90DAC"/>
    <w:rsid w:val="00D925E4"/>
    <w:rsid w:val="00D931E0"/>
    <w:rsid w:val="00D953C7"/>
    <w:rsid w:val="00D961A6"/>
    <w:rsid w:val="00D962F1"/>
    <w:rsid w:val="00D97371"/>
    <w:rsid w:val="00D973F0"/>
    <w:rsid w:val="00D97A60"/>
    <w:rsid w:val="00DA0C9C"/>
    <w:rsid w:val="00DA18AC"/>
    <w:rsid w:val="00DA223A"/>
    <w:rsid w:val="00DA322D"/>
    <w:rsid w:val="00DA42E3"/>
    <w:rsid w:val="00DA4E84"/>
    <w:rsid w:val="00DA5E05"/>
    <w:rsid w:val="00DA6BC5"/>
    <w:rsid w:val="00DA76F4"/>
    <w:rsid w:val="00DA77B6"/>
    <w:rsid w:val="00DB01CE"/>
    <w:rsid w:val="00DB2CCA"/>
    <w:rsid w:val="00DB2F14"/>
    <w:rsid w:val="00DB3938"/>
    <w:rsid w:val="00DB3DF3"/>
    <w:rsid w:val="00DB4A80"/>
    <w:rsid w:val="00DB5836"/>
    <w:rsid w:val="00DB5951"/>
    <w:rsid w:val="00DB5962"/>
    <w:rsid w:val="00DB5E29"/>
    <w:rsid w:val="00DB6476"/>
    <w:rsid w:val="00DB6CF7"/>
    <w:rsid w:val="00DB70F0"/>
    <w:rsid w:val="00DC0E8E"/>
    <w:rsid w:val="00DC1A65"/>
    <w:rsid w:val="00DC1D6C"/>
    <w:rsid w:val="00DC1EB7"/>
    <w:rsid w:val="00DC28F4"/>
    <w:rsid w:val="00DC3927"/>
    <w:rsid w:val="00DC3D7E"/>
    <w:rsid w:val="00DC471C"/>
    <w:rsid w:val="00DC527B"/>
    <w:rsid w:val="00DC5E00"/>
    <w:rsid w:val="00DC7FA1"/>
    <w:rsid w:val="00DD07F0"/>
    <w:rsid w:val="00DD118C"/>
    <w:rsid w:val="00DD3667"/>
    <w:rsid w:val="00DD4DB6"/>
    <w:rsid w:val="00DD4F94"/>
    <w:rsid w:val="00DD5647"/>
    <w:rsid w:val="00DD57A8"/>
    <w:rsid w:val="00DD5ACB"/>
    <w:rsid w:val="00DD5F78"/>
    <w:rsid w:val="00DD7094"/>
    <w:rsid w:val="00DD75AD"/>
    <w:rsid w:val="00DD7754"/>
    <w:rsid w:val="00DE0D84"/>
    <w:rsid w:val="00DE22AE"/>
    <w:rsid w:val="00DE4163"/>
    <w:rsid w:val="00DE4868"/>
    <w:rsid w:val="00DE4945"/>
    <w:rsid w:val="00DE4F7A"/>
    <w:rsid w:val="00DE671D"/>
    <w:rsid w:val="00DF0225"/>
    <w:rsid w:val="00DF0DBB"/>
    <w:rsid w:val="00DF102A"/>
    <w:rsid w:val="00DF1474"/>
    <w:rsid w:val="00DF1650"/>
    <w:rsid w:val="00DF1E40"/>
    <w:rsid w:val="00DF28E8"/>
    <w:rsid w:val="00DF33AF"/>
    <w:rsid w:val="00DF3B96"/>
    <w:rsid w:val="00DF3DAB"/>
    <w:rsid w:val="00DF4E14"/>
    <w:rsid w:val="00DF507A"/>
    <w:rsid w:val="00DF5290"/>
    <w:rsid w:val="00DF53B4"/>
    <w:rsid w:val="00DF6BA5"/>
    <w:rsid w:val="00DF6DBF"/>
    <w:rsid w:val="00DF721D"/>
    <w:rsid w:val="00E01A0D"/>
    <w:rsid w:val="00E0206F"/>
    <w:rsid w:val="00E02140"/>
    <w:rsid w:val="00E02E02"/>
    <w:rsid w:val="00E0395D"/>
    <w:rsid w:val="00E039FB"/>
    <w:rsid w:val="00E04F2F"/>
    <w:rsid w:val="00E0547B"/>
    <w:rsid w:val="00E054A9"/>
    <w:rsid w:val="00E05F2E"/>
    <w:rsid w:val="00E06643"/>
    <w:rsid w:val="00E066D7"/>
    <w:rsid w:val="00E06F7B"/>
    <w:rsid w:val="00E0735A"/>
    <w:rsid w:val="00E07AD5"/>
    <w:rsid w:val="00E1076C"/>
    <w:rsid w:val="00E11293"/>
    <w:rsid w:val="00E11578"/>
    <w:rsid w:val="00E12392"/>
    <w:rsid w:val="00E12644"/>
    <w:rsid w:val="00E12C7F"/>
    <w:rsid w:val="00E130C4"/>
    <w:rsid w:val="00E13A2B"/>
    <w:rsid w:val="00E148C1"/>
    <w:rsid w:val="00E14CA0"/>
    <w:rsid w:val="00E152D9"/>
    <w:rsid w:val="00E15BD9"/>
    <w:rsid w:val="00E163F0"/>
    <w:rsid w:val="00E16FA1"/>
    <w:rsid w:val="00E2034A"/>
    <w:rsid w:val="00E20489"/>
    <w:rsid w:val="00E205BE"/>
    <w:rsid w:val="00E20757"/>
    <w:rsid w:val="00E20E2A"/>
    <w:rsid w:val="00E21634"/>
    <w:rsid w:val="00E21F7A"/>
    <w:rsid w:val="00E223B8"/>
    <w:rsid w:val="00E2336D"/>
    <w:rsid w:val="00E24582"/>
    <w:rsid w:val="00E255F1"/>
    <w:rsid w:val="00E2591C"/>
    <w:rsid w:val="00E261CD"/>
    <w:rsid w:val="00E262EB"/>
    <w:rsid w:val="00E2668E"/>
    <w:rsid w:val="00E266F3"/>
    <w:rsid w:val="00E270C9"/>
    <w:rsid w:val="00E3010E"/>
    <w:rsid w:val="00E307A6"/>
    <w:rsid w:val="00E31903"/>
    <w:rsid w:val="00E32378"/>
    <w:rsid w:val="00E32983"/>
    <w:rsid w:val="00E33276"/>
    <w:rsid w:val="00E33CDC"/>
    <w:rsid w:val="00E34665"/>
    <w:rsid w:val="00E35670"/>
    <w:rsid w:val="00E35F22"/>
    <w:rsid w:val="00E36EE1"/>
    <w:rsid w:val="00E37FFA"/>
    <w:rsid w:val="00E40488"/>
    <w:rsid w:val="00E405B5"/>
    <w:rsid w:val="00E41423"/>
    <w:rsid w:val="00E41BF9"/>
    <w:rsid w:val="00E41F0D"/>
    <w:rsid w:val="00E4276F"/>
    <w:rsid w:val="00E42AE5"/>
    <w:rsid w:val="00E42E5D"/>
    <w:rsid w:val="00E43682"/>
    <w:rsid w:val="00E44259"/>
    <w:rsid w:val="00E46CB3"/>
    <w:rsid w:val="00E47131"/>
    <w:rsid w:val="00E47FF5"/>
    <w:rsid w:val="00E50596"/>
    <w:rsid w:val="00E51B88"/>
    <w:rsid w:val="00E52F86"/>
    <w:rsid w:val="00E5359C"/>
    <w:rsid w:val="00E536E4"/>
    <w:rsid w:val="00E54120"/>
    <w:rsid w:val="00E549C5"/>
    <w:rsid w:val="00E55BFF"/>
    <w:rsid w:val="00E55E01"/>
    <w:rsid w:val="00E5663E"/>
    <w:rsid w:val="00E56E59"/>
    <w:rsid w:val="00E600EC"/>
    <w:rsid w:val="00E602B0"/>
    <w:rsid w:val="00E6122E"/>
    <w:rsid w:val="00E629E1"/>
    <w:rsid w:val="00E62CBF"/>
    <w:rsid w:val="00E6310A"/>
    <w:rsid w:val="00E6412F"/>
    <w:rsid w:val="00E649AD"/>
    <w:rsid w:val="00E6510C"/>
    <w:rsid w:val="00E65A41"/>
    <w:rsid w:val="00E65F8C"/>
    <w:rsid w:val="00E6660C"/>
    <w:rsid w:val="00E66FA5"/>
    <w:rsid w:val="00E678B8"/>
    <w:rsid w:val="00E67DDA"/>
    <w:rsid w:val="00E67FC4"/>
    <w:rsid w:val="00E70BF7"/>
    <w:rsid w:val="00E71444"/>
    <w:rsid w:val="00E72A75"/>
    <w:rsid w:val="00E7315F"/>
    <w:rsid w:val="00E755A8"/>
    <w:rsid w:val="00E75687"/>
    <w:rsid w:val="00E77D33"/>
    <w:rsid w:val="00E8002E"/>
    <w:rsid w:val="00E8017A"/>
    <w:rsid w:val="00E80A15"/>
    <w:rsid w:val="00E8297A"/>
    <w:rsid w:val="00E83935"/>
    <w:rsid w:val="00E83D19"/>
    <w:rsid w:val="00E84330"/>
    <w:rsid w:val="00E85A8C"/>
    <w:rsid w:val="00E85D0E"/>
    <w:rsid w:val="00E866C3"/>
    <w:rsid w:val="00E90384"/>
    <w:rsid w:val="00E91CCA"/>
    <w:rsid w:val="00E91D86"/>
    <w:rsid w:val="00E92620"/>
    <w:rsid w:val="00E9449D"/>
    <w:rsid w:val="00E94DF7"/>
    <w:rsid w:val="00E95528"/>
    <w:rsid w:val="00E958CE"/>
    <w:rsid w:val="00E95BFA"/>
    <w:rsid w:val="00E95DBF"/>
    <w:rsid w:val="00E960A1"/>
    <w:rsid w:val="00E96703"/>
    <w:rsid w:val="00E96A3E"/>
    <w:rsid w:val="00E975F9"/>
    <w:rsid w:val="00EA0706"/>
    <w:rsid w:val="00EA162A"/>
    <w:rsid w:val="00EA3C18"/>
    <w:rsid w:val="00EA3EAA"/>
    <w:rsid w:val="00EA405C"/>
    <w:rsid w:val="00EA45AC"/>
    <w:rsid w:val="00EA45FF"/>
    <w:rsid w:val="00EA51E2"/>
    <w:rsid w:val="00EA55C2"/>
    <w:rsid w:val="00EA5C76"/>
    <w:rsid w:val="00EA5CEA"/>
    <w:rsid w:val="00EA6265"/>
    <w:rsid w:val="00EA7248"/>
    <w:rsid w:val="00EA7A5C"/>
    <w:rsid w:val="00EB0F0E"/>
    <w:rsid w:val="00EB2059"/>
    <w:rsid w:val="00EB20E6"/>
    <w:rsid w:val="00EB2CEB"/>
    <w:rsid w:val="00EB37FD"/>
    <w:rsid w:val="00EB39A1"/>
    <w:rsid w:val="00EB3BDF"/>
    <w:rsid w:val="00EB3ED9"/>
    <w:rsid w:val="00EB4585"/>
    <w:rsid w:val="00EB4A47"/>
    <w:rsid w:val="00EB4A83"/>
    <w:rsid w:val="00EB4A84"/>
    <w:rsid w:val="00EB5A31"/>
    <w:rsid w:val="00EB69BC"/>
    <w:rsid w:val="00EB7394"/>
    <w:rsid w:val="00EB7595"/>
    <w:rsid w:val="00EC0906"/>
    <w:rsid w:val="00EC0D3E"/>
    <w:rsid w:val="00EC0E3F"/>
    <w:rsid w:val="00EC1217"/>
    <w:rsid w:val="00EC1841"/>
    <w:rsid w:val="00EC1957"/>
    <w:rsid w:val="00EC1E51"/>
    <w:rsid w:val="00EC28C3"/>
    <w:rsid w:val="00EC2989"/>
    <w:rsid w:val="00EC2B56"/>
    <w:rsid w:val="00EC2F89"/>
    <w:rsid w:val="00EC3960"/>
    <w:rsid w:val="00EC46F6"/>
    <w:rsid w:val="00EC5567"/>
    <w:rsid w:val="00EC5C42"/>
    <w:rsid w:val="00EC5CC1"/>
    <w:rsid w:val="00EC5EB4"/>
    <w:rsid w:val="00EC688E"/>
    <w:rsid w:val="00EC77C2"/>
    <w:rsid w:val="00ED0259"/>
    <w:rsid w:val="00ED04CA"/>
    <w:rsid w:val="00ED0A72"/>
    <w:rsid w:val="00ED0B2F"/>
    <w:rsid w:val="00ED1C52"/>
    <w:rsid w:val="00ED2BA5"/>
    <w:rsid w:val="00ED3049"/>
    <w:rsid w:val="00ED3AFE"/>
    <w:rsid w:val="00ED415F"/>
    <w:rsid w:val="00ED45B9"/>
    <w:rsid w:val="00ED45C4"/>
    <w:rsid w:val="00ED5849"/>
    <w:rsid w:val="00ED7B40"/>
    <w:rsid w:val="00EE140A"/>
    <w:rsid w:val="00EE1FAF"/>
    <w:rsid w:val="00EE20DB"/>
    <w:rsid w:val="00EE213E"/>
    <w:rsid w:val="00EE2546"/>
    <w:rsid w:val="00EE290F"/>
    <w:rsid w:val="00EE2E83"/>
    <w:rsid w:val="00EE3D91"/>
    <w:rsid w:val="00EE42F8"/>
    <w:rsid w:val="00EE6099"/>
    <w:rsid w:val="00EE6812"/>
    <w:rsid w:val="00EE6D0A"/>
    <w:rsid w:val="00EE71AB"/>
    <w:rsid w:val="00EE7228"/>
    <w:rsid w:val="00EE766A"/>
    <w:rsid w:val="00EE77DA"/>
    <w:rsid w:val="00EE7EC8"/>
    <w:rsid w:val="00EF05D7"/>
    <w:rsid w:val="00EF0CE5"/>
    <w:rsid w:val="00EF1263"/>
    <w:rsid w:val="00EF1AF4"/>
    <w:rsid w:val="00EF1D3B"/>
    <w:rsid w:val="00EF24ED"/>
    <w:rsid w:val="00EF26F6"/>
    <w:rsid w:val="00EF3FF7"/>
    <w:rsid w:val="00EF42CC"/>
    <w:rsid w:val="00EF464C"/>
    <w:rsid w:val="00EF4929"/>
    <w:rsid w:val="00EF4ADE"/>
    <w:rsid w:val="00EF4C6B"/>
    <w:rsid w:val="00EF55DD"/>
    <w:rsid w:val="00EF568A"/>
    <w:rsid w:val="00EF5ABD"/>
    <w:rsid w:val="00EF5E54"/>
    <w:rsid w:val="00EF6EC3"/>
    <w:rsid w:val="00EF7AA6"/>
    <w:rsid w:val="00EF7EE1"/>
    <w:rsid w:val="00F01E00"/>
    <w:rsid w:val="00F02018"/>
    <w:rsid w:val="00F02447"/>
    <w:rsid w:val="00F02C47"/>
    <w:rsid w:val="00F02C5F"/>
    <w:rsid w:val="00F02F0B"/>
    <w:rsid w:val="00F02F89"/>
    <w:rsid w:val="00F0592A"/>
    <w:rsid w:val="00F05E09"/>
    <w:rsid w:val="00F06A8E"/>
    <w:rsid w:val="00F072D7"/>
    <w:rsid w:val="00F077D6"/>
    <w:rsid w:val="00F07A2C"/>
    <w:rsid w:val="00F07E9D"/>
    <w:rsid w:val="00F07FB7"/>
    <w:rsid w:val="00F101A6"/>
    <w:rsid w:val="00F106EB"/>
    <w:rsid w:val="00F11A9D"/>
    <w:rsid w:val="00F11E44"/>
    <w:rsid w:val="00F127C5"/>
    <w:rsid w:val="00F13013"/>
    <w:rsid w:val="00F134E4"/>
    <w:rsid w:val="00F13532"/>
    <w:rsid w:val="00F1395B"/>
    <w:rsid w:val="00F15DA0"/>
    <w:rsid w:val="00F16630"/>
    <w:rsid w:val="00F167DB"/>
    <w:rsid w:val="00F172CC"/>
    <w:rsid w:val="00F20B9C"/>
    <w:rsid w:val="00F21AC2"/>
    <w:rsid w:val="00F2241F"/>
    <w:rsid w:val="00F2276B"/>
    <w:rsid w:val="00F22AE1"/>
    <w:rsid w:val="00F23E14"/>
    <w:rsid w:val="00F26594"/>
    <w:rsid w:val="00F26AF7"/>
    <w:rsid w:val="00F306F0"/>
    <w:rsid w:val="00F32EA9"/>
    <w:rsid w:val="00F3301D"/>
    <w:rsid w:val="00F3357B"/>
    <w:rsid w:val="00F3398C"/>
    <w:rsid w:val="00F34405"/>
    <w:rsid w:val="00F34A74"/>
    <w:rsid w:val="00F3583F"/>
    <w:rsid w:val="00F36252"/>
    <w:rsid w:val="00F3655D"/>
    <w:rsid w:val="00F375C9"/>
    <w:rsid w:val="00F41B2C"/>
    <w:rsid w:val="00F43D0D"/>
    <w:rsid w:val="00F440C8"/>
    <w:rsid w:val="00F45900"/>
    <w:rsid w:val="00F45C9F"/>
    <w:rsid w:val="00F465A3"/>
    <w:rsid w:val="00F469A8"/>
    <w:rsid w:val="00F474DD"/>
    <w:rsid w:val="00F47630"/>
    <w:rsid w:val="00F47ECD"/>
    <w:rsid w:val="00F5051D"/>
    <w:rsid w:val="00F512FF"/>
    <w:rsid w:val="00F51E24"/>
    <w:rsid w:val="00F51EB0"/>
    <w:rsid w:val="00F51FB0"/>
    <w:rsid w:val="00F52403"/>
    <w:rsid w:val="00F52A1E"/>
    <w:rsid w:val="00F52CFA"/>
    <w:rsid w:val="00F53A4D"/>
    <w:rsid w:val="00F54781"/>
    <w:rsid w:val="00F56485"/>
    <w:rsid w:val="00F57421"/>
    <w:rsid w:val="00F57724"/>
    <w:rsid w:val="00F60899"/>
    <w:rsid w:val="00F60C29"/>
    <w:rsid w:val="00F60D38"/>
    <w:rsid w:val="00F6106E"/>
    <w:rsid w:val="00F62A7F"/>
    <w:rsid w:val="00F63256"/>
    <w:rsid w:val="00F6337F"/>
    <w:rsid w:val="00F65D61"/>
    <w:rsid w:val="00F664FA"/>
    <w:rsid w:val="00F66962"/>
    <w:rsid w:val="00F67064"/>
    <w:rsid w:val="00F67E3A"/>
    <w:rsid w:val="00F70380"/>
    <w:rsid w:val="00F717DA"/>
    <w:rsid w:val="00F71C64"/>
    <w:rsid w:val="00F72236"/>
    <w:rsid w:val="00F724E9"/>
    <w:rsid w:val="00F73985"/>
    <w:rsid w:val="00F749A2"/>
    <w:rsid w:val="00F76611"/>
    <w:rsid w:val="00F76E95"/>
    <w:rsid w:val="00F76EDB"/>
    <w:rsid w:val="00F801D6"/>
    <w:rsid w:val="00F80BD3"/>
    <w:rsid w:val="00F817A5"/>
    <w:rsid w:val="00F82760"/>
    <w:rsid w:val="00F82941"/>
    <w:rsid w:val="00F8363C"/>
    <w:rsid w:val="00F83BA7"/>
    <w:rsid w:val="00F83DD5"/>
    <w:rsid w:val="00F84B47"/>
    <w:rsid w:val="00F85447"/>
    <w:rsid w:val="00F85683"/>
    <w:rsid w:val="00F857FB"/>
    <w:rsid w:val="00F865A8"/>
    <w:rsid w:val="00F8679B"/>
    <w:rsid w:val="00F86AE3"/>
    <w:rsid w:val="00F86FEE"/>
    <w:rsid w:val="00F91F6F"/>
    <w:rsid w:val="00F93136"/>
    <w:rsid w:val="00F93233"/>
    <w:rsid w:val="00F93833"/>
    <w:rsid w:val="00F93EA9"/>
    <w:rsid w:val="00F94192"/>
    <w:rsid w:val="00F95D83"/>
    <w:rsid w:val="00F9656D"/>
    <w:rsid w:val="00F971A9"/>
    <w:rsid w:val="00F97345"/>
    <w:rsid w:val="00FA0292"/>
    <w:rsid w:val="00FA20B4"/>
    <w:rsid w:val="00FA21EB"/>
    <w:rsid w:val="00FA2A76"/>
    <w:rsid w:val="00FA33D9"/>
    <w:rsid w:val="00FA41FE"/>
    <w:rsid w:val="00FA5996"/>
    <w:rsid w:val="00FA59D5"/>
    <w:rsid w:val="00FA6056"/>
    <w:rsid w:val="00FA6821"/>
    <w:rsid w:val="00FA73DF"/>
    <w:rsid w:val="00FA7682"/>
    <w:rsid w:val="00FB00A0"/>
    <w:rsid w:val="00FB01D9"/>
    <w:rsid w:val="00FB0813"/>
    <w:rsid w:val="00FB08D1"/>
    <w:rsid w:val="00FB1427"/>
    <w:rsid w:val="00FB1A7D"/>
    <w:rsid w:val="00FB1BEA"/>
    <w:rsid w:val="00FB3A92"/>
    <w:rsid w:val="00FB482F"/>
    <w:rsid w:val="00FB4AE0"/>
    <w:rsid w:val="00FB4B8F"/>
    <w:rsid w:val="00FB5ED7"/>
    <w:rsid w:val="00FB680D"/>
    <w:rsid w:val="00FB7E71"/>
    <w:rsid w:val="00FC1771"/>
    <w:rsid w:val="00FC217F"/>
    <w:rsid w:val="00FC2355"/>
    <w:rsid w:val="00FC246B"/>
    <w:rsid w:val="00FC33ED"/>
    <w:rsid w:val="00FC3B83"/>
    <w:rsid w:val="00FC44E9"/>
    <w:rsid w:val="00FC5162"/>
    <w:rsid w:val="00FC52EB"/>
    <w:rsid w:val="00FC557E"/>
    <w:rsid w:val="00FC6FFA"/>
    <w:rsid w:val="00FC714C"/>
    <w:rsid w:val="00FC7ACB"/>
    <w:rsid w:val="00FD1EDC"/>
    <w:rsid w:val="00FD2B8D"/>
    <w:rsid w:val="00FD3B68"/>
    <w:rsid w:val="00FD499C"/>
    <w:rsid w:val="00FD507D"/>
    <w:rsid w:val="00FD63C5"/>
    <w:rsid w:val="00FD6592"/>
    <w:rsid w:val="00FD70F0"/>
    <w:rsid w:val="00FD74FB"/>
    <w:rsid w:val="00FD7C4E"/>
    <w:rsid w:val="00FE0B92"/>
    <w:rsid w:val="00FE10A5"/>
    <w:rsid w:val="00FE17B9"/>
    <w:rsid w:val="00FE184F"/>
    <w:rsid w:val="00FE296D"/>
    <w:rsid w:val="00FE2CB6"/>
    <w:rsid w:val="00FE2D3A"/>
    <w:rsid w:val="00FE57FD"/>
    <w:rsid w:val="00FE6B71"/>
    <w:rsid w:val="00FE7580"/>
    <w:rsid w:val="00FF01D1"/>
    <w:rsid w:val="00FF05D5"/>
    <w:rsid w:val="00FF07DE"/>
    <w:rsid w:val="00FF4013"/>
    <w:rsid w:val="00FF4437"/>
    <w:rsid w:val="00FF6631"/>
    <w:rsid w:val="00FF69EE"/>
    <w:rsid w:val="00FF7774"/>
    <w:rsid w:val="00FF7C47"/>
    <w:rsid w:val="0136196D"/>
    <w:rsid w:val="01387E0C"/>
    <w:rsid w:val="01BFDF92"/>
    <w:rsid w:val="01E242F1"/>
    <w:rsid w:val="02300CA6"/>
    <w:rsid w:val="023A5A8D"/>
    <w:rsid w:val="023FAD58"/>
    <w:rsid w:val="023FDD07"/>
    <w:rsid w:val="028D9AE9"/>
    <w:rsid w:val="02B47538"/>
    <w:rsid w:val="02FCE8D5"/>
    <w:rsid w:val="03166BF6"/>
    <w:rsid w:val="032BE12D"/>
    <w:rsid w:val="032C8EFB"/>
    <w:rsid w:val="032EBACE"/>
    <w:rsid w:val="036F5B02"/>
    <w:rsid w:val="0393A217"/>
    <w:rsid w:val="03DF26E9"/>
    <w:rsid w:val="0417E965"/>
    <w:rsid w:val="04434F07"/>
    <w:rsid w:val="0458D402"/>
    <w:rsid w:val="04D405E7"/>
    <w:rsid w:val="04E4CC5A"/>
    <w:rsid w:val="04F88A14"/>
    <w:rsid w:val="0560A9B0"/>
    <w:rsid w:val="0565EEBC"/>
    <w:rsid w:val="05982B58"/>
    <w:rsid w:val="05C90684"/>
    <w:rsid w:val="05E7E1E2"/>
    <w:rsid w:val="06035AC8"/>
    <w:rsid w:val="062FDDEF"/>
    <w:rsid w:val="0633EEB5"/>
    <w:rsid w:val="06543B81"/>
    <w:rsid w:val="06ABA0AA"/>
    <w:rsid w:val="07287346"/>
    <w:rsid w:val="072FB800"/>
    <w:rsid w:val="0761370D"/>
    <w:rsid w:val="076241BE"/>
    <w:rsid w:val="0792F5F6"/>
    <w:rsid w:val="07B859BD"/>
    <w:rsid w:val="07BF4AAB"/>
    <w:rsid w:val="07E76AF7"/>
    <w:rsid w:val="07F47DF8"/>
    <w:rsid w:val="08802A09"/>
    <w:rsid w:val="088E596B"/>
    <w:rsid w:val="08DF4805"/>
    <w:rsid w:val="095A594E"/>
    <w:rsid w:val="09B4561B"/>
    <w:rsid w:val="09D70795"/>
    <w:rsid w:val="09F59E88"/>
    <w:rsid w:val="0A435F4D"/>
    <w:rsid w:val="0A9A8043"/>
    <w:rsid w:val="0AC01506"/>
    <w:rsid w:val="0AC20FE3"/>
    <w:rsid w:val="0AD279F4"/>
    <w:rsid w:val="0B06F580"/>
    <w:rsid w:val="0B493A8C"/>
    <w:rsid w:val="0B92A6D1"/>
    <w:rsid w:val="0BE1B26A"/>
    <w:rsid w:val="0BF47D4A"/>
    <w:rsid w:val="0C853089"/>
    <w:rsid w:val="0CCFD68D"/>
    <w:rsid w:val="0CD2F658"/>
    <w:rsid w:val="0D27F24B"/>
    <w:rsid w:val="0D40F1E8"/>
    <w:rsid w:val="0D956780"/>
    <w:rsid w:val="0D9EB1B9"/>
    <w:rsid w:val="0DA5E27F"/>
    <w:rsid w:val="0DB03FEE"/>
    <w:rsid w:val="0DBD9712"/>
    <w:rsid w:val="0DE3F8AF"/>
    <w:rsid w:val="0DFE8480"/>
    <w:rsid w:val="0E2CDDA8"/>
    <w:rsid w:val="0E597D50"/>
    <w:rsid w:val="0EFFDF76"/>
    <w:rsid w:val="0F0EA250"/>
    <w:rsid w:val="0F613971"/>
    <w:rsid w:val="0F681AB0"/>
    <w:rsid w:val="0F93BD7C"/>
    <w:rsid w:val="0F985B95"/>
    <w:rsid w:val="10573826"/>
    <w:rsid w:val="10688BD3"/>
    <w:rsid w:val="107CB2A4"/>
    <w:rsid w:val="10B0CA1F"/>
    <w:rsid w:val="10D4CD44"/>
    <w:rsid w:val="10E8B65A"/>
    <w:rsid w:val="10F880E7"/>
    <w:rsid w:val="1112A79D"/>
    <w:rsid w:val="113843CC"/>
    <w:rsid w:val="113EADDB"/>
    <w:rsid w:val="1140E971"/>
    <w:rsid w:val="1153719C"/>
    <w:rsid w:val="1162F575"/>
    <w:rsid w:val="1187F6D0"/>
    <w:rsid w:val="11A541B4"/>
    <w:rsid w:val="11C36C90"/>
    <w:rsid w:val="11D1E847"/>
    <w:rsid w:val="1225624F"/>
    <w:rsid w:val="123BAB15"/>
    <w:rsid w:val="12AE2711"/>
    <w:rsid w:val="12CA9988"/>
    <w:rsid w:val="13109F64"/>
    <w:rsid w:val="13387643"/>
    <w:rsid w:val="1373895A"/>
    <w:rsid w:val="13975527"/>
    <w:rsid w:val="1398EE68"/>
    <w:rsid w:val="13CEC0ED"/>
    <w:rsid w:val="1411455F"/>
    <w:rsid w:val="144B1451"/>
    <w:rsid w:val="1457D904"/>
    <w:rsid w:val="145BA236"/>
    <w:rsid w:val="1483B89E"/>
    <w:rsid w:val="148A5106"/>
    <w:rsid w:val="14AA504F"/>
    <w:rsid w:val="14BA2B3B"/>
    <w:rsid w:val="151A577D"/>
    <w:rsid w:val="15689B78"/>
    <w:rsid w:val="15A7E94A"/>
    <w:rsid w:val="15B80F88"/>
    <w:rsid w:val="15BD69AB"/>
    <w:rsid w:val="15F23A8B"/>
    <w:rsid w:val="15F245EB"/>
    <w:rsid w:val="16233AFF"/>
    <w:rsid w:val="1623B5B6"/>
    <w:rsid w:val="16316784"/>
    <w:rsid w:val="165258DD"/>
    <w:rsid w:val="1676AC7B"/>
    <w:rsid w:val="16882A86"/>
    <w:rsid w:val="16BB0040"/>
    <w:rsid w:val="16BF936C"/>
    <w:rsid w:val="16D2A69F"/>
    <w:rsid w:val="16F1D527"/>
    <w:rsid w:val="17125A58"/>
    <w:rsid w:val="17133F5B"/>
    <w:rsid w:val="171B6B1E"/>
    <w:rsid w:val="17E63910"/>
    <w:rsid w:val="18081675"/>
    <w:rsid w:val="1829F995"/>
    <w:rsid w:val="185F4670"/>
    <w:rsid w:val="18C46A71"/>
    <w:rsid w:val="18F0CC96"/>
    <w:rsid w:val="18F553A7"/>
    <w:rsid w:val="19133B9C"/>
    <w:rsid w:val="191F26F4"/>
    <w:rsid w:val="1920C884"/>
    <w:rsid w:val="192A9816"/>
    <w:rsid w:val="19466822"/>
    <w:rsid w:val="19A2E406"/>
    <w:rsid w:val="19CCF4D9"/>
    <w:rsid w:val="19D5369F"/>
    <w:rsid w:val="1A255635"/>
    <w:rsid w:val="1A7DC9AA"/>
    <w:rsid w:val="1AC7BD03"/>
    <w:rsid w:val="1AFD9FBB"/>
    <w:rsid w:val="1B54CA51"/>
    <w:rsid w:val="1BB2B38A"/>
    <w:rsid w:val="1BFACB9E"/>
    <w:rsid w:val="1C181A7B"/>
    <w:rsid w:val="1C22DB34"/>
    <w:rsid w:val="1C3CD2E3"/>
    <w:rsid w:val="1C6D96C6"/>
    <w:rsid w:val="1C7444E4"/>
    <w:rsid w:val="1CA0E152"/>
    <w:rsid w:val="1CB38341"/>
    <w:rsid w:val="1CE1A70C"/>
    <w:rsid w:val="1D1B83E7"/>
    <w:rsid w:val="1D23A6C1"/>
    <w:rsid w:val="1D4454AE"/>
    <w:rsid w:val="1D4FC9C0"/>
    <w:rsid w:val="1D85E732"/>
    <w:rsid w:val="1D977142"/>
    <w:rsid w:val="1DAD2110"/>
    <w:rsid w:val="1DC100D0"/>
    <w:rsid w:val="1DCF5F46"/>
    <w:rsid w:val="1EC68C56"/>
    <w:rsid w:val="1F225EE7"/>
    <w:rsid w:val="1F281B59"/>
    <w:rsid w:val="20041E06"/>
    <w:rsid w:val="2008A427"/>
    <w:rsid w:val="20757973"/>
    <w:rsid w:val="207A5226"/>
    <w:rsid w:val="207AADCF"/>
    <w:rsid w:val="20996168"/>
    <w:rsid w:val="20DB0BCA"/>
    <w:rsid w:val="20DEF2A3"/>
    <w:rsid w:val="20FB4E12"/>
    <w:rsid w:val="212F2276"/>
    <w:rsid w:val="21777ECE"/>
    <w:rsid w:val="21B9C76A"/>
    <w:rsid w:val="21BA38AF"/>
    <w:rsid w:val="21DD435C"/>
    <w:rsid w:val="2238E159"/>
    <w:rsid w:val="224E5E01"/>
    <w:rsid w:val="2318E641"/>
    <w:rsid w:val="2318E935"/>
    <w:rsid w:val="2319BF26"/>
    <w:rsid w:val="231A0A02"/>
    <w:rsid w:val="2321CA48"/>
    <w:rsid w:val="23234FFF"/>
    <w:rsid w:val="23D72D13"/>
    <w:rsid w:val="24175A06"/>
    <w:rsid w:val="24554125"/>
    <w:rsid w:val="2463DEF9"/>
    <w:rsid w:val="24DB960B"/>
    <w:rsid w:val="25077EC2"/>
    <w:rsid w:val="252BD8ED"/>
    <w:rsid w:val="257EE40A"/>
    <w:rsid w:val="25D5197A"/>
    <w:rsid w:val="25EC9F23"/>
    <w:rsid w:val="263006FE"/>
    <w:rsid w:val="264F6E68"/>
    <w:rsid w:val="2653E6A9"/>
    <w:rsid w:val="26885E27"/>
    <w:rsid w:val="26CB8BC2"/>
    <w:rsid w:val="26D02C58"/>
    <w:rsid w:val="26D55749"/>
    <w:rsid w:val="270257F4"/>
    <w:rsid w:val="274AA93C"/>
    <w:rsid w:val="2759F2B4"/>
    <w:rsid w:val="275DE14F"/>
    <w:rsid w:val="277AE150"/>
    <w:rsid w:val="2793FCDF"/>
    <w:rsid w:val="27E79426"/>
    <w:rsid w:val="2800B330"/>
    <w:rsid w:val="28352863"/>
    <w:rsid w:val="2842CE1A"/>
    <w:rsid w:val="2888176B"/>
    <w:rsid w:val="28ED0DE1"/>
    <w:rsid w:val="2943774A"/>
    <w:rsid w:val="295D97C5"/>
    <w:rsid w:val="2962D139"/>
    <w:rsid w:val="29E0BDC2"/>
    <w:rsid w:val="29F28269"/>
    <w:rsid w:val="2A0F59D9"/>
    <w:rsid w:val="2A190DB7"/>
    <w:rsid w:val="2A2CE618"/>
    <w:rsid w:val="2A760F60"/>
    <w:rsid w:val="2A9C60FF"/>
    <w:rsid w:val="2ACF6A0D"/>
    <w:rsid w:val="2B181569"/>
    <w:rsid w:val="2B290DF1"/>
    <w:rsid w:val="2B3C4EC3"/>
    <w:rsid w:val="2B3D1543"/>
    <w:rsid w:val="2BF0BAA8"/>
    <w:rsid w:val="2C796657"/>
    <w:rsid w:val="2C7A7555"/>
    <w:rsid w:val="2C86ACE0"/>
    <w:rsid w:val="2D1863F9"/>
    <w:rsid w:val="2D23223C"/>
    <w:rsid w:val="2D29A0A5"/>
    <w:rsid w:val="2DA95022"/>
    <w:rsid w:val="2DD03AF2"/>
    <w:rsid w:val="2DD18493"/>
    <w:rsid w:val="2DE7CF40"/>
    <w:rsid w:val="2DEB499D"/>
    <w:rsid w:val="2E9837FC"/>
    <w:rsid w:val="2EABF32F"/>
    <w:rsid w:val="2ED2A108"/>
    <w:rsid w:val="2EF6E8C0"/>
    <w:rsid w:val="2F1ADEB6"/>
    <w:rsid w:val="2F3BF78C"/>
    <w:rsid w:val="2F449D75"/>
    <w:rsid w:val="2F8650DC"/>
    <w:rsid w:val="2FB02CD9"/>
    <w:rsid w:val="2FC45064"/>
    <w:rsid w:val="2FD40144"/>
    <w:rsid w:val="3005FDCD"/>
    <w:rsid w:val="30064394"/>
    <w:rsid w:val="302268E4"/>
    <w:rsid w:val="3030F356"/>
    <w:rsid w:val="30334F67"/>
    <w:rsid w:val="3038B9B2"/>
    <w:rsid w:val="3047B4D9"/>
    <w:rsid w:val="304F90E4"/>
    <w:rsid w:val="305AD622"/>
    <w:rsid w:val="30BC08AA"/>
    <w:rsid w:val="30C26D86"/>
    <w:rsid w:val="317C240D"/>
    <w:rsid w:val="31F1122F"/>
    <w:rsid w:val="31F52BE7"/>
    <w:rsid w:val="31FF0D49"/>
    <w:rsid w:val="325671F7"/>
    <w:rsid w:val="3257D8FB"/>
    <w:rsid w:val="3274BC0B"/>
    <w:rsid w:val="3359D128"/>
    <w:rsid w:val="3382A97F"/>
    <w:rsid w:val="3385BD13"/>
    <w:rsid w:val="33C8FA50"/>
    <w:rsid w:val="34003708"/>
    <w:rsid w:val="341B06BC"/>
    <w:rsid w:val="3434621B"/>
    <w:rsid w:val="34569AC5"/>
    <w:rsid w:val="34663299"/>
    <w:rsid w:val="34F86D1F"/>
    <w:rsid w:val="3520E9CC"/>
    <w:rsid w:val="354B0EC1"/>
    <w:rsid w:val="3592F0C3"/>
    <w:rsid w:val="35A0CCAB"/>
    <w:rsid w:val="35C80B79"/>
    <w:rsid w:val="35E3CD25"/>
    <w:rsid w:val="364EA0BF"/>
    <w:rsid w:val="3658C2BD"/>
    <w:rsid w:val="365B0B80"/>
    <w:rsid w:val="366FA9A0"/>
    <w:rsid w:val="36A22716"/>
    <w:rsid w:val="36D7C554"/>
    <w:rsid w:val="36F41451"/>
    <w:rsid w:val="373446A8"/>
    <w:rsid w:val="3742D04B"/>
    <w:rsid w:val="3743FFBA"/>
    <w:rsid w:val="37A9C18C"/>
    <w:rsid w:val="37DD3FF5"/>
    <w:rsid w:val="37DDFC50"/>
    <w:rsid w:val="37FA7ED3"/>
    <w:rsid w:val="38BE3A47"/>
    <w:rsid w:val="38EB47CE"/>
    <w:rsid w:val="38FA4ED5"/>
    <w:rsid w:val="3944CAE9"/>
    <w:rsid w:val="394837CF"/>
    <w:rsid w:val="3952E99B"/>
    <w:rsid w:val="39670EC5"/>
    <w:rsid w:val="39C68258"/>
    <w:rsid w:val="39FDA63F"/>
    <w:rsid w:val="39FFE11B"/>
    <w:rsid w:val="3A185535"/>
    <w:rsid w:val="3A671FCC"/>
    <w:rsid w:val="3A70F92A"/>
    <w:rsid w:val="3A8D4A19"/>
    <w:rsid w:val="3ABDDA7E"/>
    <w:rsid w:val="3B7B46AD"/>
    <w:rsid w:val="3B8C6470"/>
    <w:rsid w:val="3BD21A4D"/>
    <w:rsid w:val="3C585F81"/>
    <w:rsid w:val="3C926E34"/>
    <w:rsid w:val="3CE596BD"/>
    <w:rsid w:val="3D2FA3C5"/>
    <w:rsid w:val="3D34F15C"/>
    <w:rsid w:val="3D443DAA"/>
    <w:rsid w:val="3D68E581"/>
    <w:rsid w:val="3DA1E7FB"/>
    <w:rsid w:val="3DE13CEF"/>
    <w:rsid w:val="3DE4374D"/>
    <w:rsid w:val="3E0D7FF0"/>
    <w:rsid w:val="3E6B6202"/>
    <w:rsid w:val="3EC76EE5"/>
    <w:rsid w:val="3EC8035F"/>
    <w:rsid w:val="3EE0B44B"/>
    <w:rsid w:val="3EED195B"/>
    <w:rsid w:val="3F11CD7C"/>
    <w:rsid w:val="3F638AD2"/>
    <w:rsid w:val="3F6A83E4"/>
    <w:rsid w:val="3F8407C5"/>
    <w:rsid w:val="3F9051A7"/>
    <w:rsid w:val="401EED38"/>
    <w:rsid w:val="402428CA"/>
    <w:rsid w:val="406C3584"/>
    <w:rsid w:val="4099BEE5"/>
    <w:rsid w:val="40DCC6D0"/>
    <w:rsid w:val="41084AB0"/>
    <w:rsid w:val="412E622C"/>
    <w:rsid w:val="41353E28"/>
    <w:rsid w:val="41731FBC"/>
    <w:rsid w:val="4180F801"/>
    <w:rsid w:val="422008C2"/>
    <w:rsid w:val="42C99CD2"/>
    <w:rsid w:val="42E6B64C"/>
    <w:rsid w:val="42EF510D"/>
    <w:rsid w:val="4308F09A"/>
    <w:rsid w:val="4328D195"/>
    <w:rsid w:val="43BA0AC7"/>
    <w:rsid w:val="43C5ED57"/>
    <w:rsid w:val="44626B5A"/>
    <w:rsid w:val="44FDEFB1"/>
    <w:rsid w:val="450E6BF0"/>
    <w:rsid w:val="45166A47"/>
    <w:rsid w:val="455DA066"/>
    <w:rsid w:val="456D128F"/>
    <w:rsid w:val="45768499"/>
    <w:rsid w:val="45BB8E84"/>
    <w:rsid w:val="45D009FD"/>
    <w:rsid w:val="45DF775F"/>
    <w:rsid w:val="4672CCFB"/>
    <w:rsid w:val="46A6347F"/>
    <w:rsid w:val="46CFFAB3"/>
    <w:rsid w:val="46D5D8B5"/>
    <w:rsid w:val="46E721E7"/>
    <w:rsid w:val="4727EEE5"/>
    <w:rsid w:val="47465682"/>
    <w:rsid w:val="482F7369"/>
    <w:rsid w:val="48445EDD"/>
    <w:rsid w:val="485EEB8C"/>
    <w:rsid w:val="48B05848"/>
    <w:rsid w:val="48B56E88"/>
    <w:rsid w:val="4908B896"/>
    <w:rsid w:val="491131DC"/>
    <w:rsid w:val="4914E032"/>
    <w:rsid w:val="49220A41"/>
    <w:rsid w:val="49251A68"/>
    <w:rsid w:val="498AE162"/>
    <w:rsid w:val="4995D7FB"/>
    <w:rsid w:val="49F267D5"/>
    <w:rsid w:val="4A3B9AB8"/>
    <w:rsid w:val="4A4B595D"/>
    <w:rsid w:val="4B24867F"/>
    <w:rsid w:val="4B650542"/>
    <w:rsid w:val="4B8B95E8"/>
    <w:rsid w:val="4BD18716"/>
    <w:rsid w:val="4C5F85CD"/>
    <w:rsid w:val="4C681C86"/>
    <w:rsid w:val="4C9E4C93"/>
    <w:rsid w:val="4D001A23"/>
    <w:rsid w:val="4D9DCB40"/>
    <w:rsid w:val="4DBB3235"/>
    <w:rsid w:val="4DD705EF"/>
    <w:rsid w:val="4DD77F1C"/>
    <w:rsid w:val="4E000902"/>
    <w:rsid w:val="4E48BC16"/>
    <w:rsid w:val="4E67DCA7"/>
    <w:rsid w:val="4E8A5363"/>
    <w:rsid w:val="4EE2C299"/>
    <w:rsid w:val="4EE74FF0"/>
    <w:rsid w:val="4F0490A6"/>
    <w:rsid w:val="4F04BC8F"/>
    <w:rsid w:val="4F40999F"/>
    <w:rsid w:val="4F470142"/>
    <w:rsid w:val="4FA2C806"/>
    <w:rsid w:val="4FBDC5E0"/>
    <w:rsid w:val="4FD8E071"/>
    <w:rsid w:val="4FFC37DC"/>
    <w:rsid w:val="5007442F"/>
    <w:rsid w:val="5020B014"/>
    <w:rsid w:val="509D3048"/>
    <w:rsid w:val="50B1DC30"/>
    <w:rsid w:val="50B83B4E"/>
    <w:rsid w:val="5124225B"/>
    <w:rsid w:val="514C1F9D"/>
    <w:rsid w:val="51A26F87"/>
    <w:rsid w:val="51B0AF17"/>
    <w:rsid w:val="51E2FEF6"/>
    <w:rsid w:val="51F80308"/>
    <w:rsid w:val="52731BB3"/>
    <w:rsid w:val="529242F5"/>
    <w:rsid w:val="52F8FFF4"/>
    <w:rsid w:val="52FAD8C8"/>
    <w:rsid w:val="533B21DD"/>
    <w:rsid w:val="5372B236"/>
    <w:rsid w:val="5378AC45"/>
    <w:rsid w:val="5385867B"/>
    <w:rsid w:val="53A35B96"/>
    <w:rsid w:val="53B2D17D"/>
    <w:rsid w:val="53C8A5BC"/>
    <w:rsid w:val="53D809CB"/>
    <w:rsid w:val="53F206BC"/>
    <w:rsid w:val="5411EB75"/>
    <w:rsid w:val="5459816A"/>
    <w:rsid w:val="545E6E47"/>
    <w:rsid w:val="5496F58E"/>
    <w:rsid w:val="54AFC08B"/>
    <w:rsid w:val="54B33616"/>
    <w:rsid w:val="5508501C"/>
    <w:rsid w:val="5514CF60"/>
    <w:rsid w:val="5518720A"/>
    <w:rsid w:val="559059B6"/>
    <w:rsid w:val="55B51F2B"/>
    <w:rsid w:val="56162790"/>
    <w:rsid w:val="5637FE57"/>
    <w:rsid w:val="569C9370"/>
    <w:rsid w:val="56B2D66F"/>
    <w:rsid w:val="56B7A5A9"/>
    <w:rsid w:val="572D92EC"/>
    <w:rsid w:val="575EBA76"/>
    <w:rsid w:val="57933777"/>
    <w:rsid w:val="57B430F7"/>
    <w:rsid w:val="57BA1037"/>
    <w:rsid w:val="57BDD995"/>
    <w:rsid w:val="57E56C58"/>
    <w:rsid w:val="58038A89"/>
    <w:rsid w:val="581DAF07"/>
    <w:rsid w:val="583706CB"/>
    <w:rsid w:val="58B44A50"/>
    <w:rsid w:val="58E8B089"/>
    <w:rsid w:val="591A9C73"/>
    <w:rsid w:val="59294271"/>
    <w:rsid w:val="593D5ADB"/>
    <w:rsid w:val="5949B8E7"/>
    <w:rsid w:val="594F10FD"/>
    <w:rsid w:val="595DDE09"/>
    <w:rsid w:val="59C25009"/>
    <w:rsid w:val="5A06154B"/>
    <w:rsid w:val="5A1596B7"/>
    <w:rsid w:val="5A32FBB4"/>
    <w:rsid w:val="5A6EBD0D"/>
    <w:rsid w:val="5A757275"/>
    <w:rsid w:val="5A8F2552"/>
    <w:rsid w:val="5A910FC8"/>
    <w:rsid w:val="5A974363"/>
    <w:rsid w:val="5ABF8A33"/>
    <w:rsid w:val="5B8946C2"/>
    <w:rsid w:val="5BA2DE0B"/>
    <w:rsid w:val="5BD7BFCB"/>
    <w:rsid w:val="5C3D182A"/>
    <w:rsid w:val="5C492518"/>
    <w:rsid w:val="5C5FC930"/>
    <w:rsid w:val="5C66FC79"/>
    <w:rsid w:val="5CDD6B03"/>
    <w:rsid w:val="5D15418C"/>
    <w:rsid w:val="5D3549D5"/>
    <w:rsid w:val="5D3B7F4F"/>
    <w:rsid w:val="5D953EE1"/>
    <w:rsid w:val="5E1EDCD5"/>
    <w:rsid w:val="5E58695C"/>
    <w:rsid w:val="5EF7C9E4"/>
    <w:rsid w:val="5F0E3478"/>
    <w:rsid w:val="5F41B355"/>
    <w:rsid w:val="5F527179"/>
    <w:rsid w:val="5F758191"/>
    <w:rsid w:val="5FA9A7F0"/>
    <w:rsid w:val="5FAE15F5"/>
    <w:rsid w:val="60025458"/>
    <w:rsid w:val="602AE1F7"/>
    <w:rsid w:val="605E3E98"/>
    <w:rsid w:val="61334486"/>
    <w:rsid w:val="61512653"/>
    <w:rsid w:val="616E96CE"/>
    <w:rsid w:val="617E0904"/>
    <w:rsid w:val="6275DCFD"/>
    <w:rsid w:val="6288B247"/>
    <w:rsid w:val="628D8214"/>
    <w:rsid w:val="62C5DD35"/>
    <w:rsid w:val="62D09B52"/>
    <w:rsid w:val="630D0909"/>
    <w:rsid w:val="63266B7F"/>
    <w:rsid w:val="638212FF"/>
    <w:rsid w:val="638337A8"/>
    <w:rsid w:val="63910A0B"/>
    <w:rsid w:val="63C7F8C0"/>
    <w:rsid w:val="63F1C79A"/>
    <w:rsid w:val="63FE5752"/>
    <w:rsid w:val="6424E3FA"/>
    <w:rsid w:val="643C5CF1"/>
    <w:rsid w:val="64580C50"/>
    <w:rsid w:val="646D61AE"/>
    <w:rsid w:val="64A90621"/>
    <w:rsid w:val="64AD859B"/>
    <w:rsid w:val="64D622F2"/>
    <w:rsid w:val="651691D5"/>
    <w:rsid w:val="65A94F83"/>
    <w:rsid w:val="65B074F2"/>
    <w:rsid w:val="65B9C611"/>
    <w:rsid w:val="6617750E"/>
    <w:rsid w:val="66611AD9"/>
    <w:rsid w:val="66642D4D"/>
    <w:rsid w:val="66AAB76F"/>
    <w:rsid w:val="677B2888"/>
    <w:rsid w:val="678AC0C2"/>
    <w:rsid w:val="67FA6D9D"/>
    <w:rsid w:val="6806F587"/>
    <w:rsid w:val="6844DB18"/>
    <w:rsid w:val="6870A085"/>
    <w:rsid w:val="6899B656"/>
    <w:rsid w:val="68B0B661"/>
    <w:rsid w:val="68DD0D7F"/>
    <w:rsid w:val="6909612B"/>
    <w:rsid w:val="69284638"/>
    <w:rsid w:val="69479BDC"/>
    <w:rsid w:val="69AA4BA2"/>
    <w:rsid w:val="6A300545"/>
    <w:rsid w:val="6A393F0D"/>
    <w:rsid w:val="6A42F6CB"/>
    <w:rsid w:val="6A463F0A"/>
    <w:rsid w:val="6A84D0C2"/>
    <w:rsid w:val="6AAA63C4"/>
    <w:rsid w:val="6AC84543"/>
    <w:rsid w:val="6AFF5CA1"/>
    <w:rsid w:val="6B034DAC"/>
    <w:rsid w:val="6B7906DD"/>
    <w:rsid w:val="6B8114E1"/>
    <w:rsid w:val="6BD228D5"/>
    <w:rsid w:val="6BF08200"/>
    <w:rsid w:val="6C26C170"/>
    <w:rsid w:val="6C799BCD"/>
    <w:rsid w:val="6CEA769E"/>
    <w:rsid w:val="6D2779F9"/>
    <w:rsid w:val="6D296A59"/>
    <w:rsid w:val="6D296CDB"/>
    <w:rsid w:val="6DA86057"/>
    <w:rsid w:val="6DD1D399"/>
    <w:rsid w:val="6DD43A84"/>
    <w:rsid w:val="6E0660B7"/>
    <w:rsid w:val="6E2FE0D8"/>
    <w:rsid w:val="6E5E7825"/>
    <w:rsid w:val="6EA20C05"/>
    <w:rsid w:val="6EE276E8"/>
    <w:rsid w:val="6F065F2B"/>
    <w:rsid w:val="6F90CC86"/>
    <w:rsid w:val="6FBC9574"/>
    <w:rsid w:val="6FC3B685"/>
    <w:rsid w:val="70032088"/>
    <w:rsid w:val="70206DBE"/>
    <w:rsid w:val="7035C264"/>
    <w:rsid w:val="703C7F29"/>
    <w:rsid w:val="7049FFCB"/>
    <w:rsid w:val="70558B1B"/>
    <w:rsid w:val="709FC2DC"/>
    <w:rsid w:val="70C18911"/>
    <w:rsid w:val="71385E89"/>
    <w:rsid w:val="717AE000"/>
    <w:rsid w:val="71828431"/>
    <w:rsid w:val="71D3E37B"/>
    <w:rsid w:val="720B27CA"/>
    <w:rsid w:val="7211A793"/>
    <w:rsid w:val="725723B9"/>
    <w:rsid w:val="72A6B8DC"/>
    <w:rsid w:val="72B588AF"/>
    <w:rsid w:val="72CCC99C"/>
    <w:rsid w:val="733DE6C6"/>
    <w:rsid w:val="73CA99D1"/>
    <w:rsid w:val="73DEF087"/>
    <w:rsid w:val="73E9B747"/>
    <w:rsid w:val="7467EF90"/>
    <w:rsid w:val="7526BA8E"/>
    <w:rsid w:val="757ADDA4"/>
    <w:rsid w:val="75BD2465"/>
    <w:rsid w:val="75E36012"/>
    <w:rsid w:val="76052957"/>
    <w:rsid w:val="7625D1A6"/>
    <w:rsid w:val="7672F75D"/>
    <w:rsid w:val="7679FCBD"/>
    <w:rsid w:val="768E2470"/>
    <w:rsid w:val="76960540"/>
    <w:rsid w:val="76B1C2FD"/>
    <w:rsid w:val="76B84F70"/>
    <w:rsid w:val="76C67150"/>
    <w:rsid w:val="76E8F6E7"/>
    <w:rsid w:val="770C69B8"/>
    <w:rsid w:val="770EE590"/>
    <w:rsid w:val="7716EBE8"/>
    <w:rsid w:val="7739DD6A"/>
    <w:rsid w:val="774D8859"/>
    <w:rsid w:val="7769BFB7"/>
    <w:rsid w:val="778112DD"/>
    <w:rsid w:val="77883384"/>
    <w:rsid w:val="77C4F4F8"/>
    <w:rsid w:val="77D8443D"/>
    <w:rsid w:val="77E4B8EF"/>
    <w:rsid w:val="77F8CCC8"/>
    <w:rsid w:val="788415F9"/>
    <w:rsid w:val="78AF98C5"/>
    <w:rsid w:val="79211787"/>
    <w:rsid w:val="7929CF17"/>
    <w:rsid w:val="795792D9"/>
    <w:rsid w:val="79B568EE"/>
    <w:rsid w:val="79B8A5BA"/>
    <w:rsid w:val="79FAEB3D"/>
    <w:rsid w:val="7A1C96D1"/>
    <w:rsid w:val="7A32FB11"/>
    <w:rsid w:val="7A89D552"/>
    <w:rsid w:val="7AA25645"/>
    <w:rsid w:val="7ADAA720"/>
    <w:rsid w:val="7B0378C8"/>
    <w:rsid w:val="7B56104B"/>
    <w:rsid w:val="7B61635A"/>
    <w:rsid w:val="7BB12545"/>
    <w:rsid w:val="7BBC8012"/>
    <w:rsid w:val="7BCAD4ED"/>
    <w:rsid w:val="7BEEDA35"/>
    <w:rsid w:val="7C447FAA"/>
    <w:rsid w:val="7C60EC6B"/>
    <w:rsid w:val="7C65BAF2"/>
    <w:rsid w:val="7C8228E1"/>
    <w:rsid w:val="7C98D666"/>
    <w:rsid w:val="7CB134DD"/>
    <w:rsid w:val="7CFFA42F"/>
    <w:rsid w:val="7CFFB7FB"/>
    <w:rsid w:val="7D875EEB"/>
    <w:rsid w:val="7D8E21FA"/>
    <w:rsid w:val="7DAB8AD7"/>
    <w:rsid w:val="7DADEA6A"/>
    <w:rsid w:val="7DD1EF76"/>
    <w:rsid w:val="7DE1F99C"/>
    <w:rsid w:val="7DE6C703"/>
    <w:rsid w:val="7E37EEB1"/>
    <w:rsid w:val="7E44CB66"/>
    <w:rsid w:val="7E4AB63A"/>
    <w:rsid w:val="7E900252"/>
    <w:rsid w:val="7ED370F0"/>
    <w:rsid w:val="7EECFAB4"/>
    <w:rsid w:val="7F1A11B1"/>
    <w:rsid w:val="7F1BA06D"/>
    <w:rsid w:val="7F410648"/>
    <w:rsid w:val="7F5900DF"/>
    <w:rsid w:val="7F601C56"/>
    <w:rsid w:val="7FF1D6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E713"/>
  <w15:chartTrackingRefBased/>
  <w15:docId w15:val="{A64975B9-13C5-4D25-A2AC-34D26AA1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4"/>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3C78A7"/>
    <w:pPr>
      <w:keepNext/>
      <w:keepLines/>
      <w:spacing w:before="240" w:after="40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3C78A7"/>
    <w:rPr>
      <w:rFonts w:ascii="Arial" w:eastAsiaTheme="majorEastAsia" w:hAnsi="Arial" w:cstheme="majorBidi"/>
      <w:b/>
      <w:color w:val="A20000"/>
      <w:sz w:val="28"/>
      <w:szCs w:val="24"/>
      <w:lang w:val="en-GB"/>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787745"/>
    <w:rPr>
      <w:sz w:val="16"/>
      <w:szCs w:val="16"/>
    </w:rPr>
  </w:style>
  <w:style w:type="paragraph" w:styleId="CommentText">
    <w:name w:val="annotation text"/>
    <w:basedOn w:val="Normal"/>
    <w:link w:val="CommentTextChar"/>
    <w:uiPriority w:val="99"/>
    <w:unhideWhenUsed/>
    <w:rsid w:val="00787745"/>
    <w:pPr>
      <w:spacing w:line="240" w:lineRule="auto"/>
    </w:pPr>
    <w:rPr>
      <w:sz w:val="20"/>
      <w:szCs w:val="20"/>
    </w:rPr>
  </w:style>
  <w:style w:type="character" w:customStyle="1" w:styleId="CommentTextChar">
    <w:name w:val="Comment Text Char"/>
    <w:basedOn w:val="DefaultParagraphFont"/>
    <w:link w:val="CommentText"/>
    <w:uiPriority w:val="99"/>
    <w:rsid w:val="00787745"/>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787745"/>
    <w:rPr>
      <w:b/>
      <w:bCs/>
    </w:rPr>
  </w:style>
  <w:style w:type="character" w:customStyle="1" w:styleId="CommentSubjectChar">
    <w:name w:val="Comment Subject Char"/>
    <w:basedOn w:val="CommentTextChar"/>
    <w:link w:val="CommentSubject"/>
    <w:uiPriority w:val="99"/>
    <w:semiHidden/>
    <w:rsid w:val="00787745"/>
    <w:rPr>
      <w:rFonts w:ascii="Verdana" w:hAnsi="Verdana"/>
      <w:b/>
      <w:bCs/>
      <w:sz w:val="20"/>
      <w:szCs w:val="20"/>
      <w:lang w:val="en-GB"/>
    </w:rPr>
  </w:style>
  <w:style w:type="character" w:styleId="Mention">
    <w:name w:val="Mention"/>
    <w:basedOn w:val="DefaultParagraphFont"/>
    <w:uiPriority w:val="99"/>
    <w:unhideWhenUsed/>
    <w:rsid w:val="006A0A18"/>
    <w:rPr>
      <w:color w:val="2B579A"/>
      <w:shd w:val="clear" w:color="auto" w:fill="E1DFDD"/>
    </w:rPr>
  </w:style>
  <w:style w:type="paragraph" w:styleId="Revision">
    <w:name w:val="Revision"/>
    <w:hidden/>
    <w:uiPriority w:val="99"/>
    <w:semiHidden/>
    <w:rsid w:val="00657781"/>
    <w:pPr>
      <w:spacing w:after="0" w:line="240" w:lineRule="auto"/>
    </w:pPr>
    <w:rPr>
      <w:rFonts w:ascii="Verdana" w:hAnsi="Verdana"/>
      <w:sz w:val="24"/>
      <w:lang w:val="en-GB"/>
    </w:rPr>
  </w:style>
  <w:style w:type="character" w:styleId="FollowedHyperlink">
    <w:name w:val="FollowedHyperlink"/>
    <w:basedOn w:val="DefaultParagraphFont"/>
    <w:uiPriority w:val="99"/>
    <w:semiHidden/>
    <w:unhideWhenUsed/>
    <w:rsid w:val="00500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document/download/ab0bcea9-6b3a-48c1-875c-1cc687fba6d0_en?filename=EC%20Enhancing%20the%20disability%20strategy%20up%20to%202030.pdf"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mmission.europa.eu/topics/preparedness_e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f-feph.org/publications/eu-strategy-on-the-rights-of-persons-with-disabilities-2021-2030-actions-for-its-2nd-phase/"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employment-social-affairs.ec.europa.eu/policies-and-activities/social-protection-social-inclusion/addressing-poverty-and-supporting-social-inclusion/eu-anti-poverty-strategy_en" TargetMode="External"/><Relationship Id="rId20" Type="http://schemas.openxmlformats.org/officeDocument/2006/relationships/hyperlink" Target="https://commission.europa.eu/document/download/b4952371-4308-47ad-b995-02c539b75dda_en?filename=LGBTIQ%20equality%20strategy%202026%20203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edf-feph.org" TargetMode="External"/><Relationship Id="rId5" Type="http://schemas.openxmlformats.org/officeDocument/2006/relationships/numbering" Target="numbering.xml"/><Relationship Id="rId15" Type="http://schemas.openxmlformats.org/officeDocument/2006/relationships/hyperlink" Target="https://commission.europa.eu/strategy-and-policy/policies/justice-and-fundamental-rights/combatting-discrimination/lesbian-gay-bi-trans-and-intersex-equality/lgbtiq-equality-strategy-2026-2030_en" TargetMode="External"/><Relationship Id="rId23" Type="http://schemas.openxmlformats.org/officeDocument/2006/relationships/hyperlink" Target="http://www.edf-feph.org" TargetMode="External"/><Relationship Id="rId10" Type="http://schemas.openxmlformats.org/officeDocument/2006/relationships/endnotes" Target="endnotes.xml"/><Relationship Id="rId19" Type="http://schemas.openxmlformats.org/officeDocument/2006/relationships/hyperlink" Target="https://euonqol.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en/publication-detail/-/publication/3e1e2228-7c97-11eb-9ac9-01aa75ed71a1/language-en" TargetMode="External"/><Relationship Id="rId22" Type="http://schemas.openxmlformats.org/officeDocument/2006/relationships/hyperlink" Target="https://commission.europa.eu/resources/europa-web-guide/design-content-and-development/accessibility_en"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dfeph.sharepoint.com/sites/Templates/Documents/EDF%20Position%20papers%20and%20guid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3E6FC-A3F3-47E9-B380-96D85B24E984}">
  <ds:schemaRefs>
    <ds:schemaRef ds:uri="http://schemas.microsoft.com/sharepoint/v3/contenttype/forms"/>
  </ds:schemaRefs>
</ds:datastoreItem>
</file>

<file path=customXml/itemProps2.xml><?xml version="1.0" encoding="utf-8"?>
<ds:datastoreItem xmlns:ds="http://schemas.openxmlformats.org/officeDocument/2006/customXml" ds:itemID="{AF857400-5626-4165-8B65-81C314BDEED7}">
  <ds:schemaRefs>
    <ds:schemaRef ds:uri="http://schemas.openxmlformats.org/officeDocument/2006/bibliography"/>
  </ds:schemaRefs>
</ds:datastoreItem>
</file>

<file path=customXml/itemProps3.xml><?xml version="1.0" encoding="utf-8"?>
<ds:datastoreItem xmlns:ds="http://schemas.openxmlformats.org/officeDocument/2006/customXml" ds:itemID="{3B59DD15-D772-4F78-A0DD-536F8391BE88}">
  <ds:schemaRefs>
    <ds:schemaRef ds:uri="http://schemas.microsoft.com/office/2006/metadata/properties"/>
    <ds:schemaRef ds:uri="http://schemas.microsoft.com/office/infopath/2007/PartnerControls"/>
    <ds:schemaRef ds:uri="1109193b-fc47-4219-a883-12ef0cde8689"/>
    <ds:schemaRef ds:uri="252f4827-23ce-43c5-a232-6be14f1d3f55"/>
  </ds:schemaRefs>
</ds:datastoreItem>
</file>

<file path=customXml/itemProps4.xml><?xml version="1.0" encoding="utf-8"?>
<ds:datastoreItem xmlns:ds="http://schemas.openxmlformats.org/officeDocument/2006/customXml" ds:itemID="{38389E3F-ECC4-40F0-9AFF-1CD841F2B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EDF%20Position%20papers%20and%20guides</Template>
  <TotalTime>2</TotalTime>
  <Pages>50</Pages>
  <Words>12799</Words>
  <Characters>72960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85588</CharactersWithSpaces>
  <SharedDoc>false</SharedDoc>
  <HLinks>
    <vt:vector size="132" baseType="variant">
      <vt:variant>
        <vt:i4>6356994</vt:i4>
      </vt:variant>
      <vt:variant>
        <vt:i4>75</vt:i4>
      </vt:variant>
      <vt:variant>
        <vt:i4>0</vt:i4>
      </vt:variant>
      <vt:variant>
        <vt:i4>5</vt:i4>
      </vt:variant>
      <vt:variant>
        <vt:lpwstr>mailto:info@edf-feph.org</vt:lpwstr>
      </vt:variant>
      <vt:variant>
        <vt:lpwstr/>
      </vt:variant>
      <vt:variant>
        <vt:i4>5046300</vt:i4>
      </vt:variant>
      <vt:variant>
        <vt:i4>72</vt:i4>
      </vt:variant>
      <vt:variant>
        <vt:i4>0</vt:i4>
      </vt:variant>
      <vt:variant>
        <vt:i4>5</vt:i4>
      </vt:variant>
      <vt:variant>
        <vt:lpwstr>http://www.edf-feph.org/</vt:lpwstr>
      </vt:variant>
      <vt:variant>
        <vt:lpwstr/>
      </vt:variant>
      <vt:variant>
        <vt:i4>6488134</vt:i4>
      </vt:variant>
      <vt:variant>
        <vt:i4>69</vt:i4>
      </vt:variant>
      <vt:variant>
        <vt:i4>0</vt:i4>
      </vt:variant>
      <vt:variant>
        <vt:i4>5</vt:i4>
      </vt:variant>
      <vt:variant>
        <vt:lpwstr>https://commission.europa.eu/resources/europa-web-guide/design-content-and-development/accessibility_en</vt:lpwstr>
      </vt:variant>
      <vt:variant>
        <vt:lpwstr/>
      </vt:variant>
      <vt:variant>
        <vt:i4>7602178</vt:i4>
      </vt:variant>
      <vt:variant>
        <vt:i4>66</vt:i4>
      </vt:variant>
      <vt:variant>
        <vt:i4>0</vt:i4>
      </vt:variant>
      <vt:variant>
        <vt:i4>5</vt:i4>
      </vt:variant>
      <vt:variant>
        <vt:lpwstr>https://commission.europa.eu/topics/preparedness_en</vt:lpwstr>
      </vt:variant>
      <vt:variant>
        <vt:lpwstr/>
      </vt:variant>
      <vt:variant>
        <vt:i4>5570679</vt:i4>
      </vt:variant>
      <vt:variant>
        <vt:i4>63</vt:i4>
      </vt:variant>
      <vt:variant>
        <vt:i4>0</vt:i4>
      </vt:variant>
      <vt:variant>
        <vt:i4>5</vt:i4>
      </vt:variant>
      <vt:variant>
        <vt:lpwstr>https://commission.europa.eu/document/download/b4952371-4308-47ad-b995-02c539b75dda_en?filename=LGBTIQ%20equality%20strategy%202026%202030.pdf</vt:lpwstr>
      </vt:variant>
      <vt:variant>
        <vt:lpwstr/>
      </vt:variant>
      <vt:variant>
        <vt:i4>4063282</vt:i4>
      </vt:variant>
      <vt:variant>
        <vt:i4>60</vt:i4>
      </vt:variant>
      <vt:variant>
        <vt:i4>0</vt:i4>
      </vt:variant>
      <vt:variant>
        <vt:i4>5</vt:i4>
      </vt:variant>
      <vt:variant>
        <vt:lpwstr>https://euonqol.eu/</vt:lpwstr>
      </vt:variant>
      <vt:variant>
        <vt:lpwstr/>
      </vt:variant>
      <vt:variant>
        <vt:i4>196628</vt:i4>
      </vt:variant>
      <vt:variant>
        <vt:i4>57</vt:i4>
      </vt:variant>
      <vt:variant>
        <vt:i4>0</vt:i4>
      </vt:variant>
      <vt:variant>
        <vt:i4>5</vt:i4>
      </vt:variant>
      <vt:variant>
        <vt:lpwstr>https://www.edf-feph.org/publications/eu-strategy-on-the-rights-of-persons-with-disabilities-2021-2030-actions-for-its-2nd-phase/</vt:lpwstr>
      </vt:variant>
      <vt:variant>
        <vt:lpwstr/>
      </vt:variant>
      <vt:variant>
        <vt:i4>3473487</vt:i4>
      </vt:variant>
      <vt:variant>
        <vt:i4>54</vt:i4>
      </vt:variant>
      <vt:variant>
        <vt:i4>0</vt:i4>
      </vt:variant>
      <vt:variant>
        <vt:i4>5</vt:i4>
      </vt:variant>
      <vt:variant>
        <vt:lpwstr>https://employment-social-affairs.ec.europa.eu/policies-and-activities/social-protection-social-inclusion/addressing-poverty-and-supporting-social-inclusion/eu-anti-poverty-strategy_en</vt:lpwstr>
      </vt:variant>
      <vt:variant>
        <vt:lpwstr/>
      </vt:variant>
      <vt:variant>
        <vt:i4>6488076</vt:i4>
      </vt:variant>
      <vt:variant>
        <vt:i4>51</vt:i4>
      </vt:variant>
      <vt:variant>
        <vt:i4>0</vt:i4>
      </vt:variant>
      <vt:variant>
        <vt:i4>5</vt:i4>
      </vt:variant>
      <vt:variant>
        <vt:lpwstr>https://commission.europa.eu/strategy-and-policy/policies/justice-and-fundamental-rights/combatting-discrimination/lesbian-gay-bi-trans-and-intersex-equality/lgbtiq-equality-strategy-2026-2030_en</vt:lpwstr>
      </vt:variant>
      <vt:variant>
        <vt:lpwstr/>
      </vt:variant>
      <vt:variant>
        <vt:i4>4456517</vt:i4>
      </vt:variant>
      <vt:variant>
        <vt:i4>48</vt:i4>
      </vt:variant>
      <vt:variant>
        <vt:i4>0</vt:i4>
      </vt:variant>
      <vt:variant>
        <vt:i4>5</vt:i4>
      </vt:variant>
      <vt:variant>
        <vt:lpwstr>https://op.europa.eu/en/publication-detail/-/publication/3e1e2228-7c97-11eb-9ac9-01aa75ed71a1/language-en</vt:lpwstr>
      </vt:variant>
      <vt:variant>
        <vt:lpwstr/>
      </vt:variant>
      <vt:variant>
        <vt:i4>3997722</vt:i4>
      </vt:variant>
      <vt:variant>
        <vt:i4>45</vt:i4>
      </vt:variant>
      <vt:variant>
        <vt:i4>0</vt:i4>
      </vt:variant>
      <vt:variant>
        <vt:i4>5</vt:i4>
      </vt:variant>
      <vt:variant>
        <vt:lpwstr>https://commission.europa.eu/document/download/ab0bcea9-6b3a-48c1-875c-1cc687fba6d0_en?filename=EC%20Enhancing%20the%20disability%20strategy%20up%20to%202030.pdf</vt:lpwstr>
      </vt:variant>
      <vt:variant>
        <vt:lpwstr/>
      </vt:variant>
      <vt:variant>
        <vt:i4>1572922</vt:i4>
      </vt:variant>
      <vt:variant>
        <vt:i4>38</vt:i4>
      </vt:variant>
      <vt:variant>
        <vt:i4>0</vt:i4>
      </vt:variant>
      <vt:variant>
        <vt:i4>5</vt:i4>
      </vt:variant>
      <vt:variant>
        <vt:lpwstr/>
      </vt:variant>
      <vt:variant>
        <vt:lpwstr>_Toc64897230</vt:lpwstr>
      </vt:variant>
      <vt:variant>
        <vt:i4>1114171</vt:i4>
      </vt:variant>
      <vt:variant>
        <vt:i4>32</vt:i4>
      </vt:variant>
      <vt:variant>
        <vt:i4>0</vt:i4>
      </vt:variant>
      <vt:variant>
        <vt:i4>5</vt:i4>
      </vt:variant>
      <vt:variant>
        <vt:lpwstr/>
      </vt:variant>
      <vt:variant>
        <vt:lpwstr>_Toc64897229</vt:lpwstr>
      </vt:variant>
      <vt:variant>
        <vt:i4>1048635</vt:i4>
      </vt:variant>
      <vt:variant>
        <vt:i4>26</vt:i4>
      </vt:variant>
      <vt:variant>
        <vt:i4>0</vt:i4>
      </vt:variant>
      <vt:variant>
        <vt:i4>5</vt:i4>
      </vt:variant>
      <vt:variant>
        <vt:lpwstr/>
      </vt:variant>
      <vt:variant>
        <vt:lpwstr>_Toc64897228</vt:lpwstr>
      </vt:variant>
      <vt:variant>
        <vt:i4>2031675</vt:i4>
      </vt:variant>
      <vt:variant>
        <vt:i4>20</vt:i4>
      </vt:variant>
      <vt:variant>
        <vt:i4>0</vt:i4>
      </vt:variant>
      <vt:variant>
        <vt:i4>5</vt:i4>
      </vt:variant>
      <vt:variant>
        <vt:lpwstr/>
      </vt:variant>
      <vt:variant>
        <vt:lpwstr>_Toc64897227</vt:lpwstr>
      </vt:variant>
      <vt:variant>
        <vt:i4>1966139</vt:i4>
      </vt:variant>
      <vt:variant>
        <vt:i4>14</vt:i4>
      </vt:variant>
      <vt:variant>
        <vt:i4>0</vt:i4>
      </vt:variant>
      <vt:variant>
        <vt:i4>5</vt:i4>
      </vt:variant>
      <vt:variant>
        <vt:lpwstr/>
      </vt:variant>
      <vt:variant>
        <vt:lpwstr>_Toc64897226</vt:lpwstr>
      </vt:variant>
      <vt:variant>
        <vt:i4>1900603</vt:i4>
      </vt:variant>
      <vt:variant>
        <vt:i4>8</vt:i4>
      </vt:variant>
      <vt:variant>
        <vt:i4>0</vt:i4>
      </vt:variant>
      <vt:variant>
        <vt:i4>5</vt:i4>
      </vt:variant>
      <vt:variant>
        <vt:lpwstr/>
      </vt:variant>
      <vt:variant>
        <vt:lpwstr>_Toc64897225</vt:lpwstr>
      </vt:variant>
      <vt:variant>
        <vt:i4>1835067</vt:i4>
      </vt:variant>
      <vt:variant>
        <vt:i4>2</vt:i4>
      </vt:variant>
      <vt:variant>
        <vt:i4>0</vt:i4>
      </vt:variant>
      <vt:variant>
        <vt:i4>5</vt:i4>
      </vt:variant>
      <vt:variant>
        <vt:lpwstr/>
      </vt:variant>
      <vt:variant>
        <vt:lpwstr>_Toc64897224</vt:lpwstr>
      </vt:variant>
      <vt:variant>
        <vt:i4>2228245</vt:i4>
      </vt:variant>
      <vt:variant>
        <vt:i4>9</vt:i4>
      </vt:variant>
      <vt:variant>
        <vt:i4>0</vt:i4>
      </vt:variant>
      <vt:variant>
        <vt:i4>5</vt:i4>
      </vt:variant>
      <vt:variant>
        <vt:lpwstr>mailto:marion.steff@edf-feph.org</vt:lpwstr>
      </vt:variant>
      <vt:variant>
        <vt:lpwstr/>
      </vt:variant>
      <vt:variant>
        <vt:i4>2228245</vt:i4>
      </vt:variant>
      <vt:variant>
        <vt:i4>6</vt:i4>
      </vt:variant>
      <vt:variant>
        <vt:i4>0</vt:i4>
      </vt:variant>
      <vt:variant>
        <vt:i4>5</vt:i4>
      </vt:variant>
      <vt:variant>
        <vt:lpwstr>mailto:marion.steff@edf-feph.org</vt:lpwstr>
      </vt:variant>
      <vt:variant>
        <vt:lpwstr/>
      </vt:variant>
      <vt:variant>
        <vt:i4>2228245</vt:i4>
      </vt:variant>
      <vt:variant>
        <vt:i4>3</vt:i4>
      </vt:variant>
      <vt:variant>
        <vt:i4>0</vt:i4>
      </vt:variant>
      <vt:variant>
        <vt:i4>5</vt:i4>
      </vt:variant>
      <vt:variant>
        <vt:lpwstr>mailto:marion.steff@edf-feph.org</vt:lpwstr>
      </vt:variant>
      <vt:variant>
        <vt:lpwstr/>
      </vt:variant>
      <vt:variant>
        <vt:i4>3080196</vt:i4>
      </vt:variant>
      <vt:variant>
        <vt:i4>0</vt:i4>
      </vt:variant>
      <vt:variant>
        <vt:i4>0</vt:i4>
      </vt:variant>
      <vt:variant>
        <vt:i4>5</vt:i4>
      </vt:variant>
      <vt:variant>
        <vt:lpwstr>mailto:daniel.casas@edf-feph.org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Strategy on the Rights of Persons with Disabilities: Assessment of actions 2026-2030</dc:title>
  <dc:subject/>
  <dc:creator>Haydn</dc:creator>
  <cp:keywords/>
  <dc:description/>
  <cp:lastModifiedBy>Andre Felix</cp:lastModifiedBy>
  <cp:revision>3</cp:revision>
  <cp:lastPrinted>2026-07-22T14:32:00Z</cp:lastPrinted>
  <dcterms:created xsi:type="dcterms:W3CDTF">2026-07-22T14:30:00Z</dcterms:created>
  <dcterms:modified xsi:type="dcterms:W3CDTF">2026-07-22T14:32:00Z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0x01010085A93ADCB5E9954D932071C14D018D3D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45a96c1e-b1d6-40fc-a17a-335bcbff9daa</vt:lpwstr>
  </property>
</Properties>
</file>